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40981" w14:textId="7D61F694" w:rsidR="003D07F7" w:rsidRPr="00DA70A5" w:rsidRDefault="00472827" w:rsidP="00B420AE">
      <w:pPr>
        <w:spacing w:line="480" w:lineRule="auto"/>
        <w:jc w:val="center"/>
        <w:rPr>
          <w:rFonts w:ascii="Times New Roman" w:hAnsi="Times New Roman" w:cs="Times New Roman"/>
          <w:b/>
          <w:lang w:val="en-CA"/>
        </w:rPr>
      </w:pPr>
      <w:r w:rsidRPr="00DA70A5">
        <w:rPr>
          <w:rFonts w:ascii="Times New Roman" w:hAnsi="Times New Roman" w:cs="Times New Roman"/>
          <w:b/>
          <w:lang w:val="en-CA"/>
        </w:rPr>
        <w:t>A STAGGERED DIFFERENCE-IN-DIFFERENCE ANALYSIS</w:t>
      </w:r>
    </w:p>
    <w:p w14:paraId="53DD2BCE" w14:textId="298EF2F0" w:rsidR="00472827" w:rsidRPr="00DA70A5" w:rsidRDefault="00472827" w:rsidP="00B420AE">
      <w:pPr>
        <w:spacing w:line="480" w:lineRule="auto"/>
        <w:jc w:val="center"/>
        <w:rPr>
          <w:rFonts w:ascii="Times New Roman" w:hAnsi="Times New Roman" w:cs="Times New Roman"/>
          <w:b/>
          <w:lang w:val="en-CA"/>
        </w:rPr>
      </w:pPr>
      <w:r w:rsidRPr="00DA70A5">
        <w:rPr>
          <w:rFonts w:ascii="Times New Roman" w:hAnsi="Times New Roman" w:cs="Times New Roman"/>
          <w:b/>
          <w:lang w:val="en-CA"/>
        </w:rPr>
        <w:t>OF THE EFFECT OF FREE COLLEGE PROGRAM ADOPTION</w:t>
      </w:r>
    </w:p>
    <w:p w14:paraId="24D942CE" w14:textId="1F94C67A" w:rsidR="00472827" w:rsidRPr="00DA70A5" w:rsidRDefault="00472827" w:rsidP="00B420AE">
      <w:pPr>
        <w:spacing w:line="480" w:lineRule="auto"/>
        <w:jc w:val="center"/>
        <w:rPr>
          <w:rFonts w:ascii="Times New Roman" w:hAnsi="Times New Roman" w:cs="Times New Roman"/>
          <w:b/>
          <w:lang w:val="en-CA"/>
        </w:rPr>
      </w:pPr>
      <w:r w:rsidRPr="00DA70A5">
        <w:rPr>
          <w:rFonts w:ascii="Times New Roman" w:hAnsi="Times New Roman" w:cs="Times New Roman"/>
          <w:b/>
          <w:lang w:val="en-CA"/>
        </w:rPr>
        <w:t>ON SUB-BACCALAUREATE COLLEGE COMPLETIONS</w:t>
      </w:r>
    </w:p>
    <w:p w14:paraId="337D9F16" w14:textId="77777777" w:rsidR="00236E6D" w:rsidRPr="00DA70A5" w:rsidRDefault="00236E6D">
      <w:pPr>
        <w:jc w:val="center"/>
        <w:rPr>
          <w:rFonts w:ascii="Times New Roman" w:hAnsi="Times New Roman" w:cs="Times New Roman"/>
        </w:rPr>
      </w:pPr>
    </w:p>
    <w:p w14:paraId="754CE754" w14:textId="77777777" w:rsidR="00236E6D" w:rsidRPr="00DA70A5" w:rsidRDefault="00236E6D">
      <w:pPr>
        <w:jc w:val="center"/>
        <w:rPr>
          <w:rFonts w:ascii="Times New Roman" w:hAnsi="Times New Roman" w:cs="Times New Roman"/>
        </w:rPr>
      </w:pPr>
    </w:p>
    <w:p w14:paraId="225387A4" w14:textId="77777777" w:rsidR="00236E6D" w:rsidRPr="00DA70A5" w:rsidRDefault="00236E6D">
      <w:pPr>
        <w:jc w:val="center"/>
        <w:rPr>
          <w:rFonts w:ascii="Times New Roman" w:hAnsi="Times New Roman" w:cs="Times New Roman"/>
        </w:rPr>
      </w:pPr>
    </w:p>
    <w:p w14:paraId="79875772" w14:textId="77777777" w:rsidR="00236E6D" w:rsidRPr="00DA70A5" w:rsidRDefault="00236E6D">
      <w:pPr>
        <w:jc w:val="center"/>
        <w:rPr>
          <w:rFonts w:ascii="Times New Roman" w:hAnsi="Times New Roman" w:cs="Times New Roman"/>
        </w:rPr>
      </w:pPr>
    </w:p>
    <w:p w14:paraId="5832AB72" w14:textId="77777777" w:rsidR="00236E6D" w:rsidRPr="00DA70A5" w:rsidRDefault="00236E6D">
      <w:pPr>
        <w:jc w:val="center"/>
        <w:rPr>
          <w:rFonts w:ascii="Times New Roman" w:hAnsi="Times New Roman" w:cs="Times New Roman"/>
        </w:rPr>
      </w:pPr>
    </w:p>
    <w:p w14:paraId="2AE81825" w14:textId="77777777" w:rsidR="00236E6D" w:rsidRPr="00DA70A5" w:rsidRDefault="00236E6D">
      <w:pPr>
        <w:jc w:val="center"/>
        <w:rPr>
          <w:rFonts w:ascii="Times New Roman" w:hAnsi="Times New Roman" w:cs="Times New Roman"/>
        </w:rPr>
      </w:pPr>
    </w:p>
    <w:p w14:paraId="24F31437" w14:textId="77777777" w:rsidR="00236E6D" w:rsidRPr="00DA70A5" w:rsidRDefault="00236E6D">
      <w:pPr>
        <w:jc w:val="center"/>
        <w:rPr>
          <w:rFonts w:ascii="Times New Roman" w:hAnsi="Times New Roman" w:cs="Times New Roman"/>
        </w:rPr>
      </w:pPr>
    </w:p>
    <w:p w14:paraId="71132578" w14:textId="77777777" w:rsidR="009D2AA9" w:rsidRPr="00DA70A5" w:rsidRDefault="009D2AA9" w:rsidP="00B420AE">
      <w:pPr>
        <w:rPr>
          <w:rFonts w:ascii="Times New Roman" w:hAnsi="Times New Roman" w:cs="Times New Roman"/>
        </w:rPr>
      </w:pPr>
    </w:p>
    <w:p w14:paraId="069162E9" w14:textId="77777777" w:rsidR="00236E6D" w:rsidRPr="00DA70A5" w:rsidRDefault="00236E6D">
      <w:pPr>
        <w:jc w:val="center"/>
        <w:rPr>
          <w:rFonts w:ascii="Times New Roman" w:hAnsi="Times New Roman" w:cs="Times New Roman"/>
        </w:rPr>
      </w:pPr>
    </w:p>
    <w:p w14:paraId="128C30EE" w14:textId="77777777" w:rsidR="00236E6D" w:rsidRPr="00DA70A5" w:rsidRDefault="00236E6D">
      <w:pPr>
        <w:jc w:val="center"/>
        <w:rPr>
          <w:rFonts w:ascii="Times New Roman" w:hAnsi="Times New Roman" w:cs="Times New Roman"/>
        </w:rPr>
      </w:pPr>
    </w:p>
    <w:p w14:paraId="273DDB5A" w14:textId="3B262A0C" w:rsidR="00236E6D" w:rsidRPr="00DA70A5" w:rsidRDefault="009C755C" w:rsidP="00B420AE">
      <w:pPr>
        <w:spacing w:line="480" w:lineRule="auto"/>
        <w:jc w:val="center"/>
        <w:rPr>
          <w:rFonts w:ascii="Times New Roman" w:hAnsi="Times New Roman" w:cs="Times New Roman"/>
        </w:rPr>
      </w:pPr>
      <w:r w:rsidRPr="00DA70A5">
        <w:rPr>
          <w:rFonts w:ascii="Times New Roman" w:hAnsi="Times New Roman" w:cs="Times New Roman"/>
        </w:rPr>
        <w:t xml:space="preserve">A </w:t>
      </w:r>
      <w:r w:rsidR="00472827" w:rsidRPr="00DA70A5">
        <w:rPr>
          <w:rFonts w:ascii="Times New Roman" w:hAnsi="Times New Roman" w:cs="Times New Roman"/>
        </w:rPr>
        <w:t>Dissertation</w:t>
      </w:r>
      <w:r w:rsidRPr="00DA70A5">
        <w:rPr>
          <w:rFonts w:ascii="Times New Roman" w:hAnsi="Times New Roman" w:cs="Times New Roman"/>
        </w:rPr>
        <w:t xml:space="preserve"> Presented for</w:t>
      </w:r>
      <w:r w:rsidR="008865B6" w:rsidRPr="00DA70A5">
        <w:rPr>
          <w:rFonts w:ascii="Times New Roman" w:hAnsi="Times New Roman" w:cs="Times New Roman"/>
        </w:rPr>
        <w:t xml:space="preserve"> the</w:t>
      </w:r>
    </w:p>
    <w:p w14:paraId="0B14CAB7" w14:textId="4DB0D52D" w:rsidR="009C755C" w:rsidRPr="00DA70A5" w:rsidRDefault="00472827" w:rsidP="00B420AE">
      <w:pPr>
        <w:spacing w:line="480" w:lineRule="auto"/>
        <w:jc w:val="center"/>
        <w:rPr>
          <w:rFonts w:ascii="Times New Roman" w:hAnsi="Times New Roman" w:cs="Times New Roman"/>
        </w:rPr>
      </w:pPr>
      <w:r w:rsidRPr="00DA70A5">
        <w:rPr>
          <w:rFonts w:ascii="Times New Roman" w:hAnsi="Times New Roman" w:cs="Times New Roman"/>
        </w:rPr>
        <w:t xml:space="preserve">Doctor of Philosophy </w:t>
      </w:r>
    </w:p>
    <w:p w14:paraId="37B178BE" w14:textId="77777777" w:rsidR="009C755C" w:rsidRPr="00DA70A5" w:rsidRDefault="009C755C" w:rsidP="00B420AE">
      <w:pPr>
        <w:spacing w:line="480" w:lineRule="auto"/>
        <w:jc w:val="center"/>
        <w:rPr>
          <w:rFonts w:ascii="Times New Roman" w:hAnsi="Times New Roman" w:cs="Times New Roman"/>
        </w:rPr>
      </w:pPr>
      <w:r w:rsidRPr="00DA70A5">
        <w:rPr>
          <w:rFonts w:ascii="Times New Roman" w:hAnsi="Times New Roman" w:cs="Times New Roman"/>
        </w:rPr>
        <w:t>Degree</w:t>
      </w:r>
    </w:p>
    <w:p w14:paraId="2E71D596" w14:textId="77777777" w:rsidR="009C755C" w:rsidRPr="00DA70A5" w:rsidRDefault="009C755C" w:rsidP="00B420AE">
      <w:pPr>
        <w:spacing w:line="480" w:lineRule="auto"/>
        <w:jc w:val="center"/>
        <w:rPr>
          <w:rFonts w:ascii="Times New Roman" w:hAnsi="Times New Roman" w:cs="Times New Roman"/>
        </w:rPr>
      </w:pPr>
      <w:r w:rsidRPr="00DA70A5">
        <w:rPr>
          <w:rFonts w:ascii="Times New Roman" w:hAnsi="Times New Roman" w:cs="Times New Roman"/>
        </w:rPr>
        <w:t>The University of Tennessee, Knoxville</w:t>
      </w:r>
    </w:p>
    <w:p w14:paraId="601B96AF" w14:textId="77777777" w:rsidR="00236E6D" w:rsidRPr="00DA70A5" w:rsidRDefault="00236E6D">
      <w:pPr>
        <w:jc w:val="center"/>
        <w:rPr>
          <w:rFonts w:ascii="Times New Roman" w:hAnsi="Times New Roman" w:cs="Times New Roman"/>
        </w:rPr>
      </w:pPr>
    </w:p>
    <w:p w14:paraId="1D70A473" w14:textId="77777777" w:rsidR="00236E6D" w:rsidRPr="00DA70A5" w:rsidRDefault="00236E6D">
      <w:pPr>
        <w:jc w:val="center"/>
        <w:rPr>
          <w:rFonts w:ascii="Times New Roman" w:hAnsi="Times New Roman" w:cs="Times New Roman"/>
        </w:rPr>
      </w:pPr>
    </w:p>
    <w:p w14:paraId="05618056" w14:textId="77777777" w:rsidR="00236E6D" w:rsidRPr="00DA70A5" w:rsidRDefault="00236E6D">
      <w:pPr>
        <w:jc w:val="center"/>
        <w:rPr>
          <w:rFonts w:ascii="Times New Roman" w:hAnsi="Times New Roman" w:cs="Times New Roman"/>
        </w:rPr>
      </w:pPr>
    </w:p>
    <w:p w14:paraId="08850B55" w14:textId="77777777" w:rsidR="00236E6D" w:rsidRPr="00DA70A5" w:rsidRDefault="00236E6D">
      <w:pPr>
        <w:jc w:val="center"/>
        <w:rPr>
          <w:rFonts w:ascii="Times New Roman" w:hAnsi="Times New Roman" w:cs="Times New Roman"/>
        </w:rPr>
      </w:pPr>
    </w:p>
    <w:p w14:paraId="7310762C" w14:textId="77777777" w:rsidR="00236E6D" w:rsidRPr="00DA70A5" w:rsidRDefault="00236E6D">
      <w:pPr>
        <w:jc w:val="center"/>
        <w:rPr>
          <w:rFonts w:ascii="Times New Roman" w:hAnsi="Times New Roman" w:cs="Times New Roman"/>
        </w:rPr>
      </w:pPr>
    </w:p>
    <w:p w14:paraId="59925BF6" w14:textId="77777777" w:rsidR="00236E6D" w:rsidRPr="00DA70A5" w:rsidRDefault="00236E6D">
      <w:pPr>
        <w:jc w:val="center"/>
        <w:rPr>
          <w:rFonts w:ascii="Times New Roman" w:hAnsi="Times New Roman" w:cs="Times New Roman"/>
        </w:rPr>
      </w:pPr>
    </w:p>
    <w:p w14:paraId="5EDECE72" w14:textId="77777777" w:rsidR="00236E6D" w:rsidRPr="00DA70A5" w:rsidRDefault="00236E6D">
      <w:pPr>
        <w:jc w:val="center"/>
        <w:rPr>
          <w:rFonts w:ascii="Times New Roman" w:hAnsi="Times New Roman" w:cs="Times New Roman"/>
        </w:rPr>
      </w:pPr>
    </w:p>
    <w:p w14:paraId="24A2E2B4" w14:textId="77777777" w:rsidR="00236E6D" w:rsidRPr="00DA70A5" w:rsidRDefault="00236E6D">
      <w:pPr>
        <w:jc w:val="center"/>
        <w:rPr>
          <w:rFonts w:ascii="Times New Roman" w:hAnsi="Times New Roman" w:cs="Times New Roman"/>
        </w:rPr>
      </w:pPr>
    </w:p>
    <w:p w14:paraId="17DFCD76" w14:textId="77777777" w:rsidR="00236E6D" w:rsidRPr="00DA70A5" w:rsidRDefault="00236E6D">
      <w:pPr>
        <w:jc w:val="center"/>
        <w:rPr>
          <w:rFonts w:ascii="Times New Roman" w:hAnsi="Times New Roman" w:cs="Times New Roman"/>
        </w:rPr>
      </w:pPr>
    </w:p>
    <w:p w14:paraId="7FD9F8F0" w14:textId="77777777" w:rsidR="009D2AA9" w:rsidRPr="00DA70A5" w:rsidRDefault="009D2AA9">
      <w:pPr>
        <w:jc w:val="center"/>
        <w:rPr>
          <w:rFonts w:ascii="Times New Roman" w:hAnsi="Times New Roman" w:cs="Times New Roman"/>
        </w:rPr>
      </w:pPr>
    </w:p>
    <w:p w14:paraId="682FFD8E" w14:textId="77777777" w:rsidR="009D2AA9" w:rsidRPr="00DA70A5" w:rsidRDefault="009D2AA9">
      <w:pPr>
        <w:jc w:val="center"/>
        <w:rPr>
          <w:rFonts w:ascii="Times New Roman" w:hAnsi="Times New Roman" w:cs="Times New Roman"/>
        </w:rPr>
      </w:pPr>
    </w:p>
    <w:p w14:paraId="141F1FDC" w14:textId="77777777" w:rsidR="009D2AA9" w:rsidRPr="00DA70A5" w:rsidRDefault="009D2AA9">
      <w:pPr>
        <w:jc w:val="center"/>
        <w:rPr>
          <w:rFonts w:ascii="Times New Roman" w:hAnsi="Times New Roman" w:cs="Times New Roman"/>
        </w:rPr>
      </w:pPr>
    </w:p>
    <w:p w14:paraId="0915E449" w14:textId="77777777" w:rsidR="009D2AA9" w:rsidRPr="00DA70A5" w:rsidRDefault="009D2AA9">
      <w:pPr>
        <w:jc w:val="center"/>
        <w:rPr>
          <w:rFonts w:ascii="Times New Roman" w:hAnsi="Times New Roman" w:cs="Times New Roman"/>
        </w:rPr>
      </w:pPr>
    </w:p>
    <w:p w14:paraId="27E38230" w14:textId="77777777" w:rsidR="009D2AA9" w:rsidRPr="00DA70A5" w:rsidRDefault="009D2AA9">
      <w:pPr>
        <w:jc w:val="center"/>
        <w:rPr>
          <w:rFonts w:ascii="Times New Roman" w:hAnsi="Times New Roman" w:cs="Times New Roman"/>
        </w:rPr>
      </w:pPr>
    </w:p>
    <w:p w14:paraId="5E0631B8" w14:textId="77777777" w:rsidR="009D2AA9" w:rsidRPr="00DA70A5" w:rsidRDefault="009D2AA9">
      <w:pPr>
        <w:jc w:val="center"/>
        <w:rPr>
          <w:rFonts w:ascii="Times New Roman" w:hAnsi="Times New Roman" w:cs="Times New Roman"/>
        </w:rPr>
      </w:pPr>
    </w:p>
    <w:p w14:paraId="47EC1B3E" w14:textId="76CBEFC2" w:rsidR="00236E6D" w:rsidRPr="00DA70A5" w:rsidRDefault="00472827" w:rsidP="00B420AE">
      <w:pPr>
        <w:spacing w:line="480" w:lineRule="auto"/>
        <w:jc w:val="center"/>
        <w:rPr>
          <w:rFonts w:ascii="Times New Roman" w:hAnsi="Times New Roman" w:cs="Times New Roman"/>
        </w:rPr>
      </w:pPr>
      <w:r w:rsidRPr="00DA70A5">
        <w:rPr>
          <w:rFonts w:ascii="Times New Roman" w:hAnsi="Times New Roman" w:cs="Times New Roman"/>
        </w:rPr>
        <w:t>Zachary J</w:t>
      </w:r>
      <w:r w:rsidR="009447B4">
        <w:rPr>
          <w:rFonts w:ascii="Times New Roman" w:hAnsi="Times New Roman" w:cs="Times New Roman"/>
        </w:rPr>
        <w:t>ohn</w:t>
      </w:r>
      <w:r w:rsidRPr="00DA70A5">
        <w:rPr>
          <w:rFonts w:ascii="Times New Roman" w:hAnsi="Times New Roman" w:cs="Times New Roman"/>
        </w:rPr>
        <w:t xml:space="preserve"> Hyder</w:t>
      </w:r>
    </w:p>
    <w:p w14:paraId="47DDFB61" w14:textId="1FD841CB" w:rsidR="009C755C" w:rsidRPr="00DA70A5" w:rsidRDefault="00304E96" w:rsidP="00B420AE">
      <w:pPr>
        <w:spacing w:line="480" w:lineRule="auto"/>
        <w:jc w:val="center"/>
        <w:rPr>
          <w:rFonts w:ascii="Times New Roman" w:hAnsi="Times New Roman" w:cs="Times New Roman"/>
        </w:rPr>
      </w:pPr>
      <w:r>
        <w:rPr>
          <w:rFonts w:ascii="Times New Roman" w:hAnsi="Times New Roman" w:cs="Times New Roman"/>
        </w:rPr>
        <w:t>December</w:t>
      </w:r>
      <w:r w:rsidR="009C755C" w:rsidRPr="00DA70A5">
        <w:rPr>
          <w:rFonts w:ascii="Times New Roman" w:hAnsi="Times New Roman" w:cs="Times New Roman"/>
        </w:rPr>
        <w:t xml:space="preserve"> </w:t>
      </w:r>
      <w:r w:rsidR="00206090" w:rsidRPr="00DA70A5">
        <w:rPr>
          <w:rFonts w:ascii="Times New Roman" w:hAnsi="Times New Roman" w:cs="Times New Roman"/>
        </w:rPr>
        <w:t>202</w:t>
      </w:r>
      <w:r w:rsidR="00472827" w:rsidRPr="00DA70A5">
        <w:rPr>
          <w:rFonts w:ascii="Times New Roman" w:hAnsi="Times New Roman" w:cs="Times New Roman"/>
        </w:rPr>
        <w:t>4</w:t>
      </w:r>
    </w:p>
    <w:p w14:paraId="2A019A9F" w14:textId="77777777" w:rsidR="00236E6D" w:rsidRPr="00DA70A5" w:rsidRDefault="00236E6D">
      <w:pPr>
        <w:jc w:val="center"/>
        <w:rPr>
          <w:rFonts w:ascii="Times New Roman" w:hAnsi="Times New Roman" w:cs="Times New Roman"/>
        </w:rPr>
      </w:pPr>
    </w:p>
    <w:p w14:paraId="1A958C32" w14:textId="77777777" w:rsidR="00236E6D" w:rsidRPr="00DA70A5" w:rsidRDefault="00236E6D">
      <w:pPr>
        <w:jc w:val="center"/>
        <w:rPr>
          <w:rFonts w:ascii="Times New Roman" w:hAnsi="Times New Roman" w:cs="Times New Roman"/>
        </w:rPr>
      </w:pPr>
    </w:p>
    <w:p w14:paraId="76302A1C" w14:textId="67A6EB0A" w:rsidR="00236E6D" w:rsidRPr="00DA70A5" w:rsidRDefault="003D07F7" w:rsidP="00B420AE">
      <w:pPr>
        <w:spacing w:line="480" w:lineRule="auto"/>
        <w:jc w:val="center"/>
        <w:rPr>
          <w:rFonts w:ascii="Times New Roman" w:hAnsi="Times New Roman" w:cs="Times New Roman"/>
        </w:rPr>
      </w:pPr>
      <w:r w:rsidRPr="00DA70A5">
        <w:rPr>
          <w:rFonts w:ascii="Times New Roman" w:hAnsi="Times New Roman" w:cs="Times New Roman"/>
        </w:rPr>
        <w:lastRenderedPageBreak/>
        <w:t>Copyright © 20</w:t>
      </w:r>
      <w:r w:rsidR="00206090" w:rsidRPr="00DA70A5">
        <w:rPr>
          <w:rFonts w:ascii="Times New Roman" w:hAnsi="Times New Roman" w:cs="Times New Roman"/>
        </w:rPr>
        <w:t>2</w:t>
      </w:r>
      <w:r w:rsidR="00472827" w:rsidRPr="00DA70A5">
        <w:rPr>
          <w:rFonts w:ascii="Times New Roman" w:hAnsi="Times New Roman" w:cs="Times New Roman"/>
        </w:rPr>
        <w:t>4</w:t>
      </w:r>
      <w:r w:rsidR="00236E6D" w:rsidRPr="00DA70A5">
        <w:rPr>
          <w:rFonts w:ascii="Times New Roman" w:hAnsi="Times New Roman" w:cs="Times New Roman"/>
        </w:rPr>
        <w:t xml:space="preserve"> by </w:t>
      </w:r>
      <w:r w:rsidR="00976BDC" w:rsidRPr="00DA70A5">
        <w:rPr>
          <w:rFonts w:ascii="Times New Roman" w:hAnsi="Times New Roman" w:cs="Times New Roman"/>
        </w:rPr>
        <w:t>Zachary J</w:t>
      </w:r>
      <w:r w:rsidR="00504669">
        <w:rPr>
          <w:rFonts w:ascii="Times New Roman" w:hAnsi="Times New Roman" w:cs="Times New Roman"/>
        </w:rPr>
        <w:t>ohn</w:t>
      </w:r>
      <w:r w:rsidR="00976BDC" w:rsidRPr="00DA70A5">
        <w:rPr>
          <w:rFonts w:ascii="Times New Roman" w:hAnsi="Times New Roman" w:cs="Times New Roman"/>
        </w:rPr>
        <w:t xml:space="preserve"> Hyder.</w:t>
      </w:r>
    </w:p>
    <w:p w14:paraId="30CC6D1B" w14:textId="77777777" w:rsidR="00236E6D" w:rsidRPr="00DA70A5" w:rsidRDefault="00236E6D" w:rsidP="00B420AE">
      <w:pPr>
        <w:spacing w:line="480" w:lineRule="auto"/>
        <w:jc w:val="center"/>
        <w:rPr>
          <w:rFonts w:ascii="Times New Roman" w:hAnsi="Times New Roman" w:cs="Times New Roman"/>
        </w:rPr>
      </w:pPr>
      <w:r w:rsidRPr="00DA70A5">
        <w:rPr>
          <w:rFonts w:ascii="Times New Roman" w:hAnsi="Times New Roman" w:cs="Times New Roman"/>
        </w:rPr>
        <w:t>All rights reserved.</w:t>
      </w:r>
    </w:p>
    <w:p w14:paraId="2D82853E" w14:textId="77777777" w:rsidR="00236E6D" w:rsidRPr="00DA70A5" w:rsidRDefault="00236E6D">
      <w:pPr>
        <w:jc w:val="center"/>
        <w:rPr>
          <w:rFonts w:ascii="Times New Roman" w:hAnsi="Times New Roman" w:cs="Times New Roman"/>
        </w:rPr>
      </w:pPr>
    </w:p>
    <w:p w14:paraId="033E6C9A" w14:textId="77777777" w:rsidR="00236E6D" w:rsidRPr="00DA70A5" w:rsidRDefault="00236E6D">
      <w:pPr>
        <w:jc w:val="center"/>
        <w:rPr>
          <w:rFonts w:ascii="Times New Roman" w:hAnsi="Times New Roman" w:cs="Times New Roman"/>
        </w:rPr>
      </w:pPr>
    </w:p>
    <w:p w14:paraId="0CD8F197" w14:textId="77777777" w:rsidR="00236E6D" w:rsidRPr="00DA70A5" w:rsidRDefault="00236E6D">
      <w:pPr>
        <w:jc w:val="center"/>
        <w:rPr>
          <w:rFonts w:ascii="Times New Roman" w:hAnsi="Times New Roman" w:cs="Times New Roman"/>
        </w:rPr>
      </w:pPr>
    </w:p>
    <w:p w14:paraId="79B8F6AF" w14:textId="77777777" w:rsidR="00236E6D" w:rsidRPr="00DA70A5" w:rsidRDefault="00236E6D">
      <w:pPr>
        <w:jc w:val="center"/>
        <w:rPr>
          <w:rFonts w:ascii="Times New Roman" w:hAnsi="Times New Roman" w:cs="Times New Roman"/>
        </w:rPr>
      </w:pPr>
    </w:p>
    <w:p w14:paraId="47DC9DB0" w14:textId="77777777" w:rsidR="00236E6D" w:rsidRPr="00DA70A5" w:rsidRDefault="00236E6D">
      <w:pPr>
        <w:jc w:val="center"/>
        <w:rPr>
          <w:rFonts w:ascii="Times New Roman" w:hAnsi="Times New Roman" w:cs="Times New Roman"/>
        </w:rPr>
      </w:pPr>
    </w:p>
    <w:p w14:paraId="759A38E2" w14:textId="77777777" w:rsidR="00236E6D" w:rsidRPr="00DA70A5" w:rsidRDefault="00236E6D">
      <w:pPr>
        <w:jc w:val="center"/>
        <w:rPr>
          <w:rFonts w:ascii="Times New Roman" w:hAnsi="Times New Roman" w:cs="Times New Roman"/>
        </w:rPr>
      </w:pPr>
    </w:p>
    <w:p w14:paraId="38852F09" w14:textId="77777777" w:rsidR="00236E6D" w:rsidRPr="00DA70A5" w:rsidRDefault="00236E6D">
      <w:pPr>
        <w:jc w:val="center"/>
        <w:rPr>
          <w:rFonts w:ascii="Times New Roman" w:hAnsi="Times New Roman" w:cs="Times New Roman"/>
        </w:rPr>
      </w:pPr>
    </w:p>
    <w:p w14:paraId="686A4CB3" w14:textId="77777777" w:rsidR="00236E6D" w:rsidRDefault="00236E6D">
      <w:pPr>
        <w:jc w:val="center"/>
        <w:rPr>
          <w:rFonts w:ascii="Times New Roman" w:hAnsi="Times New Roman" w:cs="Times New Roman"/>
        </w:rPr>
      </w:pPr>
    </w:p>
    <w:p w14:paraId="418B8E9C" w14:textId="77777777" w:rsidR="00B420AE" w:rsidRDefault="00B420AE">
      <w:pPr>
        <w:jc w:val="center"/>
        <w:rPr>
          <w:rFonts w:ascii="Times New Roman" w:hAnsi="Times New Roman" w:cs="Times New Roman"/>
        </w:rPr>
      </w:pPr>
    </w:p>
    <w:p w14:paraId="45F53E4A" w14:textId="77777777" w:rsidR="00B420AE" w:rsidRPr="00DA70A5" w:rsidRDefault="00B420AE">
      <w:pPr>
        <w:jc w:val="center"/>
        <w:rPr>
          <w:rFonts w:ascii="Times New Roman" w:hAnsi="Times New Roman" w:cs="Times New Roman"/>
        </w:rPr>
      </w:pPr>
    </w:p>
    <w:p w14:paraId="510D6676" w14:textId="77777777" w:rsidR="00236E6D" w:rsidRPr="00DA70A5" w:rsidRDefault="00236E6D">
      <w:pPr>
        <w:jc w:val="center"/>
        <w:rPr>
          <w:rFonts w:ascii="Times New Roman" w:hAnsi="Times New Roman" w:cs="Times New Roman"/>
        </w:rPr>
      </w:pPr>
    </w:p>
    <w:p w14:paraId="0A20AB3D" w14:textId="77777777" w:rsidR="00236E6D" w:rsidRPr="00DA70A5" w:rsidRDefault="00236E6D">
      <w:pPr>
        <w:jc w:val="center"/>
        <w:rPr>
          <w:rFonts w:ascii="Times New Roman" w:hAnsi="Times New Roman" w:cs="Times New Roman"/>
        </w:rPr>
      </w:pPr>
    </w:p>
    <w:p w14:paraId="22560BFE" w14:textId="77777777" w:rsidR="00236E6D" w:rsidRPr="00DA70A5" w:rsidRDefault="00236E6D">
      <w:pPr>
        <w:jc w:val="center"/>
        <w:rPr>
          <w:rFonts w:ascii="Times New Roman" w:hAnsi="Times New Roman" w:cs="Times New Roman"/>
        </w:rPr>
      </w:pPr>
    </w:p>
    <w:p w14:paraId="5A16D807" w14:textId="77777777" w:rsidR="00236E6D" w:rsidRPr="00DA70A5" w:rsidRDefault="00236E6D">
      <w:pPr>
        <w:jc w:val="center"/>
        <w:rPr>
          <w:rFonts w:ascii="Times New Roman" w:hAnsi="Times New Roman" w:cs="Times New Roman"/>
        </w:rPr>
      </w:pPr>
    </w:p>
    <w:p w14:paraId="396A6CB2" w14:textId="77777777" w:rsidR="00236E6D" w:rsidRPr="00DA70A5" w:rsidRDefault="00236E6D">
      <w:pPr>
        <w:jc w:val="center"/>
        <w:rPr>
          <w:rFonts w:ascii="Times New Roman" w:hAnsi="Times New Roman" w:cs="Times New Roman"/>
        </w:rPr>
      </w:pPr>
    </w:p>
    <w:p w14:paraId="42D8AE93" w14:textId="77777777" w:rsidR="00236E6D" w:rsidRPr="00DA70A5" w:rsidRDefault="00236E6D">
      <w:pPr>
        <w:jc w:val="center"/>
        <w:rPr>
          <w:rFonts w:ascii="Times New Roman" w:hAnsi="Times New Roman" w:cs="Times New Roman"/>
        </w:rPr>
      </w:pPr>
    </w:p>
    <w:p w14:paraId="0DAE02F0" w14:textId="77777777" w:rsidR="009D2AA9" w:rsidRPr="00DA70A5" w:rsidRDefault="009D2AA9" w:rsidP="009D2AA9">
      <w:pPr>
        <w:rPr>
          <w:rFonts w:ascii="Times New Roman" w:hAnsi="Times New Roman" w:cs="Times New Roman"/>
        </w:rPr>
      </w:pPr>
    </w:p>
    <w:p w14:paraId="67B37A3E" w14:textId="77777777" w:rsidR="009D2AA9" w:rsidRPr="00DA70A5" w:rsidRDefault="009D2AA9" w:rsidP="009D2AA9">
      <w:pPr>
        <w:rPr>
          <w:rFonts w:ascii="Times New Roman" w:hAnsi="Times New Roman" w:cs="Times New Roman"/>
        </w:rPr>
      </w:pPr>
    </w:p>
    <w:p w14:paraId="6B657A2E" w14:textId="77777777" w:rsidR="009D2AA9" w:rsidRPr="00DA70A5" w:rsidRDefault="009D2AA9" w:rsidP="009D2AA9">
      <w:pPr>
        <w:rPr>
          <w:rFonts w:ascii="Times New Roman" w:hAnsi="Times New Roman" w:cs="Times New Roman"/>
        </w:rPr>
      </w:pPr>
    </w:p>
    <w:p w14:paraId="2F0D38DD" w14:textId="77777777" w:rsidR="009D2AA9" w:rsidRPr="00DA70A5" w:rsidRDefault="009D2AA9" w:rsidP="009D2AA9">
      <w:pPr>
        <w:rPr>
          <w:rFonts w:ascii="Times New Roman" w:hAnsi="Times New Roman" w:cs="Times New Roman"/>
        </w:rPr>
      </w:pPr>
    </w:p>
    <w:p w14:paraId="294B3D65" w14:textId="77777777" w:rsidR="009D2AA9" w:rsidRPr="00DA70A5" w:rsidRDefault="009D2AA9" w:rsidP="009D2AA9">
      <w:pPr>
        <w:rPr>
          <w:rFonts w:ascii="Times New Roman" w:hAnsi="Times New Roman" w:cs="Times New Roman"/>
        </w:rPr>
      </w:pPr>
    </w:p>
    <w:p w14:paraId="467F0DA1" w14:textId="77777777" w:rsidR="009D2AA9" w:rsidRPr="00DA70A5" w:rsidRDefault="009D2AA9" w:rsidP="009D2AA9">
      <w:pPr>
        <w:rPr>
          <w:rFonts w:ascii="Times New Roman" w:hAnsi="Times New Roman" w:cs="Times New Roman"/>
        </w:rPr>
      </w:pPr>
    </w:p>
    <w:p w14:paraId="133AAD56" w14:textId="77777777" w:rsidR="009D2AA9" w:rsidRPr="00DA70A5" w:rsidRDefault="009D2AA9" w:rsidP="009D2AA9">
      <w:pPr>
        <w:rPr>
          <w:rFonts w:ascii="Times New Roman" w:hAnsi="Times New Roman" w:cs="Times New Roman"/>
        </w:rPr>
      </w:pPr>
    </w:p>
    <w:p w14:paraId="4D187988" w14:textId="77777777" w:rsidR="009D2AA9" w:rsidRPr="00DA70A5" w:rsidRDefault="009D2AA9" w:rsidP="009D2AA9">
      <w:pPr>
        <w:rPr>
          <w:rFonts w:ascii="Times New Roman" w:hAnsi="Times New Roman" w:cs="Times New Roman"/>
        </w:rPr>
      </w:pPr>
    </w:p>
    <w:p w14:paraId="3EFB4693" w14:textId="77777777" w:rsidR="009D2AA9" w:rsidRPr="00DA70A5" w:rsidRDefault="009D2AA9" w:rsidP="009D2AA9">
      <w:pPr>
        <w:rPr>
          <w:rFonts w:ascii="Times New Roman" w:hAnsi="Times New Roman" w:cs="Times New Roman"/>
        </w:rPr>
      </w:pPr>
    </w:p>
    <w:p w14:paraId="48CF4C05" w14:textId="77777777" w:rsidR="009D2AA9" w:rsidRPr="00DA70A5" w:rsidRDefault="009D2AA9" w:rsidP="009D2AA9">
      <w:pPr>
        <w:rPr>
          <w:rFonts w:ascii="Times New Roman" w:hAnsi="Times New Roman" w:cs="Times New Roman"/>
        </w:rPr>
      </w:pPr>
    </w:p>
    <w:p w14:paraId="53A434C1" w14:textId="77777777" w:rsidR="009D2AA9" w:rsidRPr="00DA70A5" w:rsidRDefault="009D2AA9" w:rsidP="009D2AA9">
      <w:pPr>
        <w:rPr>
          <w:rFonts w:ascii="Times New Roman" w:hAnsi="Times New Roman" w:cs="Times New Roman"/>
        </w:rPr>
      </w:pPr>
    </w:p>
    <w:p w14:paraId="5D88C141" w14:textId="77777777" w:rsidR="009D2AA9" w:rsidRPr="00DA70A5" w:rsidRDefault="009D2AA9" w:rsidP="009D2AA9">
      <w:pPr>
        <w:rPr>
          <w:rFonts w:ascii="Times New Roman" w:hAnsi="Times New Roman" w:cs="Times New Roman"/>
        </w:rPr>
      </w:pPr>
    </w:p>
    <w:p w14:paraId="626ABF17" w14:textId="77777777" w:rsidR="009D2AA9" w:rsidRPr="00DA70A5" w:rsidRDefault="009D2AA9" w:rsidP="009D2AA9">
      <w:pPr>
        <w:rPr>
          <w:rFonts w:ascii="Times New Roman" w:hAnsi="Times New Roman" w:cs="Times New Roman"/>
        </w:rPr>
      </w:pPr>
    </w:p>
    <w:p w14:paraId="3431C573" w14:textId="77777777" w:rsidR="009D2AA9" w:rsidRPr="00DA70A5" w:rsidRDefault="009D2AA9" w:rsidP="009D2AA9">
      <w:pPr>
        <w:rPr>
          <w:rFonts w:ascii="Times New Roman" w:hAnsi="Times New Roman" w:cs="Times New Roman"/>
        </w:rPr>
      </w:pPr>
    </w:p>
    <w:p w14:paraId="74709C6C" w14:textId="77777777" w:rsidR="009D2AA9" w:rsidRPr="00DA70A5" w:rsidRDefault="009D2AA9" w:rsidP="009D2AA9">
      <w:pPr>
        <w:rPr>
          <w:rFonts w:ascii="Times New Roman" w:hAnsi="Times New Roman" w:cs="Times New Roman"/>
        </w:rPr>
      </w:pPr>
    </w:p>
    <w:p w14:paraId="1F2DDEA9" w14:textId="77777777" w:rsidR="009D2AA9" w:rsidRPr="00DA70A5" w:rsidRDefault="009D2AA9" w:rsidP="009D2AA9">
      <w:pPr>
        <w:rPr>
          <w:rFonts w:ascii="Times New Roman" w:hAnsi="Times New Roman" w:cs="Times New Roman"/>
        </w:rPr>
      </w:pPr>
    </w:p>
    <w:p w14:paraId="3DC3C3F3" w14:textId="77777777" w:rsidR="009D2AA9" w:rsidRPr="00DA70A5" w:rsidRDefault="009D2AA9" w:rsidP="009D2AA9">
      <w:pPr>
        <w:rPr>
          <w:rFonts w:ascii="Times New Roman" w:hAnsi="Times New Roman" w:cs="Times New Roman"/>
        </w:rPr>
      </w:pPr>
    </w:p>
    <w:p w14:paraId="1A4110DB" w14:textId="77777777" w:rsidR="009D2AA9" w:rsidRPr="00DA70A5" w:rsidRDefault="009D2AA9" w:rsidP="009D2AA9">
      <w:pPr>
        <w:rPr>
          <w:rFonts w:ascii="Times New Roman" w:hAnsi="Times New Roman" w:cs="Times New Roman"/>
        </w:rPr>
      </w:pPr>
    </w:p>
    <w:p w14:paraId="4D30514A" w14:textId="77777777" w:rsidR="009D2AA9" w:rsidRPr="00DA70A5" w:rsidRDefault="009D2AA9" w:rsidP="009D2AA9">
      <w:pPr>
        <w:rPr>
          <w:rFonts w:ascii="Times New Roman" w:hAnsi="Times New Roman" w:cs="Times New Roman"/>
        </w:rPr>
      </w:pPr>
    </w:p>
    <w:p w14:paraId="51AB5268" w14:textId="77777777" w:rsidR="009D2AA9" w:rsidRPr="00DA70A5" w:rsidRDefault="009D2AA9" w:rsidP="009D2AA9">
      <w:pPr>
        <w:rPr>
          <w:rFonts w:ascii="Times New Roman" w:hAnsi="Times New Roman" w:cs="Times New Roman"/>
        </w:rPr>
      </w:pPr>
    </w:p>
    <w:p w14:paraId="34854768" w14:textId="77777777" w:rsidR="009D2AA9" w:rsidRPr="00DA70A5" w:rsidRDefault="009D2AA9" w:rsidP="009D2AA9">
      <w:pPr>
        <w:rPr>
          <w:rFonts w:ascii="Times New Roman" w:hAnsi="Times New Roman" w:cs="Times New Roman"/>
        </w:rPr>
      </w:pPr>
    </w:p>
    <w:p w14:paraId="781142A2" w14:textId="77777777" w:rsidR="009D2AA9" w:rsidRPr="00DA70A5" w:rsidRDefault="009D2AA9" w:rsidP="009D2AA9">
      <w:pPr>
        <w:rPr>
          <w:rFonts w:ascii="Times New Roman" w:hAnsi="Times New Roman" w:cs="Times New Roman"/>
        </w:rPr>
      </w:pPr>
    </w:p>
    <w:p w14:paraId="49364998" w14:textId="77777777" w:rsidR="009D2AA9" w:rsidRPr="00DA70A5" w:rsidRDefault="009D2AA9" w:rsidP="009D2AA9">
      <w:pPr>
        <w:rPr>
          <w:rFonts w:ascii="Times New Roman" w:hAnsi="Times New Roman" w:cs="Times New Roman"/>
        </w:rPr>
      </w:pPr>
    </w:p>
    <w:p w14:paraId="29784566" w14:textId="77777777" w:rsidR="009D2AA9" w:rsidRPr="00DA70A5" w:rsidRDefault="009D2AA9" w:rsidP="009D2AA9">
      <w:pPr>
        <w:rPr>
          <w:rFonts w:ascii="Times New Roman" w:hAnsi="Times New Roman" w:cs="Times New Roman"/>
        </w:rPr>
      </w:pPr>
    </w:p>
    <w:p w14:paraId="72E49720" w14:textId="4EFD54E1" w:rsidR="00CD73A9" w:rsidRPr="00B420AE" w:rsidRDefault="00CD73A9" w:rsidP="00B420AE">
      <w:pPr>
        <w:spacing w:line="480" w:lineRule="auto"/>
        <w:jc w:val="center"/>
        <w:rPr>
          <w:rFonts w:ascii="Times New Roman" w:hAnsi="Times New Roman" w:cs="Times New Roman"/>
          <w:b/>
        </w:rPr>
      </w:pPr>
      <w:r w:rsidRPr="00DA70A5">
        <w:rPr>
          <w:rFonts w:ascii="Times New Roman" w:hAnsi="Times New Roman" w:cs="Times New Roman"/>
          <w:b/>
        </w:rPr>
        <w:lastRenderedPageBreak/>
        <w:t>ACKNOWLEDGEMENT</w:t>
      </w:r>
      <w:r w:rsidR="00B420AE">
        <w:rPr>
          <w:rFonts w:ascii="Times New Roman" w:hAnsi="Times New Roman" w:cs="Times New Roman"/>
          <w:b/>
        </w:rPr>
        <w:t>S</w:t>
      </w:r>
    </w:p>
    <w:p w14:paraId="468696F1" w14:textId="2D0F86F7" w:rsidR="007F7A99" w:rsidRPr="00DA70A5" w:rsidRDefault="00472827" w:rsidP="00B420AE">
      <w:pPr>
        <w:spacing w:line="480" w:lineRule="auto"/>
        <w:ind w:firstLine="720"/>
        <w:rPr>
          <w:rFonts w:ascii="Times New Roman" w:hAnsi="Times New Roman" w:cs="Times New Roman"/>
        </w:rPr>
      </w:pPr>
      <w:r w:rsidRPr="00DA70A5">
        <w:rPr>
          <w:rFonts w:ascii="Times New Roman" w:hAnsi="Times New Roman" w:cs="Times New Roman"/>
        </w:rPr>
        <w:t xml:space="preserve">I </w:t>
      </w:r>
      <w:r w:rsidR="008C5E5A" w:rsidRPr="00DA70A5">
        <w:rPr>
          <w:rFonts w:ascii="Times New Roman" w:hAnsi="Times New Roman" w:cs="Times New Roman"/>
        </w:rPr>
        <w:t>wish to share my deep gratitude</w:t>
      </w:r>
      <w:r w:rsidRPr="00DA70A5">
        <w:rPr>
          <w:rFonts w:ascii="Times New Roman" w:hAnsi="Times New Roman" w:cs="Times New Roman"/>
        </w:rPr>
        <w:t xml:space="preserve"> to</w:t>
      </w:r>
      <w:r w:rsidR="008C5E5A" w:rsidRPr="00DA70A5">
        <w:rPr>
          <w:rFonts w:ascii="Times New Roman" w:hAnsi="Times New Roman" w:cs="Times New Roman"/>
        </w:rPr>
        <w:t>ward</w:t>
      </w:r>
      <w:r w:rsidRPr="00DA70A5">
        <w:rPr>
          <w:rFonts w:ascii="Times New Roman" w:hAnsi="Times New Roman" w:cs="Times New Roman"/>
        </w:rPr>
        <w:t xml:space="preserve"> my wonderful committee for their guidance in constructing this study and adaptability as the study grew and changed over the course of the past two years. To Dr. Kelchen, thank you for putting in the effort and support to give me </w:t>
      </w:r>
      <w:r w:rsidR="008C5E5A" w:rsidRPr="00DA70A5">
        <w:rPr>
          <w:rFonts w:ascii="Times New Roman" w:hAnsi="Times New Roman" w:cs="Times New Roman"/>
        </w:rPr>
        <w:t>the</w:t>
      </w:r>
      <w:r w:rsidRPr="00DA70A5">
        <w:rPr>
          <w:rFonts w:ascii="Times New Roman" w:hAnsi="Times New Roman" w:cs="Times New Roman"/>
        </w:rPr>
        <w:t xml:space="preserve"> </w:t>
      </w:r>
      <w:r w:rsidR="00BA4E58">
        <w:rPr>
          <w:rFonts w:ascii="Times New Roman" w:hAnsi="Times New Roman" w:cs="Times New Roman"/>
        </w:rPr>
        <w:t>intellectual</w:t>
      </w:r>
      <w:r w:rsidR="003D2F58">
        <w:rPr>
          <w:rFonts w:ascii="Times New Roman" w:hAnsi="Times New Roman" w:cs="Times New Roman"/>
        </w:rPr>
        <w:t xml:space="preserve"> and academic </w:t>
      </w:r>
      <w:r w:rsidRPr="00DA70A5">
        <w:rPr>
          <w:rFonts w:ascii="Times New Roman" w:hAnsi="Times New Roman" w:cs="Times New Roman"/>
        </w:rPr>
        <w:t xml:space="preserve">experience </w:t>
      </w:r>
      <w:r w:rsidR="0042665E">
        <w:rPr>
          <w:rFonts w:ascii="Times New Roman" w:hAnsi="Times New Roman" w:cs="Times New Roman"/>
        </w:rPr>
        <w:t>expected from a</w:t>
      </w:r>
      <w:r w:rsidR="0022395A">
        <w:rPr>
          <w:rFonts w:ascii="Times New Roman" w:hAnsi="Times New Roman" w:cs="Times New Roman"/>
        </w:rPr>
        <w:t xml:space="preserve"> </w:t>
      </w:r>
      <w:r w:rsidR="00B36CEE">
        <w:rPr>
          <w:rFonts w:ascii="Times New Roman" w:hAnsi="Times New Roman" w:cs="Times New Roman"/>
        </w:rPr>
        <w:t>Ph.D.</w:t>
      </w:r>
      <w:r w:rsidR="00CA4D1E">
        <w:rPr>
          <w:rFonts w:ascii="Times New Roman" w:hAnsi="Times New Roman" w:cs="Times New Roman"/>
        </w:rPr>
        <w:t xml:space="preserve"> program</w:t>
      </w:r>
      <w:r w:rsidRPr="00DA70A5">
        <w:rPr>
          <w:rFonts w:ascii="Times New Roman" w:hAnsi="Times New Roman" w:cs="Times New Roman"/>
        </w:rPr>
        <w:t xml:space="preserve">. To Dr. Carruthers, thank you for giving me the methodological </w:t>
      </w:r>
      <w:r w:rsidR="008C5E5A" w:rsidRPr="00DA70A5">
        <w:rPr>
          <w:rFonts w:ascii="Times New Roman" w:hAnsi="Times New Roman" w:cs="Times New Roman"/>
        </w:rPr>
        <w:t xml:space="preserve">footing </w:t>
      </w:r>
      <w:r w:rsidRPr="00DA70A5">
        <w:rPr>
          <w:rFonts w:ascii="Times New Roman" w:hAnsi="Times New Roman" w:cs="Times New Roman"/>
        </w:rPr>
        <w:t xml:space="preserve">needed for me to conduct this type of study. To Dr. Biddix, thank you for your support and </w:t>
      </w:r>
      <w:r w:rsidR="008C5E5A" w:rsidRPr="00DA70A5">
        <w:rPr>
          <w:rFonts w:ascii="Times New Roman" w:hAnsi="Times New Roman" w:cs="Times New Roman"/>
        </w:rPr>
        <w:t>willingness to include me on many opportunities within the department over the past four years</w:t>
      </w:r>
      <w:r w:rsidRPr="00DA70A5">
        <w:rPr>
          <w:rFonts w:ascii="Times New Roman" w:hAnsi="Times New Roman" w:cs="Times New Roman"/>
        </w:rPr>
        <w:t xml:space="preserve">. To Dr. Cheek, thank you for igniting my passion for researching free college programs. </w:t>
      </w:r>
      <w:r w:rsidR="008C5E5A" w:rsidRPr="00DA70A5">
        <w:rPr>
          <w:rFonts w:ascii="Times New Roman" w:hAnsi="Times New Roman" w:cs="Times New Roman"/>
        </w:rPr>
        <w:t xml:space="preserve">Finally, and by no means least, I want to thank Dr. Driscoll for serving as a scholarly </w:t>
      </w:r>
      <w:r w:rsidR="009D621E">
        <w:rPr>
          <w:rFonts w:ascii="Times New Roman" w:hAnsi="Times New Roman" w:cs="Times New Roman"/>
        </w:rPr>
        <w:t xml:space="preserve">as well as professional </w:t>
      </w:r>
      <w:r w:rsidR="008C5E5A" w:rsidRPr="00DA70A5">
        <w:rPr>
          <w:rFonts w:ascii="Times New Roman" w:hAnsi="Times New Roman" w:cs="Times New Roman"/>
        </w:rPr>
        <w:t xml:space="preserve">role model, mentor, and advocate for my growth – without you I would have never found my way to the world of education policy research. </w:t>
      </w:r>
      <w:r w:rsidR="00767DD1">
        <w:rPr>
          <w:rFonts w:ascii="Times New Roman" w:hAnsi="Times New Roman" w:cs="Times New Roman"/>
        </w:rPr>
        <w:t xml:space="preserve">Additionally, </w:t>
      </w:r>
      <w:r w:rsidR="00262D4B">
        <w:rPr>
          <w:rFonts w:ascii="Times New Roman" w:hAnsi="Times New Roman" w:cs="Times New Roman"/>
        </w:rPr>
        <w:t xml:space="preserve">I </w:t>
      </w:r>
      <w:r w:rsidR="00017E4E">
        <w:rPr>
          <w:rFonts w:ascii="Times New Roman" w:hAnsi="Times New Roman" w:cs="Times New Roman"/>
        </w:rPr>
        <w:t>am grateful for</w:t>
      </w:r>
      <w:r w:rsidR="00262D4B">
        <w:rPr>
          <w:rFonts w:ascii="Times New Roman" w:hAnsi="Times New Roman" w:cs="Times New Roman"/>
        </w:rPr>
        <w:t xml:space="preserve"> </w:t>
      </w:r>
      <w:r w:rsidR="003230F4">
        <w:rPr>
          <w:rFonts w:ascii="Times New Roman" w:hAnsi="Times New Roman" w:cs="Times New Roman"/>
        </w:rPr>
        <w:t xml:space="preserve">the </w:t>
      </w:r>
      <w:r w:rsidR="00F546E3">
        <w:rPr>
          <w:rFonts w:ascii="Times New Roman" w:hAnsi="Times New Roman" w:cs="Times New Roman"/>
        </w:rPr>
        <w:t>much-appreciated</w:t>
      </w:r>
      <w:r w:rsidR="003230F4">
        <w:rPr>
          <w:rFonts w:ascii="Times New Roman" w:hAnsi="Times New Roman" w:cs="Times New Roman"/>
        </w:rPr>
        <w:t xml:space="preserve"> support of </w:t>
      </w:r>
      <w:r w:rsidR="00017E4E">
        <w:rPr>
          <w:rFonts w:ascii="Times New Roman" w:hAnsi="Times New Roman" w:cs="Times New Roman"/>
        </w:rPr>
        <w:t xml:space="preserve">the Chancellor’s Office, the </w:t>
      </w:r>
      <w:r w:rsidR="00403E48">
        <w:rPr>
          <w:rFonts w:ascii="Times New Roman" w:hAnsi="Times New Roman" w:cs="Times New Roman"/>
        </w:rPr>
        <w:t xml:space="preserve">team of Tennessee’s </w:t>
      </w:r>
      <w:r w:rsidR="00017E4E">
        <w:rPr>
          <w:rFonts w:ascii="Times New Roman" w:hAnsi="Times New Roman" w:cs="Times New Roman"/>
        </w:rPr>
        <w:t xml:space="preserve">State Collaborative on Reforming Education, friends, and </w:t>
      </w:r>
      <w:r w:rsidR="00856DD6">
        <w:rPr>
          <w:rFonts w:ascii="Times New Roman" w:hAnsi="Times New Roman" w:cs="Times New Roman"/>
        </w:rPr>
        <w:t xml:space="preserve">especially my </w:t>
      </w:r>
      <w:r w:rsidR="001303D8">
        <w:rPr>
          <w:rFonts w:ascii="Times New Roman" w:hAnsi="Times New Roman" w:cs="Times New Roman"/>
        </w:rPr>
        <w:t>parents (Brenda and Eric Hyder)</w:t>
      </w:r>
      <w:r w:rsidR="00017E4E">
        <w:rPr>
          <w:rFonts w:ascii="Times New Roman" w:hAnsi="Times New Roman" w:cs="Times New Roman"/>
        </w:rPr>
        <w:t xml:space="preserve"> who have </w:t>
      </w:r>
      <w:r w:rsidR="00D07ABA">
        <w:rPr>
          <w:rFonts w:ascii="Times New Roman" w:hAnsi="Times New Roman" w:cs="Times New Roman"/>
        </w:rPr>
        <w:t>cheered</w:t>
      </w:r>
      <w:r w:rsidR="00017E4E">
        <w:rPr>
          <w:rFonts w:ascii="Times New Roman" w:hAnsi="Times New Roman" w:cs="Times New Roman"/>
        </w:rPr>
        <w:t xml:space="preserve"> me</w:t>
      </w:r>
      <w:r w:rsidR="00D07ABA">
        <w:rPr>
          <w:rFonts w:ascii="Times New Roman" w:hAnsi="Times New Roman" w:cs="Times New Roman"/>
        </w:rPr>
        <w:t xml:space="preserve"> on</w:t>
      </w:r>
      <w:r w:rsidR="00017E4E">
        <w:rPr>
          <w:rFonts w:ascii="Times New Roman" w:hAnsi="Times New Roman" w:cs="Times New Roman"/>
        </w:rPr>
        <w:t xml:space="preserve"> during this process.</w:t>
      </w:r>
      <w:r w:rsidR="00A22734">
        <w:rPr>
          <w:rFonts w:ascii="Times New Roman" w:hAnsi="Times New Roman" w:cs="Times New Roman"/>
        </w:rPr>
        <w:t xml:space="preserve"> </w:t>
      </w:r>
      <w:r w:rsidR="00441443">
        <w:rPr>
          <w:rFonts w:ascii="Times New Roman" w:hAnsi="Times New Roman" w:cs="Times New Roman"/>
        </w:rPr>
        <w:t>Brenda and Eric Hyder</w:t>
      </w:r>
      <w:r w:rsidR="00A22734">
        <w:rPr>
          <w:rFonts w:ascii="Times New Roman" w:hAnsi="Times New Roman" w:cs="Times New Roman"/>
        </w:rPr>
        <w:t xml:space="preserve"> are true exemplars of why sub-baccalaureate </w:t>
      </w:r>
      <w:r w:rsidR="009C7032">
        <w:rPr>
          <w:rFonts w:ascii="Times New Roman" w:hAnsi="Times New Roman" w:cs="Times New Roman"/>
        </w:rPr>
        <w:t>education</w:t>
      </w:r>
      <w:r w:rsidR="00A22734">
        <w:rPr>
          <w:rFonts w:ascii="Times New Roman" w:hAnsi="Times New Roman" w:cs="Times New Roman"/>
        </w:rPr>
        <w:t xml:space="preserve"> </w:t>
      </w:r>
      <w:r w:rsidR="009C7032">
        <w:rPr>
          <w:rFonts w:ascii="Times New Roman" w:hAnsi="Times New Roman" w:cs="Times New Roman"/>
        </w:rPr>
        <w:t>has the potential to transform the lives of many</w:t>
      </w:r>
      <w:r w:rsidR="00AF76E7">
        <w:rPr>
          <w:rFonts w:ascii="Times New Roman" w:hAnsi="Times New Roman" w:cs="Times New Roman"/>
        </w:rPr>
        <w:t xml:space="preserve"> and </w:t>
      </w:r>
      <w:r w:rsidR="00441443">
        <w:rPr>
          <w:rFonts w:ascii="Times New Roman" w:hAnsi="Times New Roman" w:cs="Times New Roman"/>
        </w:rPr>
        <w:t xml:space="preserve">why community college </w:t>
      </w:r>
      <w:r w:rsidR="00F75DA2">
        <w:rPr>
          <w:rFonts w:ascii="Times New Roman" w:hAnsi="Times New Roman" w:cs="Times New Roman"/>
        </w:rPr>
        <w:t xml:space="preserve">as well as postsecondary career and technical education </w:t>
      </w:r>
      <w:r w:rsidR="00AF76E7">
        <w:rPr>
          <w:rFonts w:ascii="Times New Roman" w:hAnsi="Times New Roman" w:cs="Times New Roman"/>
        </w:rPr>
        <w:t>should be studied</w:t>
      </w:r>
      <w:r w:rsidR="009B1336">
        <w:rPr>
          <w:rFonts w:ascii="Times New Roman" w:hAnsi="Times New Roman" w:cs="Times New Roman"/>
        </w:rPr>
        <w:t xml:space="preserve"> </w:t>
      </w:r>
      <w:r w:rsidR="00F33EB1">
        <w:rPr>
          <w:rFonts w:ascii="Times New Roman" w:hAnsi="Times New Roman" w:cs="Times New Roman"/>
        </w:rPr>
        <w:t>due to</w:t>
      </w:r>
      <w:r w:rsidR="009B1336">
        <w:rPr>
          <w:rFonts w:ascii="Times New Roman" w:hAnsi="Times New Roman" w:cs="Times New Roman"/>
        </w:rPr>
        <w:t xml:space="preserve"> it</w:t>
      </w:r>
      <w:r w:rsidR="00F33EB1">
        <w:rPr>
          <w:rFonts w:ascii="Times New Roman" w:hAnsi="Times New Roman" w:cs="Times New Roman"/>
        </w:rPr>
        <w:t>s</w:t>
      </w:r>
      <w:r w:rsidR="009B1336">
        <w:rPr>
          <w:rFonts w:ascii="Times New Roman" w:hAnsi="Times New Roman" w:cs="Times New Roman"/>
        </w:rPr>
        <w:t xml:space="preserve"> po</w:t>
      </w:r>
      <w:r w:rsidR="00F33EB1">
        <w:rPr>
          <w:rFonts w:ascii="Times New Roman" w:hAnsi="Times New Roman" w:cs="Times New Roman"/>
        </w:rPr>
        <w:t>tential</w:t>
      </w:r>
      <w:r w:rsidR="009B1336">
        <w:rPr>
          <w:rFonts w:ascii="Times New Roman" w:hAnsi="Times New Roman" w:cs="Times New Roman"/>
        </w:rPr>
        <w:t xml:space="preserve"> to transform lives, families, and communities</w:t>
      </w:r>
      <w:r w:rsidR="009C7032">
        <w:rPr>
          <w:rFonts w:ascii="Times New Roman" w:hAnsi="Times New Roman" w:cs="Times New Roman"/>
        </w:rPr>
        <w:t>.</w:t>
      </w:r>
      <w:r w:rsidR="00017E4E">
        <w:rPr>
          <w:rFonts w:ascii="Times New Roman" w:hAnsi="Times New Roman" w:cs="Times New Roman"/>
        </w:rPr>
        <w:t xml:space="preserve"> </w:t>
      </w:r>
      <w:r w:rsidR="00F65EF8">
        <w:rPr>
          <w:rFonts w:ascii="Times New Roman" w:hAnsi="Times New Roman" w:cs="Times New Roman"/>
        </w:rPr>
        <w:t>Lastly, I want to share a s</w:t>
      </w:r>
      <w:r w:rsidR="00BB5BD9">
        <w:rPr>
          <w:rFonts w:ascii="Times New Roman" w:hAnsi="Times New Roman" w:cs="Times New Roman"/>
        </w:rPr>
        <w:t>pecial thanks to</w:t>
      </w:r>
      <w:r w:rsidR="004C1478">
        <w:rPr>
          <w:rFonts w:ascii="Times New Roman" w:hAnsi="Times New Roman" w:cs="Times New Roman"/>
        </w:rPr>
        <w:t xml:space="preserve"> friends that went above and beyond </w:t>
      </w:r>
      <w:r w:rsidR="00B10417">
        <w:rPr>
          <w:rFonts w:ascii="Times New Roman" w:hAnsi="Times New Roman" w:cs="Times New Roman"/>
        </w:rPr>
        <w:t xml:space="preserve">for me during this time </w:t>
      </w:r>
      <w:r w:rsidR="00913C02">
        <w:rPr>
          <w:rFonts w:ascii="Times New Roman" w:hAnsi="Times New Roman" w:cs="Times New Roman"/>
        </w:rPr>
        <w:t>by listening to my ideas, providing assurance, and enriching my life during this process</w:t>
      </w:r>
      <w:r w:rsidR="00EF04D0">
        <w:rPr>
          <w:rFonts w:ascii="Times New Roman" w:hAnsi="Times New Roman" w:cs="Times New Roman"/>
        </w:rPr>
        <w:t>:</w:t>
      </w:r>
      <w:r w:rsidR="00BB5BD9">
        <w:rPr>
          <w:rFonts w:ascii="Times New Roman" w:hAnsi="Times New Roman" w:cs="Times New Roman"/>
        </w:rPr>
        <w:t xml:space="preserve"> </w:t>
      </w:r>
      <w:r w:rsidR="00C47199">
        <w:rPr>
          <w:rFonts w:ascii="Times New Roman" w:hAnsi="Times New Roman" w:cs="Times New Roman"/>
        </w:rPr>
        <w:t xml:space="preserve">Abigail B., </w:t>
      </w:r>
      <w:r w:rsidR="0065377B">
        <w:rPr>
          <w:rFonts w:ascii="Times New Roman" w:hAnsi="Times New Roman" w:cs="Times New Roman"/>
        </w:rPr>
        <w:t>Adam M</w:t>
      </w:r>
      <w:r w:rsidR="0083735A">
        <w:rPr>
          <w:rFonts w:ascii="Times New Roman" w:hAnsi="Times New Roman" w:cs="Times New Roman"/>
        </w:rPr>
        <w:t>.</w:t>
      </w:r>
      <w:r w:rsidR="0065377B">
        <w:rPr>
          <w:rFonts w:ascii="Times New Roman" w:hAnsi="Times New Roman" w:cs="Times New Roman"/>
        </w:rPr>
        <w:t xml:space="preserve">, </w:t>
      </w:r>
      <w:r w:rsidR="00F7291F">
        <w:rPr>
          <w:rFonts w:ascii="Times New Roman" w:hAnsi="Times New Roman" w:cs="Times New Roman"/>
        </w:rPr>
        <w:t>Amy H.,</w:t>
      </w:r>
      <w:r w:rsidR="00551D05">
        <w:rPr>
          <w:rFonts w:ascii="Times New Roman" w:hAnsi="Times New Roman" w:cs="Times New Roman"/>
        </w:rPr>
        <w:t xml:space="preserve"> </w:t>
      </w:r>
      <w:r w:rsidR="0013310A">
        <w:rPr>
          <w:rFonts w:ascii="Times New Roman" w:hAnsi="Times New Roman" w:cs="Times New Roman"/>
        </w:rPr>
        <w:t xml:space="preserve">Antonia R., </w:t>
      </w:r>
      <w:r w:rsidR="00A21177">
        <w:rPr>
          <w:rFonts w:ascii="Times New Roman" w:hAnsi="Times New Roman" w:cs="Times New Roman"/>
        </w:rPr>
        <w:t xml:space="preserve">Blake W., </w:t>
      </w:r>
      <w:r w:rsidR="00423C9D">
        <w:rPr>
          <w:rFonts w:ascii="Times New Roman" w:hAnsi="Times New Roman" w:cs="Times New Roman"/>
        </w:rPr>
        <w:t xml:space="preserve">Christine L., </w:t>
      </w:r>
      <w:r w:rsidR="00265FFA">
        <w:rPr>
          <w:rFonts w:ascii="Times New Roman" w:hAnsi="Times New Roman" w:cs="Times New Roman"/>
        </w:rPr>
        <w:t xml:space="preserve">Dale T., </w:t>
      </w:r>
      <w:r w:rsidR="009556A6">
        <w:rPr>
          <w:rFonts w:ascii="Times New Roman" w:hAnsi="Times New Roman" w:cs="Times New Roman"/>
        </w:rPr>
        <w:t xml:space="preserve">David R., </w:t>
      </w:r>
      <w:r w:rsidR="00757B05">
        <w:rPr>
          <w:rFonts w:ascii="Times New Roman" w:hAnsi="Times New Roman" w:cs="Times New Roman"/>
        </w:rPr>
        <w:t>Eilleen E.</w:t>
      </w:r>
      <w:r w:rsidR="0065377B">
        <w:rPr>
          <w:rFonts w:ascii="Times New Roman" w:hAnsi="Times New Roman" w:cs="Times New Roman"/>
        </w:rPr>
        <w:t xml:space="preserve">, Gresham </w:t>
      </w:r>
      <w:r w:rsidR="0095651A">
        <w:rPr>
          <w:rFonts w:ascii="Times New Roman" w:hAnsi="Times New Roman" w:cs="Times New Roman"/>
        </w:rPr>
        <w:t>C</w:t>
      </w:r>
      <w:r w:rsidR="0065377B">
        <w:rPr>
          <w:rFonts w:ascii="Times New Roman" w:hAnsi="Times New Roman" w:cs="Times New Roman"/>
        </w:rPr>
        <w:t xml:space="preserve">., </w:t>
      </w:r>
      <w:r w:rsidR="00C54980">
        <w:rPr>
          <w:rFonts w:ascii="Times New Roman" w:hAnsi="Times New Roman" w:cs="Times New Roman"/>
        </w:rPr>
        <w:lastRenderedPageBreak/>
        <w:t>Jon M.</w:t>
      </w:r>
      <w:r w:rsidR="00AA14C9">
        <w:rPr>
          <w:rFonts w:ascii="Times New Roman" w:hAnsi="Times New Roman" w:cs="Times New Roman"/>
        </w:rPr>
        <w:t>,</w:t>
      </w:r>
      <w:r w:rsidR="007E3A4A">
        <w:rPr>
          <w:rFonts w:ascii="Times New Roman" w:hAnsi="Times New Roman" w:cs="Times New Roman"/>
        </w:rPr>
        <w:t xml:space="preserve"> John U.</w:t>
      </w:r>
      <w:r w:rsidR="00C54980">
        <w:rPr>
          <w:rFonts w:ascii="Times New Roman" w:hAnsi="Times New Roman" w:cs="Times New Roman"/>
        </w:rPr>
        <w:t xml:space="preserve">, </w:t>
      </w:r>
      <w:r w:rsidR="0065377B">
        <w:rPr>
          <w:rFonts w:ascii="Times New Roman" w:hAnsi="Times New Roman" w:cs="Times New Roman"/>
        </w:rPr>
        <w:t>Maggie P.</w:t>
      </w:r>
      <w:r w:rsidR="00C47199">
        <w:rPr>
          <w:rFonts w:ascii="Times New Roman" w:hAnsi="Times New Roman" w:cs="Times New Roman"/>
        </w:rPr>
        <w:t>,</w:t>
      </w:r>
      <w:r w:rsidR="0065377B">
        <w:rPr>
          <w:rFonts w:ascii="Times New Roman" w:hAnsi="Times New Roman" w:cs="Times New Roman"/>
        </w:rPr>
        <w:t xml:space="preserve"> </w:t>
      </w:r>
      <w:r w:rsidR="00401A63">
        <w:rPr>
          <w:rFonts w:ascii="Times New Roman" w:hAnsi="Times New Roman" w:cs="Times New Roman"/>
        </w:rPr>
        <w:t xml:space="preserve">Matt K., </w:t>
      </w:r>
      <w:r w:rsidR="006218B6">
        <w:rPr>
          <w:rFonts w:ascii="Times New Roman" w:hAnsi="Times New Roman" w:cs="Times New Roman"/>
        </w:rPr>
        <w:t>Maria M.</w:t>
      </w:r>
      <w:r w:rsidR="00F07BD1">
        <w:rPr>
          <w:rFonts w:ascii="Times New Roman" w:hAnsi="Times New Roman" w:cs="Times New Roman"/>
        </w:rPr>
        <w:t xml:space="preserve"> W.</w:t>
      </w:r>
      <w:r w:rsidR="004E384A">
        <w:rPr>
          <w:rFonts w:ascii="Times New Roman" w:hAnsi="Times New Roman" w:cs="Times New Roman"/>
        </w:rPr>
        <w:t>,</w:t>
      </w:r>
      <w:r w:rsidR="006218B6">
        <w:rPr>
          <w:rFonts w:ascii="Times New Roman" w:hAnsi="Times New Roman" w:cs="Times New Roman"/>
        </w:rPr>
        <w:t xml:space="preserve"> </w:t>
      </w:r>
      <w:r w:rsidR="00F7291F">
        <w:rPr>
          <w:rFonts w:ascii="Times New Roman" w:hAnsi="Times New Roman" w:cs="Times New Roman"/>
        </w:rPr>
        <w:t xml:space="preserve">Mary H., </w:t>
      </w:r>
      <w:r w:rsidR="004B320D">
        <w:rPr>
          <w:rFonts w:ascii="Times New Roman" w:hAnsi="Times New Roman" w:cs="Times New Roman"/>
        </w:rPr>
        <w:t>and Matilda Hortence</w:t>
      </w:r>
      <w:r w:rsidR="00811FAD">
        <w:rPr>
          <w:rFonts w:ascii="Times New Roman" w:hAnsi="Times New Roman" w:cs="Times New Roman"/>
        </w:rPr>
        <w:t xml:space="preserve"> H.</w:t>
      </w:r>
      <w:r w:rsidR="00612FB1">
        <w:rPr>
          <w:rFonts w:ascii="Times New Roman" w:hAnsi="Times New Roman" w:cs="Times New Roman"/>
        </w:rPr>
        <w:t xml:space="preserve"> (my </w:t>
      </w:r>
      <w:r w:rsidR="008E1670">
        <w:rPr>
          <w:rFonts w:ascii="Times New Roman" w:hAnsi="Times New Roman" w:cs="Times New Roman"/>
        </w:rPr>
        <w:t>talkative</w:t>
      </w:r>
      <w:r w:rsidR="00A71505">
        <w:rPr>
          <w:rFonts w:ascii="Times New Roman" w:hAnsi="Times New Roman" w:cs="Times New Roman"/>
        </w:rPr>
        <w:t xml:space="preserve"> cat</w:t>
      </w:r>
      <w:r w:rsidR="008E1670">
        <w:rPr>
          <w:rFonts w:ascii="Times New Roman" w:hAnsi="Times New Roman" w:cs="Times New Roman"/>
        </w:rPr>
        <w:t xml:space="preserve"> </w:t>
      </w:r>
      <w:r w:rsidR="00A71505">
        <w:rPr>
          <w:rFonts w:ascii="Times New Roman" w:hAnsi="Times New Roman" w:cs="Times New Roman"/>
        </w:rPr>
        <w:t>and</w:t>
      </w:r>
      <w:r w:rsidR="008E1670">
        <w:rPr>
          <w:rFonts w:ascii="Times New Roman" w:hAnsi="Times New Roman" w:cs="Times New Roman"/>
        </w:rPr>
        <w:t xml:space="preserve"> perpetually grumpy </w:t>
      </w:r>
      <w:r w:rsidR="00A71505">
        <w:rPr>
          <w:rFonts w:ascii="Times New Roman" w:hAnsi="Times New Roman" w:cs="Times New Roman"/>
        </w:rPr>
        <w:t>companion</w:t>
      </w:r>
      <w:r w:rsidR="004D0BAF">
        <w:rPr>
          <w:rFonts w:ascii="Times New Roman" w:hAnsi="Times New Roman" w:cs="Times New Roman"/>
        </w:rPr>
        <w:t>)</w:t>
      </w:r>
      <w:r w:rsidR="00913C02">
        <w:rPr>
          <w:rFonts w:ascii="Times New Roman" w:hAnsi="Times New Roman" w:cs="Times New Roman"/>
        </w:rPr>
        <w:t>.</w:t>
      </w:r>
      <w:r w:rsidR="00F04F61">
        <w:rPr>
          <w:rFonts w:ascii="Times New Roman" w:hAnsi="Times New Roman" w:cs="Times New Roman"/>
        </w:rPr>
        <w:t xml:space="preserve"> </w:t>
      </w:r>
      <w:r w:rsidR="00CD73A9" w:rsidRPr="00DA70A5">
        <w:rPr>
          <w:rFonts w:ascii="Times New Roman" w:hAnsi="Times New Roman" w:cs="Times New Roman"/>
        </w:rPr>
        <w:br w:type="page"/>
      </w:r>
    </w:p>
    <w:p w14:paraId="522DE0A6" w14:textId="24AC9680" w:rsidR="008A4E30" w:rsidRPr="00DA70A5" w:rsidRDefault="00236E6D" w:rsidP="00B420AE">
      <w:pPr>
        <w:spacing w:line="480" w:lineRule="auto"/>
        <w:jc w:val="center"/>
        <w:rPr>
          <w:rFonts w:ascii="Times New Roman" w:hAnsi="Times New Roman" w:cs="Times New Roman"/>
        </w:rPr>
      </w:pPr>
      <w:r w:rsidRPr="00DA70A5">
        <w:rPr>
          <w:rFonts w:ascii="Times New Roman" w:hAnsi="Times New Roman" w:cs="Times New Roman"/>
          <w:b/>
          <w:bCs/>
        </w:rPr>
        <w:lastRenderedPageBreak/>
        <w:t>ABSTRACT</w:t>
      </w:r>
    </w:p>
    <w:p w14:paraId="70500525" w14:textId="01C2AE7D" w:rsidR="003365D3" w:rsidRDefault="000E3C8D" w:rsidP="00B420AE">
      <w:pPr>
        <w:spacing w:line="480" w:lineRule="auto"/>
        <w:ind w:firstLine="720"/>
        <w:rPr>
          <w:rFonts w:ascii="Times New Roman" w:hAnsi="Times New Roman" w:cs="Times New Roman"/>
        </w:rPr>
      </w:pPr>
      <w:r>
        <w:rPr>
          <w:rFonts w:ascii="Times New Roman" w:hAnsi="Times New Roman" w:cs="Times New Roman"/>
        </w:rPr>
        <w:t>Over the past two decades, free college programs</w:t>
      </w:r>
      <w:r w:rsidR="00517F23">
        <w:rPr>
          <w:rFonts w:ascii="Times New Roman" w:hAnsi="Times New Roman" w:cs="Times New Roman"/>
        </w:rPr>
        <w:t>,</w:t>
      </w:r>
      <w:r>
        <w:rPr>
          <w:rFonts w:ascii="Times New Roman" w:hAnsi="Times New Roman" w:cs="Times New Roman"/>
        </w:rPr>
        <w:t xml:space="preserve"> colloquially referred to as promise programs</w:t>
      </w:r>
      <w:r w:rsidR="00517F23">
        <w:rPr>
          <w:rFonts w:ascii="Times New Roman" w:hAnsi="Times New Roman" w:cs="Times New Roman"/>
        </w:rPr>
        <w:t>,</w:t>
      </w:r>
      <w:r>
        <w:rPr>
          <w:rFonts w:ascii="Times New Roman" w:hAnsi="Times New Roman" w:cs="Times New Roman"/>
        </w:rPr>
        <w:t xml:space="preserve"> have emerged as </w:t>
      </w:r>
      <w:r w:rsidR="00F75DA2">
        <w:rPr>
          <w:rFonts w:ascii="Times New Roman" w:hAnsi="Times New Roman" w:cs="Times New Roman"/>
        </w:rPr>
        <w:t xml:space="preserve">a </w:t>
      </w:r>
      <w:r>
        <w:rPr>
          <w:rFonts w:ascii="Times New Roman" w:hAnsi="Times New Roman" w:cs="Times New Roman"/>
        </w:rPr>
        <w:t>solution to address increasing postsecondary education costs</w:t>
      </w:r>
      <w:r w:rsidR="00D0067C">
        <w:rPr>
          <w:rFonts w:ascii="Times New Roman" w:hAnsi="Times New Roman" w:cs="Times New Roman"/>
        </w:rPr>
        <w:t xml:space="preserve"> and increase the number of educated workers in regional workforces</w:t>
      </w:r>
      <w:r w:rsidR="007D3306">
        <w:rPr>
          <w:rFonts w:ascii="Times New Roman" w:hAnsi="Times New Roman" w:cs="Times New Roman"/>
        </w:rPr>
        <w:t xml:space="preserve">. </w:t>
      </w:r>
      <w:r w:rsidR="000B50B5">
        <w:rPr>
          <w:rFonts w:ascii="Times New Roman" w:hAnsi="Times New Roman" w:cs="Times New Roman"/>
        </w:rPr>
        <w:t>Past research on promise programs ha</w:t>
      </w:r>
      <w:r w:rsidR="00681573">
        <w:rPr>
          <w:rFonts w:ascii="Times New Roman" w:hAnsi="Times New Roman" w:cs="Times New Roman"/>
        </w:rPr>
        <w:t>s</w:t>
      </w:r>
      <w:r w:rsidR="000B50B5">
        <w:rPr>
          <w:rFonts w:ascii="Times New Roman" w:hAnsi="Times New Roman" w:cs="Times New Roman"/>
        </w:rPr>
        <w:t xml:space="preserve"> provided evidence that these programs are effective at significantly improving the student outcomes of enrollment and graduation. However, there has yet to be a study that could provide a</w:t>
      </w:r>
      <w:r w:rsidR="00E95914">
        <w:rPr>
          <w:rFonts w:ascii="Times New Roman" w:hAnsi="Times New Roman" w:cs="Times New Roman"/>
        </w:rPr>
        <w:t xml:space="preserve"> </w:t>
      </w:r>
      <w:r w:rsidR="006B6D02">
        <w:rPr>
          <w:rFonts w:ascii="Times New Roman" w:hAnsi="Times New Roman" w:cs="Times New Roman"/>
        </w:rPr>
        <w:t>standard</w:t>
      </w:r>
      <w:r w:rsidR="00E95914">
        <w:rPr>
          <w:rFonts w:ascii="Times New Roman" w:hAnsi="Times New Roman" w:cs="Times New Roman"/>
        </w:rPr>
        <w:t xml:space="preserve">, nationwide </w:t>
      </w:r>
      <w:r w:rsidR="000B50B5">
        <w:rPr>
          <w:rFonts w:ascii="Times New Roman" w:hAnsi="Times New Roman" w:cs="Times New Roman"/>
        </w:rPr>
        <w:t>estimate for the effect of these programs</w:t>
      </w:r>
      <w:r w:rsidR="006B6D02">
        <w:rPr>
          <w:rFonts w:ascii="Times New Roman" w:hAnsi="Times New Roman" w:cs="Times New Roman"/>
        </w:rPr>
        <w:t xml:space="preserve">. I </w:t>
      </w:r>
      <w:r w:rsidR="000D7BCC">
        <w:rPr>
          <w:rFonts w:ascii="Times New Roman" w:hAnsi="Times New Roman" w:cs="Times New Roman"/>
        </w:rPr>
        <w:t>utilize</w:t>
      </w:r>
      <w:r w:rsidR="006B6D02">
        <w:rPr>
          <w:rFonts w:ascii="Times New Roman" w:hAnsi="Times New Roman" w:cs="Times New Roman"/>
        </w:rPr>
        <w:t xml:space="preserve"> a staggered difference-in-difference (sometimes </w:t>
      </w:r>
      <w:r w:rsidR="000D7BCC">
        <w:rPr>
          <w:rFonts w:ascii="Times New Roman" w:hAnsi="Times New Roman" w:cs="Times New Roman"/>
        </w:rPr>
        <w:t>referred</w:t>
      </w:r>
      <w:r w:rsidR="006B6D02">
        <w:rPr>
          <w:rFonts w:ascii="Times New Roman" w:hAnsi="Times New Roman" w:cs="Times New Roman"/>
        </w:rPr>
        <w:t xml:space="preserve"> to as an event study or heterogenous treatment</w:t>
      </w:r>
      <w:r w:rsidR="00C400B7">
        <w:rPr>
          <w:rFonts w:ascii="Times New Roman" w:hAnsi="Times New Roman" w:cs="Times New Roman"/>
        </w:rPr>
        <w:t>-timing</w:t>
      </w:r>
      <w:r w:rsidR="006B6D02">
        <w:rPr>
          <w:rFonts w:ascii="Times New Roman" w:hAnsi="Times New Roman" w:cs="Times New Roman"/>
        </w:rPr>
        <w:t xml:space="preserve"> </w:t>
      </w:r>
      <w:r w:rsidR="000D7BCC">
        <w:rPr>
          <w:rFonts w:ascii="Times New Roman" w:hAnsi="Times New Roman" w:cs="Times New Roman"/>
        </w:rPr>
        <w:t xml:space="preserve">difference-in-difference design) to estimate the effect of promise program adoption on the number of </w:t>
      </w:r>
      <w:r w:rsidR="0028172D">
        <w:rPr>
          <w:rFonts w:ascii="Times New Roman" w:hAnsi="Times New Roman" w:cs="Times New Roman"/>
        </w:rPr>
        <w:t xml:space="preserve">sub-baccalaureate </w:t>
      </w:r>
      <w:r w:rsidR="000D7BCC">
        <w:rPr>
          <w:rFonts w:ascii="Times New Roman" w:hAnsi="Times New Roman" w:cs="Times New Roman"/>
        </w:rPr>
        <w:t>awards</w:t>
      </w:r>
      <w:r w:rsidR="000F2D46">
        <w:rPr>
          <w:rFonts w:ascii="Times New Roman" w:hAnsi="Times New Roman" w:cs="Times New Roman"/>
        </w:rPr>
        <w:t xml:space="preserve"> that publicly controlled</w:t>
      </w:r>
      <w:r w:rsidR="00C400B7">
        <w:rPr>
          <w:rFonts w:ascii="Times New Roman" w:hAnsi="Times New Roman" w:cs="Times New Roman"/>
        </w:rPr>
        <w:t>, sub-baccalaureate award granting</w:t>
      </w:r>
      <w:r w:rsidR="000D7BCC">
        <w:rPr>
          <w:rFonts w:ascii="Times New Roman" w:hAnsi="Times New Roman" w:cs="Times New Roman"/>
        </w:rPr>
        <w:t xml:space="preserve"> institutions produce. </w:t>
      </w:r>
      <w:r w:rsidR="0028172D">
        <w:rPr>
          <w:rFonts w:ascii="Times New Roman" w:hAnsi="Times New Roman" w:cs="Times New Roman"/>
        </w:rPr>
        <w:t xml:space="preserve">I examine this outcome across two research questions that consider program length and field of study. My research question concerning program length examines </w:t>
      </w:r>
      <w:r w:rsidR="000F2D46">
        <w:rPr>
          <w:rFonts w:ascii="Times New Roman" w:hAnsi="Times New Roman" w:cs="Times New Roman"/>
        </w:rPr>
        <w:t xml:space="preserve">all sub-baccalaureate awards, </w:t>
      </w:r>
      <w:r w:rsidR="007B7926">
        <w:rPr>
          <w:rFonts w:ascii="Times New Roman" w:hAnsi="Times New Roman" w:cs="Times New Roman"/>
        </w:rPr>
        <w:t xml:space="preserve">associate’s degrees, all credentials, credentials that take between 1 and 2 years to complete, and credentials that take less than one year to complete. My research question concerning program length examines awards across the </w:t>
      </w:r>
      <w:r w:rsidR="00826236">
        <w:rPr>
          <w:rFonts w:ascii="Times New Roman" w:hAnsi="Times New Roman" w:cs="Times New Roman"/>
        </w:rPr>
        <w:t xml:space="preserve">fields of Science, Technology, Engineering, and </w:t>
      </w:r>
      <w:r w:rsidR="009447B4">
        <w:rPr>
          <w:rFonts w:ascii="Times New Roman" w:hAnsi="Times New Roman" w:cs="Times New Roman"/>
        </w:rPr>
        <w:t>Math</w:t>
      </w:r>
      <w:r w:rsidR="00826236">
        <w:rPr>
          <w:rFonts w:ascii="Times New Roman" w:hAnsi="Times New Roman" w:cs="Times New Roman"/>
        </w:rPr>
        <w:t xml:space="preserve"> (STEM); trades</w:t>
      </w:r>
      <w:r w:rsidR="00DA0C31">
        <w:rPr>
          <w:rFonts w:ascii="Times New Roman" w:hAnsi="Times New Roman" w:cs="Times New Roman"/>
        </w:rPr>
        <w:t>;</w:t>
      </w:r>
      <w:r w:rsidR="00826236">
        <w:rPr>
          <w:rFonts w:ascii="Times New Roman" w:hAnsi="Times New Roman" w:cs="Times New Roman"/>
        </w:rPr>
        <w:t xml:space="preserve"> liberal arts</w:t>
      </w:r>
      <w:r w:rsidR="00DA0C31">
        <w:rPr>
          <w:rFonts w:ascii="Times New Roman" w:hAnsi="Times New Roman" w:cs="Times New Roman"/>
        </w:rPr>
        <w:t xml:space="preserve">; </w:t>
      </w:r>
      <w:r w:rsidR="003365D3">
        <w:rPr>
          <w:rFonts w:ascii="Times New Roman" w:hAnsi="Times New Roman" w:cs="Times New Roman"/>
        </w:rPr>
        <w:t>human services</w:t>
      </w:r>
      <w:r w:rsidR="00DA0C31">
        <w:rPr>
          <w:rFonts w:ascii="Times New Roman" w:hAnsi="Times New Roman" w:cs="Times New Roman"/>
        </w:rPr>
        <w:t>;</w:t>
      </w:r>
      <w:r w:rsidR="003365D3">
        <w:rPr>
          <w:rFonts w:ascii="Times New Roman" w:hAnsi="Times New Roman" w:cs="Times New Roman"/>
        </w:rPr>
        <w:t xml:space="preserve"> and professional services programs. </w:t>
      </w:r>
    </w:p>
    <w:p w14:paraId="2B152536" w14:textId="79005749" w:rsidR="003365D3" w:rsidRPr="00DA70A5" w:rsidRDefault="00C82656" w:rsidP="00B420AE">
      <w:pPr>
        <w:spacing w:line="480" w:lineRule="auto"/>
        <w:ind w:firstLine="720"/>
        <w:rPr>
          <w:rFonts w:ascii="Times New Roman" w:hAnsi="Times New Roman" w:cs="Times New Roman"/>
        </w:rPr>
      </w:pPr>
      <w:r>
        <w:rPr>
          <w:rFonts w:ascii="Times New Roman" w:hAnsi="Times New Roman" w:cs="Times New Roman"/>
        </w:rPr>
        <w:t xml:space="preserve">Analysis of pre-treatment trends data found that all outcomes mentioned above were appropriate for </w:t>
      </w:r>
      <w:r w:rsidR="00CA0D4A">
        <w:rPr>
          <w:rFonts w:ascii="Times New Roman" w:hAnsi="Times New Roman" w:cs="Times New Roman"/>
        </w:rPr>
        <w:t xml:space="preserve">analysis through a staggered difference-in-difference approach </w:t>
      </w:r>
      <w:proofErr w:type="gramStart"/>
      <w:r w:rsidR="00CA0D4A">
        <w:rPr>
          <w:rFonts w:ascii="Times New Roman" w:hAnsi="Times New Roman" w:cs="Times New Roman"/>
        </w:rPr>
        <w:t>with the exception of</w:t>
      </w:r>
      <w:proofErr w:type="gramEnd"/>
      <w:r w:rsidR="00CA0D4A">
        <w:rPr>
          <w:rFonts w:ascii="Times New Roman" w:hAnsi="Times New Roman" w:cs="Times New Roman"/>
        </w:rPr>
        <w:t xml:space="preserve"> awards in the field of professional services. </w:t>
      </w:r>
      <w:r w:rsidR="003365D3">
        <w:rPr>
          <w:rFonts w:ascii="Times New Roman" w:hAnsi="Times New Roman" w:cs="Times New Roman"/>
        </w:rPr>
        <w:t xml:space="preserve">I find evidence that </w:t>
      </w:r>
      <w:r w:rsidR="00D0067C">
        <w:rPr>
          <w:rFonts w:ascii="Times New Roman" w:hAnsi="Times New Roman" w:cs="Times New Roman"/>
        </w:rPr>
        <w:t xml:space="preserve">promise programs do increase the number of awards </w:t>
      </w:r>
      <w:r w:rsidR="0009426F">
        <w:rPr>
          <w:rFonts w:ascii="Times New Roman" w:hAnsi="Times New Roman" w:cs="Times New Roman"/>
        </w:rPr>
        <w:t>produced by institutions</w:t>
      </w:r>
      <w:r w:rsidR="00CA0D4A">
        <w:rPr>
          <w:rFonts w:ascii="Times New Roman" w:hAnsi="Times New Roman" w:cs="Times New Roman"/>
        </w:rPr>
        <w:t xml:space="preserve"> for the outcomes </w:t>
      </w:r>
      <w:r w:rsidR="00CA0D4A">
        <w:rPr>
          <w:rFonts w:ascii="Times New Roman" w:hAnsi="Times New Roman" w:cs="Times New Roman"/>
        </w:rPr>
        <w:lastRenderedPageBreak/>
        <w:t xml:space="preserve">that are appropriate for </w:t>
      </w:r>
      <w:r w:rsidR="00DE2511">
        <w:rPr>
          <w:rFonts w:ascii="Times New Roman" w:hAnsi="Times New Roman" w:cs="Times New Roman"/>
        </w:rPr>
        <w:t>my analytical approach</w:t>
      </w:r>
      <w:r w:rsidR="000B180E">
        <w:rPr>
          <w:rFonts w:ascii="Times New Roman" w:hAnsi="Times New Roman" w:cs="Times New Roman"/>
        </w:rPr>
        <w:t xml:space="preserve">. However, this estimate varies by both length of program and </w:t>
      </w:r>
      <w:r w:rsidR="00BC1C68">
        <w:rPr>
          <w:rFonts w:ascii="Times New Roman" w:hAnsi="Times New Roman" w:cs="Times New Roman"/>
        </w:rPr>
        <w:t>I find no</w:t>
      </w:r>
      <w:r w:rsidR="00CB1A66">
        <w:rPr>
          <w:rFonts w:ascii="Times New Roman" w:hAnsi="Times New Roman" w:cs="Times New Roman"/>
        </w:rPr>
        <w:t xml:space="preserve"> </w:t>
      </w:r>
      <w:r w:rsidR="00BC1C68">
        <w:rPr>
          <w:rFonts w:ascii="Times New Roman" w:hAnsi="Times New Roman" w:cs="Times New Roman"/>
        </w:rPr>
        <w:t xml:space="preserve">statistically </w:t>
      </w:r>
      <w:r w:rsidR="008C6321">
        <w:rPr>
          <w:rFonts w:ascii="Times New Roman" w:hAnsi="Times New Roman" w:cs="Times New Roman"/>
        </w:rPr>
        <w:t>significant</w:t>
      </w:r>
      <w:r w:rsidR="00BC1C68">
        <w:rPr>
          <w:rFonts w:ascii="Times New Roman" w:hAnsi="Times New Roman" w:cs="Times New Roman"/>
        </w:rPr>
        <w:t xml:space="preserve"> changes when examining programs</w:t>
      </w:r>
      <w:r>
        <w:rPr>
          <w:rFonts w:ascii="Times New Roman" w:hAnsi="Times New Roman" w:cs="Times New Roman"/>
        </w:rPr>
        <w:t xml:space="preserve"> </w:t>
      </w:r>
      <w:r w:rsidR="008C6321">
        <w:rPr>
          <w:rFonts w:ascii="Times New Roman" w:hAnsi="Times New Roman" w:cs="Times New Roman"/>
        </w:rPr>
        <w:t>by academic area of study. My</w:t>
      </w:r>
      <w:r w:rsidR="00DE2511">
        <w:rPr>
          <w:rFonts w:ascii="Times New Roman" w:hAnsi="Times New Roman" w:cs="Times New Roman"/>
        </w:rPr>
        <w:t xml:space="preserve"> research has implications for and ongoing institutional, state, and federal level discussions over pending decisions to alter existing or adopt new free college promise programs. </w:t>
      </w:r>
      <w:r w:rsidR="003A0084">
        <w:rPr>
          <w:rFonts w:ascii="Times New Roman" w:hAnsi="Times New Roman" w:cs="Times New Roman"/>
        </w:rPr>
        <w:t xml:space="preserve">It also provides evidence that these free college programs </w:t>
      </w:r>
      <w:r w:rsidR="00ED518C">
        <w:rPr>
          <w:rFonts w:ascii="Times New Roman" w:hAnsi="Times New Roman" w:cs="Times New Roman"/>
        </w:rPr>
        <w:t>accomplish the key goal of these programs, to</w:t>
      </w:r>
      <w:r w:rsidR="003A0084">
        <w:rPr>
          <w:rFonts w:ascii="Times New Roman" w:hAnsi="Times New Roman" w:cs="Times New Roman"/>
        </w:rPr>
        <w:t xml:space="preserve"> increas</w:t>
      </w:r>
      <w:r w:rsidR="00ED518C">
        <w:rPr>
          <w:rFonts w:ascii="Times New Roman" w:hAnsi="Times New Roman" w:cs="Times New Roman"/>
        </w:rPr>
        <w:t>e</w:t>
      </w:r>
      <w:r w:rsidR="003A0084">
        <w:rPr>
          <w:rFonts w:ascii="Times New Roman" w:hAnsi="Times New Roman" w:cs="Times New Roman"/>
        </w:rPr>
        <w:t xml:space="preserve"> the number of educated workers in labor market</w:t>
      </w:r>
      <w:r w:rsidR="00436482">
        <w:rPr>
          <w:rFonts w:ascii="Times New Roman" w:hAnsi="Times New Roman" w:cs="Times New Roman"/>
        </w:rPr>
        <w:t>s</w:t>
      </w:r>
      <w:r w:rsidR="003A0084">
        <w:rPr>
          <w:rFonts w:ascii="Times New Roman" w:hAnsi="Times New Roman" w:cs="Times New Roman"/>
        </w:rPr>
        <w:t xml:space="preserve"> served by institution</w:t>
      </w:r>
      <w:r w:rsidR="00750BEF">
        <w:rPr>
          <w:rFonts w:ascii="Times New Roman" w:hAnsi="Times New Roman" w:cs="Times New Roman"/>
        </w:rPr>
        <w:t>s with promise programs</w:t>
      </w:r>
      <w:r w:rsidR="00237437">
        <w:rPr>
          <w:rFonts w:ascii="Times New Roman" w:hAnsi="Times New Roman" w:cs="Times New Roman"/>
        </w:rPr>
        <w:t xml:space="preserve">. </w:t>
      </w:r>
    </w:p>
    <w:p w14:paraId="1491688C" w14:textId="77777777" w:rsidR="003F7FED" w:rsidRPr="00173D18" w:rsidRDefault="009C755C" w:rsidP="007F7A99">
      <w:pPr>
        <w:rPr>
          <w:rFonts w:ascii="Times New Roman" w:hAnsi="Times New Roman" w:cs="Times New Roman"/>
          <w:b/>
          <w:bCs/>
        </w:rPr>
      </w:pPr>
      <w:r w:rsidRPr="00173D18">
        <w:rPr>
          <w:rFonts w:ascii="Times New Roman" w:hAnsi="Times New Roman" w:cs="Times New Roman"/>
          <w:b/>
          <w:bCs/>
        </w:rPr>
        <w:br w:type="page"/>
      </w:r>
    </w:p>
    <w:sdt>
      <w:sdtPr>
        <w:rPr>
          <w:rFonts w:ascii="Arial" w:hAnsi="Arial" w:cs="Arial"/>
          <w:b w:val="0"/>
          <w:caps w:val="0"/>
        </w:rPr>
        <w:id w:val="607165129"/>
        <w:docPartObj>
          <w:docPartGallery w:val="Table of Contents"/>
          <w:docPartUnique/>
        </w:docPartObj>
      </w:sdtPr>
      <w:sdtContent>
        <w:sdt>
          <w:sdtPr>
            <w:rPr>
              <w:rFonts w:ascii="Arial" w:hAnsi="Arial" w:cs="Arial"/>
              <w:b w:val="0"/>
              <w:caps w:val="0"/>
            </w:rPr>
            <w:id w:val="477884115"/>
            <w:docPartObj>
              <w:docPartGallery w:val="Table of Contents"/>
              <w:docPartUnique/>
            </w:docPartObj>
          </w:sdtPr>
          <w:sdtEndPr>
            <w:rPr>
              <w:rFonts w:ascii="Times New Roman" w:hAnsi="Times New Roman" w:cs="Times New Roman"/>
              <w:b/>
              <w:caps/>
            </w:rPr>
          </w:sdtEndPr>
          <w:sdtContent>
            <w:p w14:paraId="6CDC9FF0" w14:textId="235D7BF8" w:rsidR="00E91931" w:rsidRPr="00173D18" w:rsidRDefault="00E91931" w:rsidP="00B420AE">
              <w:pPr>
                <w:pStyle w:val="TOCHeading"/>
                <w:spacing w:before="0" w:line="480" w:lineRule="auto"/>
              </w:pPr>
              <w:r w:rsidRPr="00173D18">
                <w:t>Table of Contents</w:t>
              </w:r>
            </w:p>
          </w:sdtContent>
        </w:sdt>
        <w:p w14:paraId="7D93475C" w14:textId="4578D783" w:rsidR="00173D18" w:rsidRPr="00173D18" w:rsidRDefault="00E91931"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r w:rsidRPr="00173D18">
            <w:rPr>
              <w:rFonts w:ascii="Times New Roman" w:hAnsi="Times New Roman" w:cs="Times New Roman"/>
            </w:rPr>
            <w:fldChar w:fldCharType="begin"/>
          </w:r>
          <w:r w:rsidRPr="00173D18">
            <w:rPr>
              <w:rFonts w:ascii="Times New Roman" w:hAnsi="Times New Roman" w:cs="Times New Roman"/>
            </w:rPr>
            <w:instrText xml:space="preserve"> TOC \o "1-3" \h \z \u </w:instrText>
          </w:r>
          <w:r w:rsidRPr="00173D18">
            <w:rPr>
              <w:rFonts w:ascii="Times New Roman" w:hAnsi="Times New Roman" w:cs="Times New Roman"/>
            </w:rPr>
            <w:fldChar w:fldCharType="separate"/>
          </w:r>
          <w:hyperlink w:anchor="_Toc183282248" w:history="1">
            <w:r w:rsidR="00173D18" w:rsidRPr="00173D18">
              <w:rPr>
                <w:rStyle w:val="Hyperlink"/>
                <w:rFonts w:ascii="Times New Roman" w:hAnsi="Times New Roman" w:cs="Times New Roman"/>
                <w:noProof/>
              </w:rPr>
              <w:t>C</w:t>
            </w:r>
            <w:r w:rsidR="00B420AE">
              <w:rPr>
                <w:rStyle w:val="Hyperlink"/>
                <w:rFonts w:ascii="Times New Roman" w:hAnsi="Times New Roman" w:cs="Times New Roman"/>
                <w:noProof/>
              </w:rPr>
              <w:t>HAPTER</w:t>
            </w:r>
            <w:r w:rsidR="00173D18" w:rsidRPr="00173D18">
              <w:rPr>
                <w:rStyle w:val="Hyperlink"/>
                <w:rFonts w:ascii="Times New Roman" w:hAnsi="Times New Roman" w:cs="Times New Roman"/>
                <w:noProof/>
              </w:rPr>
              <w:t xml:space="preserve"> 1</w:t>
            </w:r>
            <w:r w:rsidR="00173D18" w:rsidRPr="00173D18">
              <w:rPr>
                <w:rFonts w:ascii="Times New Roman" w:hAnsi="Times New Roman" w:cs="Times New Roman"/>
                <w:noProof/>
                <w:webHidden/>
              </w:rPr>
              <w:tab/>
            </w:r>
            <w:r w:rsidR="00173D18" w:rsidRPr="00173D18">
              <w:rPr>
                <w:rFonts w:ascii="Times New Roman" w:hAnsi="Times New Roman" w:cs="Times New Roman"/>
                <w:noProof/>
                <w:webHidden/>
              </w:rPr>
              <w:fldChar w:fldCharType="begin"/>
            </w:r>
            <w:r w:rsidR="00173D18" w:rsidRPr="00173D18">
              <w:rPr>
                <w:rFonts w:ascii="Times New Roman" w:hAnsi="Times New Roman" w:cs="Times New Roman"/>
                <w:noProof/>
                <w:webHidden/>
              </w:rPr>
              <w:instrText xml:space="preserve"> PAGEREF _Toc183282248 \h </w:instrText>
            </w:r>
            <w:r w:rsidR="00173D18" w:rsidRPr="00173D18">
              <w:rPr>
                <w:rFonts w:ascii="Times New Roman" w:hAnsi="Times New Roman" w:cs="Times New Roman"/>
                <w:noProof/>
                <w:webHidden/>
              </w:rPr>
            </w:r>
            <w:r w:rsidR="00173D18" w:rsidRPr="00173D18">
              <w:rPr>
                <w:rFonts w:ascii="Times New Roman" w:hAnsi="Times New Roman" w:cs="Times New Roman"/>
                <w:noProof/>
                <w:webHidden/>
              </w:rPr>
              <w:fldChar w:fldCharType="separate"/>
            </w:r>
            <w:r w:rsidR="00504669">
              <w:rPr>
                <w:rFonts w:ascii="Times New Roman" w:hAnsi="Times New Roman" w:cs="Times New Roman"/>
                <w:noProof/>
                <w:webHidden/>
              </w:rPr>
              <w:t>1</w:t>
            </w:r>
            <w:r w:rsidR="00173D18" w:rsidRPr="00173D18">
              <w:rPr>
                <w:rFonts w:ascii="Times New Roman" w:hAnsi="Times New Roman" w:cs="Times New Roman"/>
                <w:noProof/>
                <w:webHidden/>
              </w:rPr>
              <w:fldChar w:fldCharType="end"/>
            </w:r>
          </w:hyperlink>
        </w:p>
        <w:p w14:paraId="162585B7" w14:textId="4832C2B8"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49" w:history="1">
            <w:r w:rsidRPr="00173D18">
              <w:rPr>
                <w:rStyle w:val="Hyperlink"/>
                <w:rFonts w:ascii="Times New Roman" w:hAnsi="Times New Roman" w:cs="Times New Roman"/>
                <w:noProof/>
              </w:rPr>
              <w:t>Background of the Study</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_Toc183282249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3</w:t>
            </w:r>
            <w:r w:rsidRPr="00173D18">
              <w:rPr>
                <w:rFonts w:ascii="Times New Roman" w:hAnsi="Times New Roman" w:cs="Times New Roman"/>
                <w:noProof/>
                <w:webHidden/>
              </w:rPr>
              <w:fldChar w:fldCharType="end"/>
            </w:r>
          </w:hyperlink>
        </w:p>
        <w:p w14:paraId="38878989" w14:textId="561A9563"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50" w:history="1">
            <w:r w:rsidRPr="00173D18">
              <w:rPr>
                <w:rStyle w:val="Hyperlink"/>
                <w:rFonts w:ascii="Times New Roman" w:hAnsi="Times New Roman" w:cs="Times New Roman"/>
                <w:noProof/>
              </w:rPr>
              <w:t>Problem Statement</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_Toc183282250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4</w:t>
            </w:r>
            <w:r w:rsidRPr="00173D18">
              <w:rPr>
                <w:rFonts w:ascii="Times New Roman" w:hAnsi="Times New Roman" w:cs="Times New Roman"/>
                <w:noProof/>
                <w:webHidden/>
              </w:rPr>
              <w:fldChar w:fldCharType="end"/>
            </w:r>
          </w:hyperlink>
        </w:p>
        <w:p w14:paraId="42B40E42" w14:textId="5C59BAD5"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51" w:history="1">
            <w:r w:rsidRPr="00173D18">
              <w:rPr>
                <w:rStyle w:val="Hyperlink"/>
                <w:rFonts w:ascii="Times New Roman" w:hAnsi="Times New Roman" w:cs="Times New Roman"/>
                <w:noProof/>
              </w:rPr>
              <w:t>Purpose of the Study</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_Toc183282251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6</w:t>
            </w:r>
            <w:r w:rsidRPr="00173D18">
              <w:rPr>
                <w:rFonts w:ascii="Times New Roman" w:hAnsi="Times New Roman" w:cs="Times New Roman"/>
                <w:noProof/>
                <w:webHidden/>
              </w:rPr>
              <w:fldChar w:fldCharType="end"/>
            </w:r>
          </w:hyperlink>
        </w:p>
        <w:p w14:paraId="1093CA61" w14:textId="62116163"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52" w:history="1">
            <w:r w:rsidRPr="00173D18">
              <w:rPr>
                <w:rStyle w:val="Hyperlink"/>
                <w:rFonts w:ascii="Times New Roman" w:hAnsi="Times New Roman" w:cs="Times New Roman"/>
                <w:noProof/>
              </w:rPr>
              <w:t>Research Questions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_Toc183282252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7</w:t>
            </w:r>
            <w:r w:rsidRPr="00173D18">
              <w:rPr>
                <w:rFonts w:ascii="Times New Roman" w:hAnsi="Times New Roman" w:cs="Times New Roman"/>
                <w:noProof/>
                <w:webHidden/>
              </w:rPr>
              <w:fldChar w:fldCharType="end"/>
            </w:r>
          </w:hyperlink>
        </w:p>
        <w:p w14:paraId="10C79AE5" w14:textId="58C9F436"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53" w:history="1">
            <w:r w:rsidRPr="00173D18">
              <w:rPr>
                <w:rStyle w:val="Hyperlink"/>
                <w:rFonts w:ascii="Times New Roman" w:hAnsi="Times New Roman" w:cs="Times New Roman"/>
                <w:noProof/>
              </w:rPr>
              <w:t>Significance of the Study</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_Toc183282253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7</w:t>
            </w:r>
            <w:r w:rsidRPr="00173D18">
              <w:rPr>
                <w:rFonts w:ascii="Times New Roman" w:hAnsi="Times New Roman" w:cs="Times New Roman"/>
                <w:noProof/>
                <w:webHidden/>
              </w:rPr>
              <w:fldChar w:fldCharType="end"/>
            </w:r>
          </w:hyperlink>
        </w:p>
        <w:p w14:paraId="548E0ABF" w14:textId="0B27FEDB"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54" w:history="1">
            <w:r w:rsidRPr="00173D18">
              <w:rPr>
                <w:rStyle w:val="Hyperlink"/>
                <w:rFonts w:ascii="Times New Roman" w:hAnsi="Times New Roman" w:cs="Times New Roman"/>
                <w:noProof/>
              </w:rPr>
              <w:t>Chapter 1 Summary</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_Toc183282254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9</w:t>
            </w:r>
            <w:r w:rsidRPr="00173D18">
              <w:rPr>
                <w:rFonts w:ascii="Times New Roman" w:hAnsi="Times New Roman" w:cs="Times New Roman"/>
                <w:noProof/>
                <w:webHidden/>
              </w:rPr>
              <w:fldChar w:fldCharType="end"/>
            </w:r>
          </w:hyperlink>
        </w:p>
        <w:p w14:paraId="683F2D22" w14:textId="1E4E8614"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55" w:history="1">
            <w:r w:rsidRPr="00173D18">
              <w:rPr>
                <w:rStyle w:val="Hyperlink"/>
                <w:rFonts w:ascii="Times New Roman" w:hAnsi="Times New Roman" w:cs="Times New Roman"/>
                <w:noProof/>
              </w:rPr>
              <w:t>C</w:t>
            </w:r>
            <w:r w:rsidR="00B420AE">
              <w:rPr>
                <w:rStyle w:val="Hyperlink"/>
                <w:rFonts w:ascii="Times New Roman" w:hAnsi="Times New Roman" w:cs="Times New Roman"/>
                <w:noProof/>
              </w:rPr>
              <w:t>HAPTER</w:t>
            </w:r>
            <w:r w:rsidRPr="00173D18">
              <w:rPr>
                <w:rStyle w:val="Hyperlink"/>
                <w:rFonts w:ascii="Times New Roman" w:hAnsi="Times New Roman" w:cs="Times New Roman"/>
                <w:noProof/>
              </w:rPr>
              <w:t xml:space="preserve"> 2</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_Toc183282255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11</w:t>
            </w:r>
            <w:r w:rsidRPr="00173D18">
              <w:rPr>
                <w:rFonts w:ascii="Times New Roman" w:hAnsi="Times New Roman" w:cs="Times New Roman"/>
                <w:noProof/>
                <w:webHidden/>
              </w:rPr>
              <w:fldChar w:fldCharType="end"/>
            </w:r>
          </w:hyperlink>
        </w:p>
        <w:p w14:paraId="5AB352D5" w14:textId="149B5911"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56" w:history="1">
            <w:r w:rsidRPr="00173D18">
              <w:rPr>
                <w:rStyle w:val="Hyperlink"/>
                <w:rFonts w:ascii="Times New Roman" w:hAnsi="Times New Roman" w:cs="Times New Roman"/>
                <w:noProof/>
              </w:rPr>
              <w:t>Review of the Progressing Need for Student Financial Aid</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_Toc183282256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11</w:t>
            </w:r>
            <w:r w:rsidRPr="00173D18">
              <w:rPr>
                <w:rFonts w:ascii="Times New Roman" w:hAnsi="Times New Roman" w:cs="Times New Roman"/>
                <w:noProof/>
                <w:webHidden/>
              </w:rPr>
              <w:fldChar w:fldCharType="end"/>
            </w:r>
          </w:hyperlink>
        </w:p>
        <w:p w14:paraId="2C7D9B48" w14:textId="5A9B8839"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57" w:history="1">
            <w:r w:rsidRPr="00173D18">
              <w:rPr>
                <w:rStyle w:val="Hyperlink"/>
                <w:rFonts w:ascii="Times New Roman" w:hAnsi="Times New Roman" w:cs="Times New Roman"/>
                <w:noProof/>
              </w:rPr>
              <w:t>The Federal Government’s Role in Student Financial Aid</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_Toc183282257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12</w:t>
            </w:r>
            <w:r w:rsidRPr="00173D18">
              <w:rPr>
                <w:rFonts w:ascii="Times New Roman" w:hAnsi="Times New Roman" w:cs="Times New Roman"/>
                <w:noProof/>
                <w:webHidden/>
              </w:rPr>
              <w:fldChar w:fldCharType="end"/>
            </w:r>
          </w:hyperlink>
        </w:p>
        <w:p w14:paraId="69BAF431" w14:textId="0354201C"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58" w:history="1">
            <w:r w:rsidRPr="00173D18">
              <w:rPr>
                <w:rStyle w:val="Hyperlink"/>
                <w:rFonts w:ascii="Times New Roman" w:hAnsi="Times New Roman" w:cs="Times New Roman"/>
                <w:noProof/>
              </w:rPr>
              <w:t>State Governments’ Role in Student Financial Aid</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_Toc183282258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17</w:t>
            </w:r>
            <w:r w:rsidRPr="00173D18">
              <w:rPr>
                <w:rFonts w:ascii="Times New Roman" w:hAnsi="Times New Roman" w:cs="Times New Roman"/>
                <w:noProof/>
                <w:webHidden/>
              </w:rPr>
              <w:fldChar w:fldCharType="end"/>
            </w:r>
          </w:hyperlink>
        </w:p>
        <w:p w14:paraId="4436F03D" w14:textId="67A25BA8"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59" w:history="1">
            <w:r w:rsidRPr="00173D18">
              <w:rPr>
                <w:rStyle w:val="Hyperlink"/>
                <w:rFonts w:ascii="Times New Roman" w:hAnsi="Times New Roman" w:cs="Times New Roman"/>
                <w:noProof/>
              </w:rPr>
              <w:t>The Current Reality of Postsecondary Affordability</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_Toc183282259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22</w:t>
            </w:r>
            <w:r w:rsidRPr="00173D18">
              <w:rPr>
                <w:rFonts w:ascii="Times New Roman" w:hAnsi="Times New Roman" w:cs="Times New Roman"/>
                <w:noProof/>
                <w:webHidden/>
              </w:rPr>
              <w:fldChar w:fldCharType="end"/>
            </w:r>
          </w:hyperlink>
        </w:p>
        <w:p w14:paraId="0AAB3858" w14:textId="1A8C6112"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60" w:history="1">
            <w:r w:rsidRPr="00173D18">
              <w:rPr>
                <w:rStyle w:val="Hyperlink"/>
                <w:rFonts w:ascii="Times New Roman" w:hAnsi="Times New Roman" w:cs="Times New Roman"/>
                <w:noProof/>
              </w:rPr>
              <w:t>Empirical Research Examining Financial Aid and Student Outcomes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_Toc183282260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24</w:t>
            </w:r>
            <w:r w:rsidRPr="00173D18">
              <w:rPr>
                <w:rFonts w:ascii="Times New Roman" w:hAnsi="Times New Roman" w:cs="Times New Roman"/>
                <w:noProof/>
                <w:webHidden/>
              </w:rPr>
              <w:fldChar w:fldCharType="end"/>
            </w:r>
          </w:hyperlink>
        </w:p>
        <w:p w14:paraId="659D35D3" w14:textId="3E96F740"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61" w:history="1">
            <w:r w:rsidRPr="00173D18">
              <w:rPr>
                <w:rStyle w:val="Hyperlink"/>
                <w:rFonts w:ascii="Times New Roman" w:hAnsi="Times New Roman" w:cs="Times New Roman"/>
                <w:noProof/>
              </w:rPr>
              <w:t>Financial Aid and Enrollment</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_Toc183282261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25</w:t>
            </w:r>
            <w:r w:rsidRPr="00173D18">
              <w:rPr>
                <w:rFonts w:ascii="Times New Roman" w:hAnsi="Times New Roman" w:cs="Times New Roman"/>
                <w:noProof/>
                <w:webHidden/>
              </w:rPr>
              <w:fldChar w:fldCharType="end"/>
            </w:r>
          </w:hyperlink>
        </w:p>
        <w:p w14:paraId="5B26BFC9" w14:textId="0A344A60"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62" w:history="1">
            <w:r w:rsidRPr="00173D18">
              <w:rPr>
                <w:rStyle w:val="Hyperlink"/>
                <w:rFonts w:ascii="Times New Roman" w:hAnsi="Times New Roman" w:cs="Times New Roman"/>
                <w:noProof/>
              </w:rPr>
              <w:t>Financial Aid, Graduation, and Other Outcomes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_Toc183282262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32</w:t>
            </w:r>
            <w:r w:rsidRPr="00173D18">
              <w:rPr>
                <w:rFonts w:ascii="Times New Roman" w:hAnsi="Times New Roman" w:cs="Times New Roman"/>
                <w:noProof/>
                <w:webHidden/>
              </w:rPr>
              <w:fldChar w:fldCharType="end"/>
            </w:r>
          </w:hyperlink>
        </w:p>
        <w:p w14:paraId="78985D94" w14:textId="20CFFA73"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63" w:history="1">
            <w:r w:rsidRPr="00173D18">
              <w:rPr>
                <w:rStyle w:val="Hyperlink"/>
                <w:rFonts w:ascii="Times New Roman" w:hAnsi="Times New Roman" w:cs="Times New Roman"/>
                <w:noProof/>
              </w:rPr>
              <w:t>Promise Programs as a Contemporary Financial Aid Award</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_Toc183282263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43</w:t>
            </w:r>
            <w:r w:rsidRPr="00173D18">
              <w:rPr>
                <w:rFonts w:ascii="Times New Roman" w:hAnsi="Times New Roman" w:cs="Times New Roman"/>
                <w:noProof/>
                <w:webHidden/>
              </w:rPr>
              <w:fldChar w:fldCharType="end"/>
            </w:r>
          </w:hyperlink>
        </w:p>
        <w:p w14:paraId="084AF59F" w14:textId="47BF92CB"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64" w:history="1">
            <w:r w:rsidRPr="00173D18">
              <w:rPr>
                <w:rStyle w:val="Hyperlink"/>
                <w:rFonts w:ascii="Times New Roman" w:hAnsi="Times New Roman" w:cs="Times New Roman"/>
                <w:noProof/>
              </w:rPr>
              <w:t>Promise Programs Compared to Other Aid Types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_Toc183282264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45</w:t>
            </w:r>
            <w:r w:rsidRPr="00173D18">
              <w:rPr>
                <w:rFonts w:ascii="Times New Roman" w:hAnsi="Times New Roman" w:cs="Times New Roman"/>
                <w:noProof/>
                <w:webHidden/>
              </w:rPr>
              <w:fldChar w:fldCharType="end"/>
            </w:r>
          </w:hyperlink>
        </w:p>
        <w:p w14:paraId="3EBD9C2B" w14:textId="4827CF5B"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65" w:history="1">
            <w:r w:rsidRPr="00173D18">
              <w:rPr>
                <w:rStyle w:val="Hyperlink"/>
                <w:rFonts w:ascii="Times New Roman" w:hAnsi="Times New Roman" w:cs="Times New Roman"/>
                <w:noProof/>
              </w:rPr>
              <w:t>Empirical Research Examining Promise Programs and Student Outcomes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_Toc183282265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52</w:t>
            </w:r>
            <w:r w:rsidRPr="00173D18">
              <w:rPr>
                <w:rFonts w:ascii="Times New Roman" w:hAnsi="Times New Roman" w:cs="Times New Roman"/>
                <w:noProof/>
                <w:webHidden/>
              </w:rPr>
              <w:fldChar w:fldCharType="end"/>
            </w:r>
          </w:hyperlink>
        </w:p>
        <w:p w14:paraId="0B1CFB6F" w14:textId="47E47EB4"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66" w:history="1">
            <w:r w:rsidRPr="00173D18">
              <w:rPr>
                <w:rStyle w:val="Hyperlink"/>
                <w:rFonts w:ascii="Times New Roman" w:hAnsi="Times New Roman" w:cs="Times New Roman"/>
                <w:noProof/>
              </w:rPr>
              <w:t>Enrollment Related Outcomes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_Toc183282266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55</w:t>
            </w:r>
            <w:r w:rsidRPr="00173D18">
              <w:rPr>
                <w:rFonts w:ascii="Times New Roman" w:hAnsi="Times New Roman" w:cs="Times New Roman"/>
                <w:noProof/>
                <w:webHidden/>
              </w:rPr>
              <w:fldChar w:fldCharType="end"/>
            </w:r>
          </w:hyperlink>
        </w:p>
        <w:p w14:paraId="71E694AF" w14:textId="6AC60409"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67" w:history="1">
            <w:r w:rsidRPr="00173D18">
              <w:rPr>
                <w:rStyle w:val="Hyperlink"/>
                <w:rFonts w:ascii="Times New Roman" w:hAnsi="Times New Roman" w:cs="Times New Roman"/>
                <w:noProof/>
              </w:rPr>
              <w:t>Retention, Completion, and Post-Graduation Outcomes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_Toc183282267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60</w:t>
            </w:r>
            <w:r w:rsidRPr="00173D18">
              <w:rPr>
                <w:rFonts w:ascii="Times New Roman" w:hAnsi="Times New Roman" w:cs="Times New Roman"/>
                <w:noProof/>
                <w:webHidden/>
              </w:rPr>
              <w:fldChar w:fldCharType="end"/>
            </w:r>
          </w:hyperlink>
        </w:p>
        <w:p w14:paraId="35E2E2BA" w14:textId="635CE310"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68" w:history="1">
            <w:r w:rsidRPr="00173D18">
              <w:rPr>
                <w:rStyle w:val="Hyperlink"/>
                <w:rFonts w:ascii="Times New Roman" w:hAnsi="Times New Roman" w:cs="Times New Roman"/>
                <w:noProof/>
              </w:rPr>
              <w:t>Summary of Research Gap</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_Toc183282268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63</w:t>
            </w:r>
            <w:r w:rsidRPr="00173D18">
              <w:rPr>
                <w:rFonts w:ascii="Times New Roman" w:hAnsi="Times New Roman" w:cs="Times New Roman"/>
                <w:noProof/>
                <w:webHidden/>
              </w:rPr>
              <w:fldChar w:fldCharType="end"/>
            </w:r>
          </w:hyperlink>
        </w:p>
        <w:p w14:paraId="5C20DBA6" w14:textId="46101096"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69" w:history="1">
            <w:r w:rsidRPr="00173D18">
              <w:rPr>
                <w:rStyle w:val="Hyperlink"/>
                <w:rFonts w:ascii="Times New Roman" w:hAnsi="Times New Roman" w:cs="Times New Roman"/>
                <w:noProof/>
              </w:rPr>
              <w:t>C</w:t>
            </w:r>
            <w:r w:rsidR="00B420AE">
              <w:rPr>
                <w:rStyle w:val="Hyperlink"/>
                <w:rFonts w:ascii="Times New Roman" w:hAnsi="Times New Roman" w:cs="Times New Roman"/>
                <w:noProof/>
              </w:rPr>
              <w:t>HAPTER</w:t>
            </w:r>
            <w:r w:rsidRPr="00173D18">
              <w:rPr>
                <w:rStyle w:val="Hyperlink"/>
                <w:rFonts w:ascii="Times New Roman" w:hAnsi="Times New Roman" w:cs="Times New Roman"/>
                <w:noProof/>
              </w:rPr>
              <w:t xml:space="preserve"> 3</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_Toc183282269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65</w:t>
            </w:r>
            <w:r w:rsidRPr="00173D18">
              <w:rPr>
                <w:rFonts w:ascii="Times New Roman" w:hAnsi="Times New Roman" w:cs="Times New Roman"/>
                <w:noProof/>
                <w:webHidden/>
              </w:rPr>
              <w:fldChar w:fldCharType="end"/>
            </w:r>
          </w:hyperlink>
        </w:p>
        <w:p w14:paraId="73976696" w14:textId="3C6AF32E"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70" w:history="1">
            <w:r w:rsidRPr="00173D18">
              <w:rPr>
                <w:rStyle w:val="Hyperlink"/>
                <w:rFonts w:ascii="Times New Roman" w:hAnsi="Times New Roman" w:cs="Times New Roman"/>
                <w:noProof/>
              </w:rPr>
              <w:t>Research Design – Staggered Difference-In-Difference</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_Toc183282270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65</w:t>
            </w:r>
            <w:r w:rsidRPr="00173D18">
              <w:rPr>
                <w:rFonts w:ascii="Times New Roman" w:hAnsi="Times New Roman" w:cs="Times New Roman"/>
                <w:noProof/>
                <w:webHidden/>
              </w:rPr>
              <w:fldChar w:fldCharType="end"/>
            </w:r>
          </w:hyperlink>
        </w:p>
        <w:p w14:paraId="12478F4B" w14:textId="2ABE7FD5"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71" w:history="1">
            <w:r w:rsidRPr="00173D18">
              <w:rPr>
                <w:rStyle w:val="Hyperlink"/>
                <w:rFonts w:ascii="Times New Roman" w:hAnsi="Times New Roman" w:cs="Times New Roman"/>
                <w:noProof/>
              </w:rPr>
              <w:t>Research Questions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_Toc183282271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68</w:t>
            </w:r>
            <w:r w:rsidRPr="00173D18">
              <w:rPr>
                <w:rFonts w:ascii="Times New Roman" w:hAnsi="Times New Roman" w:cs="Times New Roman"/>
                <w:noProof/>
                <w:webHidden/>
              </w:rPr>
              <w:fldChar w:fldCharType="end"/>
            </w:r>
          </w:hyperlink>
        </w:p>
        <w:p w14:paraId="5E50DB07" w14:textId="52D8EAC7"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72" w:history="1">
            <w:r w:rsidRPr="00173D18">
              <w:rPr>
                <w:rStyle w:val="Hyperlink"/>
                <w:rFonts w:ascii="Times New Roman" w:hAnsi="Times New Roman" w:cs="Times New Roman"/>
                <w:noProof/>
              </w:rPr>
              <w:t>Study Sample</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_Toc183282272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69</w:t>
            </w:r>
            <w:r w:rsidRPr="00173D18">
              <w:rPr>
                <w:rFonts w:ascii="Times New Roman" w:hAnsi="Times New Roman" w:cs="Times New Roman"/>
                <w:noProof/>
                <w:webHidden/>
              </w:rPr>
              <w:fldChar w:fldCharType="end"/>
            </w:r>
          </w:hyperlink>
        </w:p>
        <w:p w14:paraId="5EEF90E1" w14:textId="0944C5B2"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73" w:history="1">
            <w:r w:rsidRPr="00173D18">
              <w:rPr>
                <w:rStyle w:val="Hyperlink"/>
                <w:rFonts w:ascii="Times New Roman" w:hAnsi="Times New Roman" w:cs="Times New Roman"/>
                <w:noProof/>
              </w:rPr>
              <w:t>Data Collection</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_Toc183282273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75</w:t>
            </w:r>
            <w:r w:rsidRPr="00173D18">
              <w:rPr>
                <w:rFonts w:ascii="Times New Roman" w:hAnsi="Times New Roman" w:cs="Times New Roman"/>
                <w:noProof/>
                <w:webHidden/>
              </w:rPr>
              <w:fldChar w:fldCharType="end"/>
            </w:r>
          </w:hyperlink>
        </w:p>
        <w:p w14:paraId="2795F2D0" w14:textId="2DD69138"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74" w:history="1">
            <w:r w:rsidRPr="00173D18">
              <w:rPr>
                <w:rStyle w:val="Hyperlink"/>
                <w:rFonts w:ascii="Times New Roman" w:hAnsi="Times New Roman" w:cs="Times New Roman"/>
                <w:noProof/>
              </w:rPr>
              <w:t>Treatment Data Collection and Preparation</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_Toc183282274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78</w:t>
            </w:r>
            <w:r w:rsidRPr="00173D18">
              <w:rPr>
                <w:rFonts w:ascii="Times New Roman" w:hAnsi="Times New Roman" w:cs="Times New Roman"/>
                <w:noProof/>
                <w:webHidden/>
              </w:rPr>
              <w:fldChar w:fldCharType="end"/>
            </w:r>
          </w:hyperlink>
        </w:p>
        <w:p w14:paraId="3E90DEB1" w14:textId="64B9D5FC"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75" w:history="1">
            <w:r w:rsidRPr="00173D18">
              <w:rPr>
                <w:rStyle w:val="Hyperlink"/>
                <w:rFonts w:ascii="Times New Roman" w:hAnsi="Times New Roman" w:cs="Times New Roman"/>
                <w:noProof/>
              </w:rPr>
              <w:t>Merging Treatment and Outcome Data</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_Toc183282275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81</w:t>
            </w:r>
            <w:r w:rsidRPr="00173D18">
              <w:rPr>
                <w:rFonts w:ascii="Times New Roman" w:hAnsi="Times New Roman" w:cs="Times New Roman"/>
                <w:noProof/>
                <w:webHidden/>
              </w:rPr>
              <w:fldChar w:fldCharType="end"/>
            </w:r>
          </w:hyperlink>
        </w:p>
        <w:p w14:paraId="56BC10EE" w14:textId="1E7DA590"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76" w:history="1">
            <w:r w:rsidRPr="00173D18">
              <w:rPr>
                <w:rStyle w:val="Hyperlink"/>
                <w:rFonts w:ascii="Times New Roman" w:hAnsi="Times New Roman" w:cs="Times New Roman"/>
                <w:noProof/>
              </w:rPr>
              <w:t>Assumptions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_Toc183282276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84</w:t>
            </w:r>
            <w:r w:rsidRPr="00173D18">
              <w:rPr>
                <w:rFonts w:ascii="Times New Roman" w:hAnsi="Times New Roman" w:cs="Times New Roman"/>
                <w:noProof/>
                <w:webHidden/>
              </w:rPr>
              <w:fldChar w:fldCharType="end"/>
            </w:r>
          </w:hyperlink>
        </w:p>
        <w:p w14:paraId="07E25221" w14:textId="20EF8263"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77" w:history="1">
            <w:r w:rsidRPr="00173D18">
              <w:rPr>
                <w:rStyle w:val="Hyperlink"/>
                <w:rFonts w:ascii="Times New Roman" w:hAnsi="Times New Roman" w:cs="Times New Roman"/>
                <w:noProof/>
              </w:rPr>
              <w:t>Unit-Specific Time Trends &amp; Parallel Pre-Treatment Trends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_Toc183282277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89</w:t>
            </w:r>
            <w:r w:rsidRPr="00173D18">
              <w:rPr>
                <w:rFonts w:ascii="Times New Roman" w:hAnsi="Times New Roman" w:cs="Times New Roman"/>
                <w:noProof/>
                <w:webHidden/>
              </w:rPr>
              <w:fldChar w:fldCharType="end"/>
            </w:r>
          </w:hyperlink>
        </w:p>
        <w:p w14:paraId="10758366" w14:textId="4F92C987"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78" w:history="1">
            <w:r w:rsidRPr="00173D18">
              <w:rPr>
                <w:rStyle w:val="Hyperlink"/>
                <w:rFonts w:ascii="Times New Roman" w:hAnsi="Times New Roman" w:cs="Times New Roman"/>
                <w:noProof/>
              </w:rPr>
              <w:t>Applying a Staggered Difference-In-Difference Design</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_Toc183282278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90</w:t>
            </w:r>
            <w:r w:rsidRPr="00173D18">
              <w:rPr>
                <w:rFonts w:ascii="Times New Roman" w:hAnsi="Times New Roman" w:cs="Times New Roman"/>
                <w:noProof/>
                <w:webHidden/>
              </w:rPr>
              <w:fldChar w:fldCharType="end"/>
            </w:r>
          </w:hyperlink>
        </w:p>
        <w:p w14:paraId="073E9781" w14:textId="1E58B4AF"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79" w:history="1">
            <w:r w:rsidRPr="00173D18">
              <w:rPr>
                <w:rStyle w:val="Hyperlink"/>
                <w:rFonts w:ascii="Times New Roman" w:hAnsi="Times New Roman" w:cs="Times New Roman"/>
                <w:noProof/>
              </w:rPr>
              <w:t>Data Analysis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_Toc183282279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92</w:t>
            </w:r>
            <w:r w:rsidRPr="00173D18">
              <w:rPr>
                <w:rFonts w:ascii="Times New Roman" w:hAnsi="Times New Roman" w:cs="Times New Roman"/>
                <w:noProof/>
                <w:webHidden/>
              </w:rPr>
              <w:fldChar w:fldCharType="end"/>
            </w:r>
          </w:hyperlink>
        </w:p>
        <w:p w14:paraId="0746F33A" w14:textId="02A7FC2D"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80" w:history="1">
            <w:r w:rsidRPr="00173D18">
              <w:rPr>
                <w:rStyle w:val="Hyperlink"/>
                <w:rFonts w:ascii="Times New Roman" w:hAnsi="Times New Roman" w:cs="Times New Roman"/>
                <w:noProof/>
              </w:rPr>
              <w:t>Identifying Models Against Potential Violations of Assumptions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_Toc183282280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95</w:t>
            </w:r>
            <w:r w:rsidRPr="00173D18">
              <w:rPr>
                <w:rFonts w:ascii="Times New Roman" w:hAnsi="Times New Roman" w:cs="Times New Roman"/>
                <w:noProof/>
                <w:webHidden/>
              </w:rPr>
              <w:fldChar w:fldCharType="end"/>
            </w:r>
          </w:hyperlink>
        </w:p>
        <w:p w14:paraId="47EDB6DC" w14:textId="103857D9"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81" w:history="1">
            <w:r w:rsidRPr="00173D18">
              <w:rPr>
                <w:rStyle w:val="Hyperlink"/>
                <w:rFonts w:ascii="Times New Roman" w:hAnsi="Times New Roman" w:cs="Times New Roman"/>
                <w:noProof/>
              </w:rPr>
              <w:t>Study Limitations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_Toc183282281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115</w:t>
            </w:r>
            <w:r w:rsidRPr="00173D18">
              <w:rPr>
                <w:rFonts w:ascii="Times New Roman" w:hAnsi="Times New Roman" w:cs="Times New Roman"/>
                <w:noProof/>
                <w:webHidden/>
              </w:rPr>
              <w:fldChar w:fldCharType="end"/>
            </w:r>
          </w:hyperlink>
        </w:p>
        <w:p w14:paraId="058CF802" w14:textId="40FE4678"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82" w:history="1">
            <w:r w:rsidRPr="00173D18">
              <w:rPr>
                <w:rStyle w:val="Hyperlink"/>
                <w:rFonts w:ascii="Times New Roman" w:hAnsi="Times New Roman" w:cs="Times New Roman"/>
                <w:noProof/>
              </w:rPr>
              <w:t>C</w:t>
            </w:r>
            <w:r w:rsidR="00B420AE">
              <w:rPr>
                <w:rStyle w:val="Hyperlink"/>
                <w:rFonts w:ascii="Times New Roman" w:hAnsi="Times New Roman" w:cs="Times New Roman"/>
                <w:noProof/>
              </w:rPr>
              <w:t>HAPTER</w:t>
            </w:r>
            <w:r w:rsidRPr="00173D18">
              <w:rPr>
                <w:rStyle w:val="Hyperlink"/>
                <w:rFonts w:ascii="Times New Roman" w:hAnsi="Times New Roman" w:cs="Times New Roman"/>
                <w:noProof/>
              </w:rPr>
              <w:t xml:space="preserve"> 4</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_Toc183282282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119</w:t>
            </w:r>
            <w:r w:rsidRPr="00173D18">
              <w:rPr>
                <w:rFonts w:ascii="Times New Roman" w:hAnsi="Times New Roman" w:cs="Times New Roman"/>
                <w:noProof/>
                <w:webHidden/>
              </w:rPr>
              <w:fldChar w:fldCharType="end"/>
            </w:r>
          </w:hyperlink>
        </w:p>
        <w:p w14:paraId="0C130F4A" w14:textId="40D29648"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83" w:history="1">
            <w:r w:rsidRPr="00173D18">
              <w:rPr>
                <w:rStyle w:val="Hyperlink"/>
                <w:rFonts w:ascii="Times New Roman" w:hAnsi="Times New Roman" w:cs="Times New Roman"/>
                <w:noProof/>
              </w:rPr>
              <w:t>Findings Research Question #1</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_Toc183282283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120</w:t>
            </w:r>
            <w:r w:rsidRPr="00173D18">
              <w:rPr>
                <w:rFonts w:ascii="Times New Roman" w:hAnsi="Times New Roman" w:cs="Times New Roman"/>
                <w:noProof/>
                <w:webHidden/>
              </w:rPr>
              <w:fldChar w:fldCharType="end"/>
            </w:r>
          </w:hyperlink>
        </w:p>
        <w:p w14:paraId="523E43F4" w14:textId="0229A81C"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84" w:history="1">
            <w:r w:rsidRPr="00173D18">
              <w:rPr>
                <w:rStyle w:val="Hyperlink"/>
                <w:rFonts w:ascii="Times New Roman" w:hAnsi="Times New Roman" w:cs="Times New Roman"/>
                <w:noProof/>
              </w:rPr>
              <w:t>Findings Research Question #2</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_Toc183282284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127</w:t>
            </w:r>
            <w:r w:rsidRPr="00173D18">
              <w:rPr>
                <w:rFonts w:ascii="Times New Roman" w:hAnsi="Times New Roman" w:cs="Times New Roman"/>
                <w:noProof/>
                <w:webHidden/>
              </w:rPr>
              <w:fldChar w:fldCharType="end"/>
            </w:r>
          </w:hyperlink>
        </w:p>
        <w:p w14:paraId="39C1B8B7" w14:textId="66C7E3B2"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85" w:history="1">
            <w:r w:rsidRPr="00173D18">
              <w:rPr>
                <w:rStyle w:val="Hyperlink"/>
                <w:rFonts w:ascii="Times New Roman" w:hAnsi="Times New Roman" w:cs="Times New Roman"/>
                <w:noProof/>
              </w:rPr>
              <w:t>Robustness Tests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_Toc183282285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132</w:t>
            </w:r>
            <w:r w:rsidRPr="00173D18">
              <w:rPr>
                <w:rFonts w:ascii="Times New Roman" w:hAnsi="Times New Roman" w:cs="Times New Roman"/>
                <w:noProof/>
                <w:webHidden/>
              </w:rPr>
              <w:fldChar w:fldCharType="end"/>
            </w:r>
          </w:hyperlink>
        </w:p>
        <w:p w14:paraId="57D80C7C" w14:textId="2543A2FE" w:rsidR="00173D18" w:rsidRPr="00173D18" w:rsidRDefault="00173D18" w:rsidP="00B420AE">
          <w:pPr>
            <w:pStyle w:val="TOC3"/>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86" w:history="1">
            <w:r w:rsidRPr="00173D18">
              <w:rPr>
                <w:rStyle w:val="Hyperlink"/>
                <w:rFonts w:ascii="Times New Roman" w:hAnsi="Times New Roman" w:cs="Times New Roman"/>
                <w:noProof/>
              </w:rPr>
              <w:t>Decomposition Approach Results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_Toc183282286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144</w:t>
            </w:r>
            <w:r w:rsidRPr="00173D18">
              <w:rPr>
                <w:rFonts w:ascii="Times New Roman" w:hAnsi="Times New Roman" w:cs="Times New Roman"/>
                <w:noProof/>
                <w:webHidden/>
              </w:rPr>
              <w:fldChar w:fldCharType="end"/>
            </w:r>
          </w:hyperlink>
        </w:p>
        <w:p w14:paraId="1663E03E" w14:textId="424886BF"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87" w:history="1">
            <w:r w:rsidRPr="00173D18">
              <w:rPr>
                <w:rStyle w:val="Hyperlink"/>
                <w:rFonts w:ascii="Times New Roman" w:hAnsi="Times New Roman" w:cs="Times New Roman"/>
                <w:noProof/>
              </w:rPr>
              <w:t>Summary of Findings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_Toc183282287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147</w:t>
            </w:r>
            <w:r w:rsidRPr="00173D18">
              <w:rPr>
                <w:rFonts w:ascii="Times New Roman" w:hAnsi="Times New Roman" w:cs="Times New Roman"/>
                <w:noProof/>
                <w:webHidden/>
              </w:rPr>
              <w:fldChar w:fldCharType="end"/>
            </w:r>
          </w:hyperlink>
        </w:p>
        <w:p w14:paraId="109E7348" w14:textId="43AA5C32"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88" w:history="1">
            <w:r w:rsidRPr="00173D18">
              <w:rPr>
                <w:rStyle w:val="Hyperlink"/>
                <w:rFonts w:ascii="Times New Roman" w:hAnsi="Times New Roman" w:cs="Times New Roman"/>
                <w:noProof/>
              </w:rPr>
              <w:t>C</w:t>
            </w:r>
            <w:r w:rsidR="00B420AE">
              <w:rPr>
                <w:rStyle w:val="Hyperlink"/>
                <w:rFonts w:ascii="Times New Roman" w:hAnsi="Times New Roman" w:cs="Times New Roman"/>
                <w:noProof/>
              </w:rPr>
              <w:t xml:space="preserve">HAPTER </w:t>
            </w:r>
            <w:r w:rsidRPr="00173D18">
              <w:rPr>
                <w:rStyle w:val="Hyperlink"/>
                <w:rFonts w:ascii="Times New Roman" w:hAnsi="Times New Roman" w:cs="Times New Roman"/>
                <w:noProof/>
              </w:rPr>
              <w:t>5</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_Toc183282288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149</w:t>
            </w:r>
            <w:r w:rsidRPr="00173D18">
              <w:rPr>
                <w:rFonts w:ascii="Times New Roman" w:hAnsi="Times New Roman" w:cs="Times New Roman"/>
                <w:noProof/>
                <w:webHidden/>
              </w:rPr>
              <w:fldChar w:fldCharType="end"/>
            </w:r>
          </w:hyperlink>
        </w:p>
        <w:p w14:paraId="29B952F2" w14:textId="65132C73"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89" w:history="1">
            <w:r w:rsidRPr="00173D18">
              <w:rPr>
                <w:rStyle w:val="Hyperlink"/>
                <w:rFonts w:ascii="Times New Roman" w:hAnsi="Times New Roman" w:cs="Times New Roman"/>
                <w:noProof/>
              </w:rPr>
              <w:t>Review of Empirical Strategy</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_Toc183282289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151</w:t>
            </w:r>
            <w:r w:rsidRPr="00173D18">
              <w:rPr>
                <w:rFonts w:ascii="Times New Roman" w:hAnsi="Times New Roman" w:cs="Times New Roman"/>
                <w:noProof/>
                <w:webHidden/>
              </w:rPr>
              <w:fldChar w:fldCharType="end"/>
            </w:r>
          </w:hyperlink>
        </w:p>
        <w:p w14:paraId="45AFD3D2" w14:textId="3979B9F9"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90" w:history="1">
            <w:r w:rsidRPr="00173D18">
              <w:rPr>
                <w:rStyle w:val="Hyperlink"/>
                <w:rFonts w:ascii="Times New Roman" w:hAnsi="Times New Roman" w:cs="Times New Roman"/>
                <w:noProof/>
              </w:rPr>
              <w:t>Findings: Research Question #1 Examining Completions by Program Length</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_Toc183282290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153</w:t>
            </w:r>
            <w:r w:rsidRPr="00173D18">
              <w:rPr>
                <w:rFonts w:ascii="Times New Roman" w:hAnsi="Times New Roman" w:cs="Times New Roman"/>
                <w:noProof/>
                <w:webHidden/>
              </w:rPr>
              <w:fldChar w:fldCharType="end"/>
            </w:r>
          </w:hyperlink>
        </w:p>
        <w:p w14:paraId="055E0B31" w14:textId="1A2851FC"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91" w:history="1">
            <w:r w:rsidRPr="00173D18">
              <w:rPr>
                <w:rStyle w:val="Hyperlink"/>
                <w:rFonts w:ascii="Times New Roman" w:hAnsi="Times New Roman" w:cs="Times New Roman"/>
                <w:noProof/>
              </w:rPr>
              <w:t>Findings: Research Question #2 Examining Completions by Program Area of Study</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_Toc183282291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157</w:t>
            </w:r>
            <w:r w:rsidRPr="00173D18">
              <w:rPr>
                <w:rFonts w:ascii="Times New Roman" w:hAnsi="Times New Roman" w:cs="Times New Roman"/>
                <w:noProof/>
                <w:webHidden/>
              </w:rPr>
              <w:fldChar w:fldCharType="end"/>
            </w:r>
          </w:hyperlink>
        </w:p>
        <w:p w14:paraId="03DFF97F" w14:textId="5584CE74"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92" w:history="1">
            <w:r w:rsidRPr="00173D18">
              <w:rPr>
                <w:rStyle w:val="Hyperlink"/>
                <w:rFonts w:ascii="Times New Roman" w:hAnsi="Times New Roman" w:cs="Times New Roman"/>
                <w:noProof/>
              </w:rPr>
              <w:t>Conclusions on the Effect of Promise Programs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_Toc183282292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158</w:t>
            </w:r>
            <w:r w:rsidRPr="00173D18">
              <w:rPr>
                <w:rFonts w:ascii="Times New Roman" w:hAnsi="Times New Roman" w:cs="Times New Roman"/>
                <w:noProof/>
                <w:webHidden/>
              </w:rPr>
              <w:fldChar w:fldCharType="end"/>
            </w:r>
          </w:hyperlink>
        </w:p>
        <w:p w14:paraId="4273346F" w14:textId="7ADB099A"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93" w:history="1">
            <w:r w:rsidRPr="00173D18">
              <w:rPr>
                <w:rStyle w:val="Hyperlink"/>
                <w:rFonts w:ascii="Times New Roman" w:hAnsi="Times New Roman" w:cs="Times New Roman"/>
                <w:noProof/>
              </w:rPr>
              <w:t>Future Implications for Research &amp; Policy</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_Toc183282293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160</w:t>
            </w:r>
            <w:r w:rsidRPr="00173D18">
              <w:rPr>
                <w:rFonts w:ascii="Times New Roman" w:hAnsi="Times New Roman" w:cs="Times New Roman"/>
                <w:noProof/>
                <w:webHidden/>
              </w:rPr>
              <w:fldChar w:fldCharType="end"/>
            </w:r>
          </w:hyperlink>
        </w:p>
        <w:p w14:paraId="58AF621C" w14:textId="37DFA545" w:rsidR="00173D18" w:rsidRPr="00173D18" w:rsidRDefault="00173D18" w:rsidP="00B420AE">
          <w:pPr>
            <w:pStyle w:val="TOC2"/>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94" w:history="1">
            <w:r w:rsidRPr="00173D18">
              <w:rPr>
                <w:rStyle w:val="Hyperlink"/>
                <w:rFonts w:ascii="Times New Roman" w:hAnsi="Times New Roman" w:cs="Times New Roman"/>
                <w:noProof/>
              </w:rPr>
              <w:t>Conclusion</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_Toc183282294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163</w:t>
            </w:r>
            <w:r w:rsidRPr="00173D18">
              <w:rPr>
                <w:rFonts w:ascii="Times New Roman" w:hAnsi="Times New Roman" w:cs="Times New Roman"/>
                <w:noProof/>
                <w:webHidden/>
              </w:rPr>
              <w:fldChar w:fldCharType="end"/>
            </w:r>
          </w:hyperlink>
        </w:p>
        <w:p w14:paraId="5B53B991" w14:textId="0C66584A" w:rsidR="00173D18" w:rsidRDefault="00173D18" w:rsidP="00B420AE">
          <w:pPr>
            <w:pStyle w:val="TOC1"/>
            <w:tabs>
              <w:tab w:val="right" w:leader="dot" w:pos="8630"/>
            </w:tabs>
            <w:spacing w:line="480" w:lineRule="auto"/>
            <w:rPr>
              <w:rFonts w:ascii="Times New Roman" w:hAnsi="Times New Roman" w:cs="Times New Roman"/>
              <w:noProof/>
            </w:rPr>
          </w:pPr>
          <w:hyperlink w:anchor="_Toc183282295" w:history="1">
            <w:r w:rsidRPr="00173D18">
              <w:rPr>
                <w:rStyle w:val="Hyperlink"/>
                <w:rFonts w:ascii="Times New Roman" w:hAnsi="Times New Roman" w:cs="Times New Roman"/>
                <w:noProof/>
              </w:rPr>
              <w:t>L</w:t>
            </w:r>
            <w:r w:rsidR="00B420AE">
              <w:rPr>
                <w:rStyle w:val="Hyperlink"/>
                <w:rFonts w:ascii="Times New Roman" w:hAnsi="Times New Roman" w:cs="Times New Roman"/>
                <w:noProof/>
              </w:rPr>
              <w:t>IST OF REFERENCES</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_Toc183282295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165</w:t>
            </w:r>
            <w:r w:rsidRPr="00173D18">
              <w:rPr>
                <w:rFonts w:ascii="Times New Roman" w:hAnsi="Times New Roman" w:cs="Times New Roman"/>
                <w:noProof/>
                <w:webHidden/>
              </w:rPr>
              <w:fldChar w:fldCharType="end"/>
            </w:r>
          </w:hyperlink>
        </w:p>
        <w:p w14:paraId="0B0775B3" w14:textId="622D8FA8" w:rsidR="00B420AE" w:rsidRPr="00B420AE" w:rsidRDefault="00B420AE" w:rsidP="00B420AE">
          <w:pPr>
            <w:pStyle w:val="TOC1"/>
            <w:tabs>
              <w:tab w:val="right" w:leader="dot" w:pos="8630"/>
            </w:tabs>
            <w:spacing w:line="480" w:lineRule="auto"/>
            <w:rPr>
              <w:rFonts w:ascii="Times New Roman" w:eastAsiaTheme="minorEastAsia" w:hAnsi="Times New Roman" w:cs="Times New Roman"/>
              <w:noProof/>
            </w:rPr>
          </w:pPr>
          <w:r w:rsidRPr="00B420AE">
            <w:rPr>
              <w:rFonts w:ascii="Times New Roman" w:hAnsi="Times New Roman" w:cs="Times New Roman"/>
              <w:noProof/>
            </w:rPr>
            <w:t>APPENDICES</w:t>
          </w:r>
          <w:r>
            <w:rPr>
              <w:rFonts w:ascii="Times New Roman" w:hAnsi="Times New Roman" w:cs="Times New Roman"/>
              <w:noProof/>
            </w:rPr>
            <w:tab/>
          </w:r>
          <w:r w:rsidRPr="00B420AE">
            <w:rPr>
              <w:rFonts w:ascii="Times New Roman" w:hAnsi="Times New Roman" w:cs="Times New Roman"/>
              <w:noProof/>
            </w:rPr>
            <w:t>189</w:t>
          </w:r>
        </w:p>
        <w:p w14:paraId="3602D102" w14:textId="2D99F473"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96" w:history="1">
            <w:r w:rsidRPr="00173D18">
              <w:rPr>
                <w:rStyle w:val="Hyperlink"/>
                <w:rFonts w:ascii="Times New Roman" w:hAnsi="Times New Roman" w:cs="Times New Roman"/>
                <w:noProof/>
              </w:rPr>
              <w:t>Appendix A</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_Toc183282296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194</w:t>
            </w:r>
            <w:r w:rsidRPr="00173D18">
              <w:rPr>
                <w:rFonts w:ascii="Times New Roman" w:hAnsi="Times New Roman" w:cs="Times New Roman"/>
                <w:noProof/>
                <w:webHidden/>
              </w:rPr>
              <w:fldChar w:fldCharType="end"/>
            </w:r>
          </w:hyperlink>
        </w:p>
        <w:p w14:paraId="251911B2" w14:textId="5D7F958C"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97" w:history="1">
            <w:r w:rsidRPr="00173D18">
              <w:rPr>
                <w:rStyle w:val="Hyperlink"/>
                <w:rFonts w:ascii="Times New Roman" w:hAnsi="Times New Roman" w:cs="Times New Roman"/>
                <w:noProof/>
              </w:rPr>
              <w:t>Appendix B</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_Toc183282297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209</w:t>
            </w:r>
            <w:r w:rsidRPr="00173D18">
              <w:rPr>
                <w:rFonts w:ascii="Times New Roman" w:hAnsi="Times New Roman" w:cs="Times New Roman"/>
                <w:noProof/>
                <w:webHidden/>
              </w:rPr>
              <w:fldChar w:fldCharType="end"/>
            </w:r>
          </w:hyperlink>
        </w:p>
        <w:p w14:paraId="4DC89695" w14:textId="5A6E4EB1"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98" w:history="1">
            <w:r w:rsidRPr="00173D18">
              <w:rPr>
                <w:rStyle w:val="Hyperlink"/>
                <w:rFonts w:ascii="Times New Roman" w:hAnsi="Times New Roman" w:cs="Times New Roman"/>
                <w:noProof/>
              </w:rPr>
              <w:t>Appendix C</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_Toc183282298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216</w:t>
            </w:r>
            <w:r w:rsidRPr="00173D18">
              <w:rPr>
                <w:rFonts w:ascii="Times New Roman" w:hAnsi="Times New Roman" w:cs="Times New Roman"/>
                <w:noProof/>
                <w:webHidden/>
              </w:rPr>
              <w:fldChar w:fldCharType="end"/>
            </w:r>
          </w:hyperlink>
        </w:p>
        <w:p w14:paraId="23459F75" w14:textId="6624A726"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299" w:history="1">
            <w:r w:rsidRPr="00173D18">
              <w:rPr>
                <w:rStyle w:val="Hyperlink"/>
                <w:rFonts w:ascii="Times New Roman" w:hAnsi="Times New Roman" w:cs="Times New Roman"/>
                <w:noProof/>
              </w:rPr>
              <w:t>Appendix D</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_Toc183282299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218</w:t>
            </w:r>
            <w:r w:rsidRPr="00173D18">
              <w:rPr>
                <w:rFonts w:ascii="Times New Roman" w:hAnsi="Times New Roman" w:cs="Times New Roman"/>
                <w:noProof/>
                <w:webHidden/>
              </w:rPr>
              <w:fldChar w:fldCharType="end"/>
            </w:r>
          </w:hyperlink>
        </w:p>
        <w:p w14:paraId="4103105D" w14:textId="403A3C37"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300" w:history="1">
            <w:r w:rsidRPr="00173D18">
              <w:rPr>
                <w:rStyle w:val="Hyperlink"/>
                <w:rFonts w:ascii="Times New Roman" w:hAnsi="Times New Roman" w:cs="Times New Roman"/>
                <w:noProof/>
              </w:rPr>
              <w:t>Appendix E</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_Toc183282300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219</w:t>
            </w:r>
            <w:r w:rsidRPr="00173D18">
              <w:rPr>
                <w:rFonts w:ascii="Times New Roman" w:hAnsi="Times New Roman" w:cs="Times New Roman"/>
                <w:noProof/>
                <w:webHidden/>
              </w:rPr>
              <w:fldChar w:fldCharType="end"/>
            </w:r>
          </w:hyperlink>
        </w:p>
        <w:p w14:paraId="2D9796DA" w14:textId="2366B5CD"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301" w:history="1">
            <w:r w:rsidRPr="00173D18">
              <w:rPr>
                <w:rStyle w:val="Hyperlink"/>
                <w:rFonts w:ascii="Times New Roman" w:hAnsi="Times New Roman" w:cs="Times New Roman"/>
                <w:noProof/>
              </w:rPr>
              <w:t>Appendix F</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_Toc183282301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224</w:t>
            </w:r>
            <w:r w:rsidRPr="00173D18">
              <w:rPr>
                <w:rFonts w:ascii="Times New Roman" w:hAnsi="Times New Roman" w:cs="Times New Roman"/>
                <w:noProof/>
                <w:webHidden/>
              </w:rPr>
              <w:fldChar w:fldCharType="end"/>
            </w:r>
          </w:hyperlink>
        </w:p>
        <w:p w14:paraId="2B830595" w14:textId="46694FF1"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302" w:history="1">
            <w:r w:rsidRPr="00173D18">
              <w:rPr>
                <w:rStyle w:val="Hyperlink"/>
                <w:rFonts w:ascii="Times New Roman" w:hAnsi="Times New Roman" w:cs="Times New Roman"/>
                <w:noProof/>
              </w:rPr>
              <w:t>Appendix G</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_Toc183282302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226</w:t>
            </w:r>
            <w:r w:rsidRPr="00173D18">
              <w:rPr>
                <w:rFonts w:ascii="Times New Roman" w:hAnsi="Times New Roman" w:cs="Times New Roman"/>
                <w:noProof/>
                <w:webHidden/>
              </w:rPr>
              <w:fldChar w:fldCharType="end"/>
            </w:r>
          </w:hyperlink>
        </w:p>
        <w:p w14:paraId="5C79FD8B" w14:textId="42CA14CF"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303" w:history="1">
            <w:r w:rsidRPr="00173D18">
              <w:rPr>
                <w:rStyle w:val="Hyperlink"/>
                <w:rFonts w:ascii="Times New Roman" w:hAnsi="Times New Roman" w:cs="Times New Roman"/>
                <w:noProof/>
              </w:rPr>
              <w:t>Appendix I</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_Toc183282303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228</w:t>
            </w:r>
            <w:r w:rsidRPr="00173D18">
              <w:rPr>
                <w:rFonts w:ascii="Times New Roman" w:hAnsi="Times New Roman" w:cs="Times New Roman"/>
                <w:noProof/>
                <w:webHidden/>
              </w:rPr>
              <w:fldChar w:fldCharType="end"/>
            </w:r>
          </w:hyperlink>
        </w:p>
        <w:p w14:paraId="4F00A439" w14:textId="76F036AE"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304" w:history="1">
            <w:r w:rsidRPr="00173D18">
              <w:rPr>
                <w:rStyle w:val="Hyperlink"/>
                <w:rFonts w:ascii="Times New Roman" w:hAnsi="Times New Roman" w:cs="Times New Roman"/>
                <w:noProof/>
              </w:rPr>
              <w:t>Appendix J</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_Toc183282304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230</w:t>
            </w:r>
            <w:r w:rsidRPr="00173D18">
              <w:rPr>
                <w:rFonts w:ascii="Times New Roman" w:hAnsi="Times New Roman" w:cs="Times New Roman"/>
                <w:noProof/>
                <w:webHidden/>
              </w:rPr>
              <w:fldChar w:fldCharType="end"/>
            </w:r>
          </w:hyperlink>
        </w:p>
        <w:p w14:paraId="66A8F9AB" w14:textId="35273DA4"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305" w:history="1">
            <w:r w:rsidRPr="00173D18">
              <w:rPr>
                <w:rStyle w:val="Hyperlink"/>
                <w:rFonts w:ascii="Times New Roman" w:hAnsi="Times New Roman" w:cs="Times New Roman"/>
                <w:noProof/>
              </w:rPr>
              <w:t>Appendix K</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_Toc183282305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232</w:t>
            </w:r>
            <w:r w:rsidRPr="00173D18">
              <w:rPr>
                <w:rFonts w:ascii="Times New Roman" w:hAnsi="Times New Roman" w:cs="Times New Roman"/>
                <w:noProof/>
                <w:webHidden/>
              </w:rPr>
              <w:fldChar w:fldCharType="end"/>
            </w:r>
          </w:hyperlink>
        </w:p>
        <w:p w14:paraId="7B7F0297" w14:textId="095EE27A"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306" w:history="1">
            <w:r w:rsidRPr="00173D18">
              <w:rPr>
                <w:rStyle w:val="Hyperlink"/>
                <w:rFonts w:ascii="Times New Roman" w:hAnsi="Times New Roman" w:cs="Times New Roman"/>
                <w:noProof/>
              </w:rPr>
              <w:t>Appendix L</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_Toc183282306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234</w:t>
            </w:r>
            <w:r w:rsidRPr="00173D18">
              <w:rPr>
                <w:rFonts w:ascii="Times New Roman" w:hAnsi="Times New Roman" w:cs="Times New Roman"/>
                <w:noProof/>
                <w:webHidden/>
              </w:rPr>
              <w:fldChar w:fldCharType="end"/>
            </w:r>
          </w:hyperlink>
        </w:p>
        <w:p w14:paraId="52934328" w14:textId="750D7BA4"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307" w:history="1">
            <w:r w:rsidRPr="00173D18">
              <w:rPr>
                <w:rStyle w:val="Hyperlink"/>
                <w:rFonts w:ascii="Times New Roman" w:hAnsi="Times New Roman" w:cs="Times New Roman"/>
                <w:noProof/>
              </w:rPr>
              <w:t>Appendix M</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_Toc183282307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236</w:t>
            </w:r>
            <w:r w:rsidRPr="00173D18">
              <w:rPr>
                <w:rFonts w:ascii="Times New Roman" w:hAnsi="Times New Roman" w:cs="Times New Roman"/>
                <w:noProof/>
                <w:webHidden/>
              </w:rPr>
              <w:fldChar w:fldCharType="end"/>
            </w:r>
          </w:hyperlink>
        </w:p>
        <w:p w14:paraId="7684295F" w14:textId="3F2B7435" w:rsidR="00173D18" w:rsidRPr="00173D18" w:rsidRDefault="00173D18" w:rsidP="00B420AE">
          <w:pPr>
            <w:pStyle w:val="TOC1"/>
            <w:tabs>
              <w:tab w:val="right" w:leader="dot" w:pos="8630"/>
            </w:tabs>
            <w:spacing w:line="480" w:lineRule="auto"/>
            <w:rPr>
              <w:rFonts w:ascii="Times New Roman" w:eastAsiaTheme="minorEastAsia" w:hAnsi="Times New Roman" w:cs="Times New Roman"/>
              <w:noProof/>
              <w:kern w:val="2"/>
              <w14:ligatures w14:val="standardContextual"/>
            </w:rPr>
          </w:pPr>
          <w:hyperlink w:anchor="_Toc183282308" w:history="1">
            <w:r w:rsidRPr="00173D18">
              <w:rPr>
                <w:rStyle w:val="Hyperlink"/>
                <w:rFonts w:ascii="Times New Roman" w:hAnsi="Times New Roman" w:cs="Times New Roman"/>
                <w:noProof/>
              </w:rPr>
              <w:t>VITA</w:t>
            </w:r>
            <w:r w:rsidRPr="00173D18">
              <w:rPr>
                <w:rFonts w:ascii="Times New Roman" w:hAnsi="Times New Roman" w:cs="Times New Roman"/>
                <w:noProof/>
                <w:webHidden/>
              </w:rPr>
              <w:tab/>
            </w:r>
            <w:r w:rsidRPr="00173D18">
              <w:rPr>
                <w:rFonts w:ascii="Times New Roman" w:hAnsi="Times New Roman" w:cs="Times New Roman"/>
                <w:noProof/>
                <w:webHidden/>
              </w:rPr>
              <w:fldChar w:fldCharType="begin"/>
            </w:r>
            <w:r w:rsidRPr="00173D18">
              <w:rPr>
                <w:rFonts w:ascii="Times New Roman" w:hAnsi="Times New Roman" w:cs="Times New Roman"/>
                <w:noProof/>
                <w:webHidden/>
              </w:rPr>
              <w:instrText xml:space="preserve"> PAGEREF _Toc183282308 \h </w:instrText>
            </w:r>
            <w:r w:rsidRPr="00173D18">
              <w:rPr>
                <w:rFonts w:ascii="Times New Roman" w:hAnsi="Times New Roman" w:cs="Times New Roman"/>
                <w:noProof/>
                <w:webHidden/>
              </w:rPr>
            </w:r>
            <w:r w:rsidRPr="00173D18">
              <w:rPr>
                <w:rFonts w:ascii="Times New Roman" w:hAnsi="Times New Roman" w:cs="Times New Roman"/>
                <w:noProof/>
                <w:webHidden/>
              </w:rPr>
              <w:fldChar w:fldCharType="separate"/>
            </w:r>
            <w:r w:rsidR="00504669">
              <w:rPr>
                <w:rFonts w:ascii="Times New Roman" w:hAnsi="Times New Roman" w:cs="Times New Roman"/>
                <w:noProof/>
                <w:webHidden/>
              </w:rPr>
              <w:t>238</w:t>
            </w:r>
            <w:r w:rsidRPr="00173D18">
              <w:rPr>
                <w:rFonts w:ascii="Times New Roman" w:hAnsi="Times New Roman" w:cs="Times New Roman"/>
                <w:noProof/>
                <w:webHidden/>
              </w:rPr>
              <w:fldChar w:fldCharType="end"/>
            </w:r>
          </w:hyperlink>
        </w:p>
        <w:p w14:paraId="4BA6EA65" w14:textId="47342B88" w:rsidR="00E91931" w:rsidRPr="006362AB" w:rsidRDefault="00E91931" w:rsidP="00B420AE">
          <w:pPr>
            <w:spacing w:line="480" w:lineRule="auto"/>
            <w:rPr>
              <w:rFonts w:ascii="Times New Roman" w:hAnsi="Times New Roman" w:cs="Times New Roman"/>
            </w:rPr>
          </w:pPr>
          <w:r w:rsidRPr="00173D18">
            <w:rPr>
              <w:rFonts w:ascii="Times New Roman" w:hAnsi="Times New Roman" w:cs="Times New Roman"/>
              <w:b/>
              <w:bCs/>
              <w:noProof/>
            </w:rPr>
            <w:fldChar w:fldCharType="end"/>
          </w:r>
        </w:p>
      </w:sdtContent>
    </w:sdt>
    <w:p w14:paraId="5D7B13CF" w14:textId="77777777" w:rsidR="003F7FED" w:rsidRPr="006362AB" w:rsidRDefault="003F7FED">
      <w:pPr>
        <w:rPr>
          <w:rFonts w:ascii="Times New Roman" w:hAnsi="Times New Roman" w:cs="Times New Roman"/>
        </w:rPr>
      </w:pPr>
    </w:p>
    <w:p w14:paraId="132F6DD8" w14:textId="4D4B4D6D" w:rsidR="00236E6D" w:rsidRPr="00CD45D6" w:rsidRDefault="003F7FED" w:rsidP="00CD45D6">
      <w:pPr>
        <w:spacing w:line="480" w:lineRule="auto"/>
        <w:jc w:val="center"/>
        <w:rPr>
          <w:rFonts w:ascii="Times New Roman" w:hAnsi="Times New Roman" w:cs="Times New Roman"/>
          <w:b/>
          <w:bCs/>
        </w:rPr>
      </w:pPr>
      <w:r w:rsidRPr="00826A1A">
        <w:rPr>
          <w:rFonts w:ascii="Times New Roman" w:hAnsi="Times New Roman" w:cs="Times New Roman"/>
          <w:b/>
          <w:bCs/>
        </w:rPr>
        <w:br w:type="page"/>
      </w:r>
      <w:r w:rsidR="00236E6D" w:rsidRPr="008F0AA3">
        <w:rPr>
          <w:rFonts w:ascii="Times New Roman" w:hAnsi="Times New Roman" w:cs="Times New Roman"/>
          <w:b/>
          <w:bCs/>
        </w:rPr>
        <w:lastRenderedPageBreak/>
        <w:t>LIST OF TABLES</w:t>
      </w:r>
    </w:p>
    <w:p w14:paraId="1A44E37B" w14:textId="03822F54" w:rsidR="008D1DC3" w:rsidRPr="008F0AA3" w:rsidRDefault="00873D6F" w:rsidP="00CD45D6">
      <w:pPr>
        <w:pStyle w:val="TableofFigures"/>
        <w:spacing w:line="480" w:lineRule="auto"/>
        <w:rPr>
          <w:rFonts w:eastAsiaTheme="minorEastAsia" w:cs="Times New Roman"/>
          <w:b w:val="0"/>
          <w:bCs/>
          <w:noProof/>
          <w:kern w:val="2"/>
          <w14:ligatures w14:val="standardContextual"/>
        </w:rPr>
      </w:pPr>
      <w:r w:rsidRPr="008F0AA3">
        <w:rPr>
          <w:rFonts w:cs="Times New Roman"/>
          <w:b w:val="0"/>
          <w:bCs/>
        </w:rPr>
        <w:fldChar w:fldCharType="begin"/>
      </w:r>
      <w:r w:rsidRPr="008F0AA3">
        <w:rPr>
          <w:rFonts w:cs="Times New Roman"/>
          <w:b w:val="0"/>
          <w:bCs/>
        </w:rPr>
        <w:instrText xml:space="preserve"> TOC \h \z \t "Caption" \c </w:instrText>
      </w:r>
      <w:r w:rsidRPr="008F0AA3">
        <w:rPr>
          <w:rFonts w:cs="Times New Roman"/>
          <w:b w:val="0"/>
          <w:bCs/>
        </w:rPr>
        <w:fldChar w:fldCharType="separate"/>
      </w:r>
      <w:hyperlink w:anchor="_Toc181297758" w:history="1">
        <w:r w:rsidR="008D1DC3" w:rsidRPr="008F0AA3">
          <w:rPr>
            <w:rStyle w:val="Hyperlink"/>
            <w:rFonts w:ascii="Times New Roman" w:hAnsi="Times New Roman" w:cs="Times New Roman"/>
            <w:b w:val="0"/>
            <w:bCs/>
            <w:noProof/>
          </w:rPr>
          <w:t>Table 1</w:t>
        </w:r>
        <w:r w:rsidR="008D1DC3" w:rsidRPr="008F0AA3">
          <w:rPr>
            <w:rFonts w:cs="Times New Roman"/>
            <w:b w:val="0"/>
            <w:bCs/>
            <w:noProof/>
            <w:webHidden/>
          </w:rPr>
          <w:tab/>
        </w:r>
        <w:r w:rsidR="008D1DC3" w:rsidRPr="008F0AA3">
          <w:rPr>
            <w:rFonts w:cs="Times New Roman"/>
            <w:b w:val="0"/>
            <w:bCs/>
            <w:noProof/>
            <w:webHidden/>
          </w:rPr>
          <w:fldChar w:fldCharType="begin"/>
        </w:r>
        <w:r w:rsidR="008D1DC3" w:rsidRPr="008F0AA3">
          <w:rPr>
            <w:rFonts w:cs="Times New Roman"/>
            <w:b w:val="0"/>
            <w:bCs/>
            <w:noProof/>
            <w:webHidden/>
          </w:rPr>
          <w:instrText xml:space="preserve"> PAGEREF _Toc181297758 \h </w:instrText>
        </w:r>
        <w:r w:rsidR="008D1DC3" w:rsidRPr="008F0AA3">
          <w:rPr>
            <w:rFonts w:cs="Times New Roman"/>
            <w:b w:val="0"/>
            <w:bCs/>
            <w:noProof/>
            <w:webHidden/>
          </w:rPr>
        </w:r>
        <w:r w:rsidR="008D1DC3" w:rsidRPr="008F0AA3">
          <w:rPr>
            <w:rFonts w:cs="Times New Roman"/>
            <w:b w:val="0"/>
            <w:bCs/>
            <w:noProof/>
            <w:webHidden/>
          </w:rPr>
          <w:fldChar w:fldCharType="separate"/>
        </w:r>
        <w:r w:rsidR="00504669">
          <w:rPr>
            <w:rFonts w:cs="Times New Roman"/>
            <w:b w:val="0"/>
            <w:bCs/>
            <w:noProof/>
            <w:webHidden/>
          </w:rPr>
          <w:t>71</w:t>
        </w:r>
        <w:r w:rsidR="008D1DC3" w:rsidRPr="008F0AA3">
          <w:rPr>
            <w:rFonts w:cs="Times New Roman"/>
            <w:b w:val="0"/>
            <w:bCs/>
            <w:noProof/>
            <w:webHidden/>
          </w:rPr>
          <w:fldChar w:fldCharType="end"/>
        </w:r>
      </w:hyperlink>
    </w:p>
    <w:p w14:paraId="5FD7A42C" w14:textId="3257D4EA"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59" w:history="1">
        <w:r w:rsidRPr="008F0AA3">
          <w:rPr>
            <w:rStyle w:val="Hyperlink"/>
            <w:rFonts w:ascii="Times New Roman" w:hAnsi="Times New Roman" w:cs="Times New Roman"/>
            <w:b w:val="0"/>
            <w:bCs/>
            <w:noProof/>
          </w:rPr>
          <w:t>Table 2</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_Toc181297759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73</w:t>
        </w:r>
        <w:r w:rsidRPr="008F0AA3">
          <w:rPr>
            <w:rFonts w:cs="Times New Roman"/>
            <w:b w:val="0"/>
            <w:bCs/>
            <w:noProof/>
            <w:webHidden/>
          </w:rPr>
          <w:fldChar w:fldCharType="end"/>
        </w:r>
      </w:hyperlink>
    </w:p>
    <w:p w14:paraId="6EC2188E" w14:textId="4A927BCF"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60" w:history="1">
        <w:r w:rsidRPr="008F0AA3">
          <w:rPr>
            <w:rStyle w:val="Hyperlink"/>
            <w:rFonts w:ascii="Times New Roman" w:hAnsi="Times New Roman" w:cs="Times New Roman"/>
            <w:b w:val="0"/>
            <w:bCs/>
            <w:noProof/>
          </w:rPr>
          <w:t>Table 4</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_Toc181297760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93</w:t>
        </w:r>
        <w:r w:rsidRPr="008F0AA3">
          <w:rPr>
            <w:rFonts w:cs="Times New Roman"/>
            <w:b w:val="0"/>
            <w:bCs/>
            <w:noProof/>
            <w:webHidden/>
          </w:rPr>
          <w:fldChar w:fldCharType="end"/>
        </w:r>
      </w:hyperlink>
    </w:p>
    <w:p w14:paraId="2734E0FF" w14:textId="017936ED"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61" w:history="1">
        <w:r w:rsidRPr="008F0AA3">
          <w:rPr>
            <w:rStyle w:val="Hyperlink"/>
            <w:rFonts w:ascii="Times New Roman" w:hAnsi="Times New Roman" w:cs="Times New Roman"/>
            <w:b w:val="0"/>
            <w:bCs/>
            <w:noProof/>
          </w:rPr>
          <w:t>Table 5</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_Toc181297761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97</w:t>
        </w:r>
        <w:r w:rsidRPr="008F0AA3">
          <w:rPr>
            <w:rFonts w:cs="Times New Roman"/>
            <w:b w:val="0"/>
            <w:bCs/>
            <w:noProof/>
            <w:webHidden/>
          </w:rPr>
          <w:fldChar w:fldCharType="end"/>
        </w:r>
      </w:hyperlink>
    </w:p>
    <w:p w14:paraId="32A84F35" w14:textId="0AAFCD69"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62" w:history="1">
        <w:r w:rsidRPr="008F0AA3">
          <w:rPr>
            <w:rStyle w:val="Hyperlink"/>
            <w:rFonts w:ascii="Times New Roman" w:hAnsi="Times New Roman" w:cs="Times New Roman"/>
            <w:b w:val="0"/>
            <w:bCs/>
            <w:noProof/>
          </w:rPr>
          <w:t>Table 6</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_Toc181297762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98</w:t>
        </w:r>
        <w:r w:rsidRPr="008F0AA3">
          <w:rPr>
            <w:rFonts w:cs="Times New Roman"/>
            <w:b w:val="0"/>
            <w:bCs/>
            <w:noProof/>
            <w:webHidden/>
          </w:rPr>
          <w:fldChar w:fldCharType="end"/>
        </w:r>
      </w:hyperlink>
    </w:p>
    <w:p w14:paraId="7DF38369" w14:textId="7C878805"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63" w:history="1">
        <w:r w:rsidRPr="008F0AA3">
          <w:rPr>
            <w:rStyle w:val="Hyperlink"/>
            <w:rFonts w:ascii="Times New Roman" w:hAnsi="Times New Roman" w:cs="Times New Roman"/>
            <w:b w:val="0"/>
            <w:bCs/>
            <w:noProof/>
          </w:rPr>
          <w:t>Table 7</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_Toc181297763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122</w:t>
        </w:r>
        <w:r w:rsidRPr="008F0AA3">
          <w:rPr>
            <w:rFonts w:cs="Times New Roman"/>
            <w:b w:val="0"/>
            <w:bCs/>
            <w:noProof/>
            <w:webHidden/>
          </w:rPr>
          <w:fldChar w:fldCharType="end"/>
        </w:r>
      </w:hyperlink>
    </w:p>
    <w:p w14:paraId="02054736" w14:textId="594ACF60"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64" w:history="1">
        <w:r w:rsidRPr="008F0AA3">
          <w:rPr>
            <w:rStyle w:val="Hyperlink"/>
            <w:rFonts w:ascii="Times New Roman" w:hAnsi="Times New Roman" w:cs="Times New Roman"/>
            <w:b w:val="0"/>
            <w:bCs/>
            <w:noProof/>
          </w:rPr>
          <w:t>Table 8</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_Toc181297764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124</w:t>
        </w:r>
        <w:r w:rsidRPr="008F0AA3">
          <w:rPr>
            <w:rFonts w:cs="Times New Roman"/>
            <w:b w:val="0"/>
            <w:bCs/>
            <w:noProof/>
            <w:webHidden/>
          </w:rPr>
          <w:fldChar w:fldCharType="end"/>
        </w:r>
      </w:hyperlink>
    </w:p>
    <w:p w14:paraId="1F89A408" w14:textId="0B73C030"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65" w:history="1">
        <w:r w:rsidRPr="008F0AA3">
          <w:rPr>
            <w:rStyle w:val="Hyperlink"/>
            <w:rFonts w:ascii="Times New Roman" w:hAnsi="Times New Roman" w:cs="Times New Roman"/>
            <w:b w:val="0"/>
            <w:bCs/>
            <w:noProof/>
          </w:rPr>
          <w:t>Table 9</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_Toc181297765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129</w:t>
        </w:r>
        <w:r w:rsidRPr="008F0AA3">
          <w:rPr>
            <w:rFonts w:cs="Times New Roman"/>
            <w:b w:val="0"/>
            <w:bCs/>
            <w:noProof/>
            <w:webHidden/>
          </w:rPr>
          <w:fldChar w:fldCharType="end"/>
        </w:r>
      </w:hyperlink>
    </w:p>
    <w:p w14:paraId="7E669056" w14:textId="483288C7"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66" w:history="1">
        <w:r w:rsidRPr="008F0AA3">
          <w:rPr>
            <w:rStyle w:val="Hyperlink"/>
            <w:rFonts w:ascii="Times New Roman" w:hAnsi="Times New Roman" w:cs="Times New Roman"/>
            <w:b w:val="0"/>
            <w:bCs/>
            <w:noProof/>
          </w:rPr>
          <w:t>Table 10</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_Toc181297766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131</w:t>
        </w:r>
        <w:r w:rsidRPr="008F0AA3">
          <w:rPr>
            <w:rFonts w:cs="Times New Roman"/>
            <w:b w:val="0"/>
            <w:bCs/>
            <w:noProof/>
            <w:webHidden/>
          </w:rPr>
          <w:fldChar w:fldCharType="end"/>
        </w:r>
      </w:hyperlink>
    </w:p>
    <w:p w14:paraId="3FBC2462" w14:textId="5D46A691"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67" w:history="1">
        <w:r w:rsidRPr="008F0AA3">
          <w:rPr>
            <w:rStyle w:val="Hyperlink"/>
            <w:rFonts w:ascii="Times New Roman" w:hAnsi="Times New Roman" w:cs="Times New Roman"/>
            <w:b w:val="0"/>
            <w:bCs/>
            <w:noProof/>
          </w:rPr>
          <w:t>Table 11</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_Toc181297767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146</w:t>
        </w:r>
        <w:r w:rsidRPr="008F0AA3">
          <w:rPr>
            <w:rFonts w:cs="Times New Roman"/>
            <w:b w:val="0"/>
            <w:bCs/>
            <w:noProof/>
            <w:webHidden/>
          </w:rPr>
          <w:fldChar w:fldCharType="end"/>
        </w:r>
      </w:hyperlink>
    </w:p>
    <w:p w14:paraId="2FCCA815" w14:textId="55D29FBC"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68" w:history="1">
        <w:r w:rsidRPr="008F0AA3">
          <w:rPr>
            <w:rStyle w:val="Hyperlink"/>
            <w:rFonts w:ascii="Times New Roman" w:hAnsi="Times New Roman" w:cs="Times New Roman"/>
            <w:b w:val="0"/>
            <w:bCs/>
            <w:noProof/>
          </w:rPr>
          <w:t>Table 13</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_Toc181297768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219</w:t>
        </w:r>
        <w:r w:rsidRPr="008F0AA3">
          <w:rPr>
            <w:rFonts w:cs="Times New Roman"/>
            <w:b w:val="0"/>
            <w:bCs/>
            <w:noProof/>
            <w:webHidden/>
          </w:rPr>
          <w:fldChar w:fldCharType="end"/>
        </w:r>
      </w:hyperlink>
    </w:p>
    <w:p w14:paraId="5958F75B" w14:textId="7E793391"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69" w:history="1">
        <w:r w:rsidRPr="008F0AA3">
          <w:rPr>
            <w:rStyle w:val="Hyperlink"/>
            <w:rFonts w:ascii="Times New Roman" w:hAnsi="Times New Roman" w:cs="Times New Roman"/>
            <w:b w:val="0"/>
            <w:bCs/>
            <w:noProof/>
          </w:rPr>
          <w:t>Table 14</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_Toc181297769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220</w:t>
        </w:r>
        <w:r w:rsidRPr="008F0AA3">
          <w:rPr>
            <w:rFonts w:cs="Times New Roman"/>
            <w:b w:val="0"/>
            <w:bCs/>
            <w:noProof/>
            <w:webHidden/>
          </w:rPr>
          <w:fldChar w:fldCharType="end"/>
        </w:r>
      </w:hyperlink>
    </w:p>
    <w:p w14:paraId="45165412" w14:textId="05C66940"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70" w:history="1">
        <w:r w:rsidRPr="008F0AA3">
          <w:rPr>
            <w:rStyle w:val="Hyperlink"/>
            <w:rFonts w:ascii="Times New Roman" w:hAnsi="Times New Roman" w:cs="Times New Roman"/>
            <w:b w:val="0"/>
            <w:bCs/>
            <w:noProof/>
          </w:rPr>
          <w:t>Table 15</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_Toc181297770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221</w:t>
        </w:r>
        <w:r w:rsidRPr="008F0AA3">
          <w:rPr>
            <w:rFonts w:cs="Times New Roman"/>
            <w:b w:val="0"/>
            <w:bCs/>
            <w:noProof/>
            <w:webHidden/>
          </w:rPr>
          <w:fldChar w:fldCharType="end"/>
        </w:r>
      </w:hyperlink>
    </w:p>
    <w:p w14:paraId="04A4139B" w14:textId="7DB6119B"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71" w:history="1">
        <w:r w:rsidRPr="008F0AA3">
          <w:rPr>
            <w:rStyle w:val="Hyperlink"/>
            <w:rFonts w:ascii="Times New Roman" w:hAnsi="Times New Roman" w:cs="Times New Roman"/>
            <w:b w:val="0"/>
            <w:bCs/>
            <w:noProof/>
          </w:rPr>
          <w:t>Table 16</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_Toc181297771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222</w:t>
        </w:r>
        <w:r w:rsidRPr="008F0AA3">
          <w:rPr>
            <w:rFonts w:cs="Times New Roman"/>
            <w:b w:val="0"/>
            <w:bCs/>
            <w:noProof/>
            <w:webHidden/>
          </w:rPr>
          <w:fldChar w:fldCharType="end"/>
        </w:r>
      </w:hyperlink>
    </w:p>
    <w:p w14:paraId="2590C55A" w14:textId="4C4D6E27"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72" w:history="1">
        <w:r w:rsidRPr="008F0AA3">
          <w:rPr>
            <w:rStyle w:val="Hyperlink"/>
            <w:rFonts w:ascii="Times New Roman" w:hAnsi="Times New Roman" w:cs="Times New Roman"/>
            <w:b w:val="0"/>
            <w:bCs/>
            <w:noProof/>
          </w:rPr>
          <w:t>Table 17</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_Toc181297772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222</w:t>
        </w:r>
        <w:r w:rsidRPr="008F0AA3">
          <w:rPr>
            <w:rFonts w:cs="Times New Roman"/>
            <w:b w:val="0"/>
            <w:bCs/>
            <w:noProof/>
            <w:webHidden/>
          </w:rPr>
          <w:fldChar w:fldCharType="end"/>
        </w:r>
      </w:hyperlink>
    </w:p>
    <w:p w14:paraId="3DEFCF55" w14:textId="45CAD7BB" w:rsidR="008D1DC3" w:rsidRPr="008F0AA3" w:rsidRDefault="008D1DC3" w:rsidP="00CD45D6">
      <w:pPr>
        <w:pStyle w:val="TableofFigures"/>
        <w:spacing w:line="480" w:lineRule="auto"/>
        <w:rPr>
          <w:rFonts w:eastAsiaTheme="minorEastAsia" w:cs="Times New Roman"/>
          <w:b w:val="0"/>
          <w:bCs/>
          <w:noProof/>
          <w:kern w:val="2"/>
          <w14:ligatures w14:val="standardContextual"/>
        </w:rPr>
      </w:pPr>
      <w:hyperlink w:anchor="_Toc181297773" w:history="1">
        <w:r w:rsidRPr="008F0AA3">
          <w:rPr>
            <w:rStyle w:val="Hyperlink"/>
            <w:rFonts w:ascii="Times New Roman" w:hAnsi="Times New Roman" w:cs="Times New Roman"/>
            <w:b w:val="0"/>
            <w:bCs/>
            <w:noProof/>
          </w:rPr>
          <w:t>Table 18</w:t>
        </w:r>
        <w:r w:rsidRPr="008F0AA3">
          <w:rPr>
            <w:rFonts w:cs="Times New Roman"/>
            <w:b w:val="0"/>
            <w:bCs/>
            <w:noProof/>
            <w:webHidden/>
          </w:rPr>
          <w:tab/>
        </w:r>
        <w:r w:rsidRPr="008F0AA3">
          <w:rPr>
            <w:rFonts w:cs="Times New Roman"/>
            <w:b w:val="0"/>
            <w:bCs/>
            <w:noProof/>
            <w:webHidden/>
          </w:rPr>
          <w:fldChar w:fldCharType="begin"/>
        </w:r>
        <w:r w:rsidRPr="008F0AA3">
          <w:rPr>
            <w:rFonts w:cs="Times New Roman"/>
            <w:b w:val="0"/>
            <w:bCs/>
            <w:noProof/>
            <w:webHidden/>
          </w:rPr>
          <w:instrText xml:space="preserve"> PAGEREF _Toc181297773 \h </w:instrText>
        </w:r>
        <w:r w:rsidRPr="008F0AA3">
          <w:rPr>
            <w:rFonts w:cs="Times New Roman"/>
            <w:b w:val="0"/>
            <w:bCs/>
            <w:noProof/>
            <w:webHidden/>
          </w:rPr>
        </w:r>
        <w:r w:rsidRPr="008F0AA3">
          <w:rPr>
            <w:rFonts w:cs="Times New Roman"/>
            <w:b w:val="0"/>
            <w:bCs/>
            <w:noProof/>
            <w:webHidden/>
          </w:rPr>
          <w:fldChar w:fldCharType="separate"/>
        </w:r>
        <w:r w:rsidR="00504669">
          <w:rPr>
            <w:rFonts w:cs="Times New Roman"/>
            <w:b w:val="0"/>
            <w:bCs/>
            <w:noProof/>
            <w:webHidden/>
          </w:rPr>
          <w:t>223</w:t>
        </w:r>
        <w:r w:rsidRPr="008F0AA3">
          <w:rPr>
            <w:rFonts w:cs="Times New Roman"/>
            <w:b w:val="0"/>
            <w:bCs/>
            <w:noProof/>
            <w:webHidden/>
          </w:rPr>
          <w:fldChar w:fldCharType="end"/>
        </w:r>
      </w:hyperlink>
    </w:p>
    <w:p w14:paraId="63518F64" w14:textId="33F1CE37" w:rsidR="00236E6D" w:rsidRPr="008F0AA3" w:rsidRDefault="00873D6F" w:rsidP="00CD45D6">
      <w:pPr>
        <w:pStyle w:val="TableofFigures"/>
        <w:spacing w:line="480" w:lineRule="auto"/>
        <w:rPr>
          <w:rFonts w:asciiTheme="minorHAnsi" w:eastAsiaTheme="minorEastAsia" w:hAnsiTheme="minorHAnsi" w:cstheme="minorBidi"/>
          <w:b w:val="0"/>
          <w:bCs/>
          <w:kern w:val="2"/>
          <w14:ligatures w14:val="standardContextual"/>
        </w:rPr>
      </w:pPr>
      <w:r w:rsidRPr="008F0AA3">
        <w:rPr>
          <w:rFonts w:cs="Times New Roman"/>
          <w:b w:val="0"/>
          <w:bCs/>
        </w:rPr>
        <w:fldChar w:fldCharType="end"/>
      </w:r>
    </w:p>
    <w:p w14:paraId="4AF6DCB9" w14:textId="77777777" w:rsidR="00236E6D" w:rsidRPr="008F0AA3" w:rsidRDefault="00236E6D">
      <w:pPr>
        <w:spacing w:line="2" w:lineRule="exact"/>
        <w:rPr>
          <w:rFonts w:ascii="Times New Roman" w:hAnsi="Times New Roman" w:cs="Times New Roman"/>
          <w:bCs/>
        </w:rPr>
      </w:pPr>
    </w:p>
    <w:p w14:paraId="7B7E8689" w14:textId="77777777" w:rsidR="00236E6D" w:rsidRPr="008F0AA3" w:rsidRDefault="00236E6D">
      <w:pPr>
        <w:spacing w:line="2" w:lineRule="exact"/>
        <w:rPr>
          <w:rFonts w:ascii="Times New Roman" w:hAnsi="Times New Roman" w:cs="Times New Roman"/>
          <w:bCs/>
        </w:rPr>
      </w:pPr>
    </w:p>
    <w:p w14:paraId="3FFC3419" w14:textId="77777777" w:rsidR="00236E6D" w:rsidRPr="00DA70A5" w:rsidRDefault="00236E6D">
      <w:pPr>
        <w:pStyle w:val="Level1"/>
        <w:tabs>
          <w:tab w:val="right" w:leader="dot" w:pos="8228"/>
        </w:tabs>
        <w:ind w:left="0"/>
        <w:rPr>
          <w:rFonts w:cs="Times New Roman"/>
          <w:b/>
          <w:bCs/>
        </w:rPr>
      </w:pPr>
    </w:p>
    <w:p w14:paraId="5298D02D" w14:textId="20DCF9EC" w:rsidR="00236E6D" w:rsidRPr="00CD45D6" w:rsidRDefault="00236E6D" w:rsidP="00CD45D6">
      <w:pPr>
        <w:spacing w:line="480" w:lineRule="auto"/>
        <w:jc w:val="center"/>
        <w:rPr>
          <w:rFonts w:ascii="Times New Roman" w:hAnsi="Times New Roman" w:cs="Times New Roman"/>
          <w:b/>
        </w:rPr>
      </w:pPr>
      <w:r w:rsidRPr="00DA70A5">
        <w:rPr>
          <w:rFonts w:ascii="Times New Roman" w:hAnsi="Times New Roman" w:cs="Times New Roman"/>
        </w:rPr>
        <w:br w:type="page"/>
      </w:r>
      <w:r w:rsidRPr="00DA70A5">
        <w:rPr>
          <w:rFonts w:ascii="Times New Roman" w:hAnsi="Times New Roman" w:cs="Times New Roman"/>
          <w:b/>
        </w:rPr>
        <w:lastRenderedPageBreak/>
        <w:t>LIST OF FIGURES</w:t>
      </w:r>
    </w:p>
    <w:p w14:paraId="4A240109" w14:textId="6ACFCFE2" w:rsidR="00DB7170" w:rsidRPr="00CD45D6" w:rsidRDefault="0010275D" w:rsidP="00CD45D6">
      <w:pPr>
        <w:pStyle w:val="TableofFigures"/>
        <w:spacing w:line="480" w:lineRule="auto"/>
        <w:rPr>
          <w:rFonts w:eastAsiaTheme="minorEastAsia"/>
          <w:b w:val="0"/>
          <w:bCs/>
          <w:noProof/>
          <w:kern w:val="2"/>
          <w14:ligatures w14:val="standardContextual"/>
        </w:rPr>
      </w:pPr>
      <w:r w:rsidRPr="006362AB">
        <w:fldChar w:fldCharType="begin"/>
      </w:r>
      <w:r w:rsidRPr="00B07A16">
        <w:instrText xml:space="preserve"> TOC \h \z \t "Table of Figs" \c </w:instrText>
      </w:r>
      <w:r w:rsidRPr="006362AB">
        <w:fldChar w:fldCharType="separate"/>
      </w:r>
      <w:hyperlink w:anchor="_Toc180144581" w:history="1">
        <w:r w:rsidR="00DB7170" w:rsidRPr="00CD45D6">
          <w:rPr>
            <w:rStyle w:val="Hyperlink"/>
            <w:rFonts w:ascii="Times New Roman" w:hAnsi="Times New Roman" w:cs="Times New Roman"/>
            <w:b w:val="0"/>
            <w:bCs/>
            <w:noProof/>
          </w:rPr>
          <w:t>Figure 1</w:t>
        </w:r>
        <w:r w:rsidR="00DB7170" w:rsidRPr="00CD45D6">
          <w:rPr>
            <w:b w:val="0"/>
            <w:bCs/>
            <w:noProof/>
            <w:webHidden/>
          </w:rPr>
          <w:tab/>
        </w:r>
        <w:r w:rsidR="00DB7170" w:rsidRPr="00CD45D6">
          <w:rPr>
            <w:b w:val="0"/>
            <w:bCs/>
            <w:noProof/>
            <w:webHidden/>
          </w:rPr>
          <w:fldChar w:fldCharType="begin"/>
        </w:r>
        <w:r w:rsidR="00DB7170" w:rsidRPr="00CD45D6">
          <w:rPr>
            <w:b w:val="0"/>
            <w:bCs/>
            <w:noProof/>
            <w:webHidden/>
          </w:rPr>
          <w:instrText xml:space="preserve"> PAGEREF _Toc180144581 \h </w:instrText>
        </w:r>
        <w:r w:rsidR="00DB7170" w:rsidRPr="00CD45D6">
          <w:rPr>
            <w:b w:val="0"/>
            <w:bCs/>
            <w:noProof/>
            <w:webHidden/>
          </w:rPr>
        </w:r>
        <w:r w:rsidR="00DB7170" w:rsidRPr="00CD45D6">
          <w:rPr>
            <w:b w:val="0"/>
            <w:bCs/>
            <w:noProof/>
            <w:webHidden/>
          </w:rPr>
          <w:fldChar w:fldCharType="separate"/>
        </w:r>
        <w:r w:rsidR="00504669">
          <w:rPr>
            <w:b w:val="0"/>
            <w:bCs/>
            <w:noProof/>
            <w:webHidden/>
          </w:rPr>
          <w:t>84</w:t>
        </w:r>
        <w:r w:rsidR="00DB7170" w:rsidRPr="00CD45D6">
          <w:rPr>
            <w:b w:val="0"/>
            <w:bCs/>
            <w:noProof/>
            <w:webHidden/>
          </w:rPr>
          <w:fldChar w:fldCharType="end"/>
        </w:r>
      </w:hyperlink>
    </w:p>
    <w:p w14:paraId="6248804C" w14:textId="03055A5E"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82" w:history="1">
        <w:r w:rsidRPr="00CD45D6">
          <w:rPr>
            <w:rStyle w:val="Hyperlink"/>
            <w:rFonts w:ascii="Times New Roman" w:hAnsi="Times New Roman" w:cs="Times New Roman"/>
            <w:b w:val="0"/>
            <w:bCs/>
            <w:noProof/>
          </w:rPr>
          <w:t>Figure 2</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_Toc180144582 \h </w:instrText>
        </w:r>
        <w:r w:rsidRPr="00CD45D6">
          <w:rPr>
            <w:b w:val="0"/>
            <w:bCs/>
            <w:noProof/>
            <w:webHidden/>
          </w:rPr>
        </w:r>
        <w:r w:rsidRPr="00CD45D6">
          <w:rPr>
            <w:b w:val="0"/>
            <w:bCs/>
            <w:noProof/>
            <w:webHidden/>
          </w:rPr>
          <w:fldChar w:fldCharType="separate"/>
        </w:r>
        <w:r w:rsidR="00504669">
          <w:rPr>
            <w:b w:val="0"/>
            <w:bCs/>
            <w:noProof/>
            <w:webHidden/>
          </w:rPr>
          <w:t>86</w:t>
        </w:r>
        <w:r w:rsidRPr="00CD45D6">
          <w:rPr>
            <w:b w:val="0"/>
            <w:bCs/>
            <w:noProof/>
            <w:webHidden/>
          </w:rPr>
          <w:fldChar w:fldCharType="end"/>
        </w:r>
      </w:hyperlink>
    </w:p>
    <w:p w14:paraId="126ECF22" w14:textId="0C576140"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83" w:history="1">
        <w:r w:rsidRPr="00CD45D6">
          <w:rPr>
            <w:rStyle w:val="Hyperlink"/>
            <w:rFonts w:ascii="Times New Roman" w:hAnsi="Times New Roman" w:cs="Times New Roman"/>
            <w:b w:val="0"/>
            <w:bCs/>
            <w:noProof/>
          </w:rPr>
          <w:t>Figure 3</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_Toc180144583 \h </w:instrText>
        </w:r>
        <w:r w:rsidRPr="00CD45D6">
          <w:rPr>
            <w:b w:val="0"/>
            <w:bCs/>
            <w:noProof/>
            <w:webHidden/>
          </w:rPr>
        </w:r>
        <w:r w:rsidRPr="00CD45D6">
          <w:rPr>
            <w:b w:val="0"/>
            <w:bCs/>
            <w:noProof/>
            <w:webHidden/>
          </w:rPr>
          <w:fldChar w:fldCharType="separate"/>
        </w:r>
        <w:r w:rsidR="00504669">
          <w:rPr>
            <w:b w:val="0"/>
            <w:bCs/>
            <w:noProof/>
            <w:webHidden/>
          </w:rPr>
          <w:t>87</w:t>
        </w:r>
        <w:r w:rsidRPr="00CD45D6">
          <w:rPr>
            <w:b w:val="0"/>
            <w:bCs/>
            <w:noProof/>
            <w:webHidden/>
          </w:rPr>
          <w:fldChar w:fldCharType="end"/>
        </w:r>
      </w:hyperlink>
    </w:p>
    <w:p w14:paraId="400D17EE" w14:textId="556F5FA7"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84" w:history="1">
        <w:r w:rsidRPr="00CD45D6">
          <w:rPr>
            <w:rStyle w:val="Hyperlink"/>
            <w:rFonts w:ascii="Times New Roman" w:hAnsi="Times New Roman" w:cs="Times New Roman"/>
            <w:b w:val="0"/>
            <w:bCs/>
            <w:noProof/>
          </w:rPr>
          <w:t>Figure 4</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_Toc180144584 \h </w:instrText>
        </w:r>
        <w:r w:rsidRPr="00CD45D6">
          <w:rPr>
            <w:b w:val="0"/>
            <w:bCs/>
            <w:noProof/>
            <w:webHidden/>
          </w:rPr>
        </w:r>
        <w:r w:rsidRPr="00CD45D6">
          <w:rPr>
            <w:b w:val="0"/>
            <w:bCs/>
            <w:noProof/>
            <w:webHidden/>
          </w:rPr>
          <w:fldChar w:fldCharType="separate"/>
        </w:r>
        <w:r w:rsidR="00504669">
          <w:rPr>
            <w:b w:val="0"/>
            <w:bCs/>
            <w:noProof/>
            <w:webHidden/>
          </w:rPr>
          <w:t>88</w:t>
        </w:r>
        <w:r w:rsidRPr="00CD45D6">
          <w:rPr>
            <w:b w:val="0"/>
            <w:bCs/>
            <w:noProof/>
            <w:webHidden/>
          </w:rPr>
          <w:fldChar w:fldCharType="end"/>
        </w:r>
      </w:hyperlink>
    </w:p>
    <w:p w14:paraId="515BD15D" w14:textId="7E57046F"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85" w:history="1">
        <w:r w:rsidRPr="00CD45D6">
          <w:rPr>
            <w:rStyle w:val="Hyperlink"/>
            <w:rFonts w:ascii="Times New Roman" w:hAnsi="Times New Roman" w:cs="Times New Roman"/>
            <w:b w:val="0"/>
            <w:bCs/>
            <w:noProof/>
          </w:rPr>
          <w:t>Figure 5</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_Toc180144585 \h </w:instrText>
        </w:r>
        <w:r w:rsidRPr="00CD45D6">
          <w:rPr>
            <w:b w:val="0"/>
            <w:bCs/>
            <w:noProof/>
            <w:webHidden/>
          </w:rPr>
        </w:r>
        <w:r w:rsidRPr="00CD45D6">
          <w:rPr>
            <w:b w:val="0"/>
            <w:bCs/>
            <w:noProof/>
            <w:webHidden/>
          </w:rPr>
          <w:fldChar w:fldCharType="separate"/>
        </w:r>
        <w:r w:rsidR="00504669">
          <w:rPr>
            <w:b w:val="0"/>
            <w:bCs/>
            <w:noProof/>
            <w:webHidden/>
          </w:rPr>
          <w:t>101</w:t>
        </w:r>
        <w:r w:rsidRPr="00CD45D6">
          <w:rPr>
            <w:b w:val="0"/>
            <w:bCs/>
            <w:noProof/>
            <w:webHidden/>
          </w:rPr>
          <w:fldChar w:fldCharType="end"/>
        </w:r>
      </w:hyperlink>
    </w:p>
    <w:p w14:paraId="4A7BB6B3" w14:textId="0E041011"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86" w:history="1">
        <w:r w:rsidRPr="00CD45D6">
          <w:rPr>
            <w:rStyle w:val="Hyperlink"/>
            <w:rFonts w:ascii="Times New Roman" w:hAnsi="Times New Roman" w:cs="Times New Roman"/>
            <w:b w:val="0"/>
            <w:bCs/>
            <w:noProof/>
          </w:rPr>
          <w:t>Figure 6</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_Toc180144586 \h </w:instrText>
        </w:r>
        <w:r w:rsidRPr="00CD45D6">
          <w:rPr>
            <w:b w:val="0"/>
            <w:bCs/>
            <w:noProof/>
            <w:webHidden/>
          </w:rPr>
        </w:r>
        <w:r w:rsidRPr="00CD45D6">
          <w:rPr>
            <w:b w:val="0"/>
            <w:bCs/>
            <w:noProof/>
            <w:webHidden/>
          </w:rPr>
          <w:fldChar w:fldCharType="separate"/>
        </w:r>
        <w:r w:rsidR="00504669">
          <w:rPr>
            <w:b w:val="0"/>
            <w:bCs/>
            <w:noProof/>
            <w:webHidden/>
          </w:rPr>
          <w:t>102</w:t>
        </w:r>
        <w:r w:rsidRPr="00CD45D6">
          <w:rPr>
            <w:b w:val="0"/>
            <w:bCs/>
            <w:noProof/>
            <w:webHidden/>
          </w:rPr>
          <w:fldChar w:fldCharType="end"/>
        </w:r>
      </w:hyperlink>
    </w:p>
    <w:p w14:paraId="071CC9AC" w14:textId="64E42D9F"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87" w:history="1">
        <w:r w:rsidRPr="00CD45D6">
          <w:rPr>
            <w:rStyle w:val="Hyperlink"/>
            <w:rFonts w:ascii="Times New Roman" w:hAnsi="Times New Roman" w:cs="Times New Roman"/>
            <w:b w:val="0"/>
            <w:bCs/>
            <w:noProof/>
          </w:rPr>
          <w:t>Figure 7</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_Toc180144587 \h </w:instrText>
        </w:r>
        <w:r w:rsidRPr="00CD45D6">
          <w:rPr>
            <w:b w:val="0"/>
            <w:bCs/>
            <w:noProof/>
            <w:webHidden/>
          </w:rPr>
        </w:r>
        <w:r w:rsidRPr="00CD45D6">
          <w:rPr>
            <w:b w:val="0"/>
            <w:bCs/>
            <w:noProof/>
            <w:webHidden/>
          </w:rPr>
          <w:fldChar w:fldCharType="separate"/>
        </w:r>
        <w:r w:rsidR="00504669">
          <w:rPr>
            <w:b w:val="0"/>
            <w:bCs/>
            <w:noProof/>
            <w:webHidden/>
          </w:rPr>
          <w:t>103</w:t>
        </w:r>
        <w:r w:rsidRPr="00CD45D6">
          <w:rPr>
            <w:b w:val="0"/>
            <w:bCs/>
            <w:noProof/>
            <w:webHidden/>
          </w:rPr>
          <w:fldChar w:fldCharType="end"/>
        </w:r>
      </w:hyperlink>
    </w:p>
    <w:p w14:paraId="76717A63" w14:textId="28F02CA6"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88" w:history="1">
        <w:r w:rsidRPr="00CD45D6">
          <w:rPr>
            <w:rStyle w:val="Hyperlink"/>
            <w:rFonts w:ascii="Times New Roman" w:hAnsi="Times New Roman" w:cs="Times New Roman"/>
            <w:b w:val="0"/>
            <w:bCs/>
            <w:noProof/>
          </w:rPr>
          <w:t>Figure 8</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_Toc180144588 \h </w:instrText>
        </w:r>
        <w:r w:rsidRPr="00CD45D6">
          <w:rPr>
            <w:b w:val="0"/>
            <w:bCs/>
            <w:noProof/>
            <w:webHidden/>
          </w:rPr>
        </w:r>
        <w:r w:rsidRPr="00CD45D6">
          <w:rPr>
            <w:b w:val="0"/>
            <w:bCs/>
            <w:noProof/>
            <w:webHidden/>
          </w:rPr>
          <w:fldChar w:fldCharType="separate"/>
        </w:r>
        <w:r w:rsidR="00504669">
          <w:rPr>
            <w:b w:val="0"/>
            <w:bCs/>
            <w:noProof/>
            <w:webHidden/>
          </w:rPr>
          <w:t>104</w:t>
        </w:r>
        <w:r w:rsidRPr="00CD45D6">
          <w:rPr>
            <w:b w:val="0"/>
            <w:bCs/>
            <w:noProof/>
            <w:webHidden/>
          </w:rPr>
          <w:fldChar w:fldCharType="end"/>
        </w:r>
      </w:hyperlink>
    </w:p>
    <w:p w14:paraId="7A711CED" w14:textId="4EA9F7E3"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89" w:history="1">
        <w:r w:rsidRPr="00CD45D6">
          <w:rPr>
            <w:rStyle w:val="Hyperlink"/>
            <w:rFonts w:ascii="Times New Roman" w:hAnsi="Times New Roman" w:cs="Times New Roman"/>
            <w:b w:val="0"/>
            <w:bCs/>
            <w:noProof/>
          </w:rPr>
          <w:t>Figure 9</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_Toc180144589 \h </w:instrText>
        </w:r>
        <w:r w:rsidRPr="00CD45D6">
          <w:rPr>
            <w:b w:val="0"/>
            <w:bCs/>
            <w:noProof/>
            <w:webHidden/>
          </w:rPr>
        </w:r>
        <w:r w:rsidRPr="00CD45D6">
          <w:rPr>
            <w:b w:val="0"/>
            <w:bCs/>
            <w:noProof/>
            <w:webHidden/>
          </w:rPr>
          <w:fldChar w:fldCharType="separate"/>
        </w:r>
        <w:r w:rsidR="00504669">
          <w:rPr>
            <w:b w:val="0"/>
            <w:bCs/>
            <w:noProof/>
            <w:webHidden/>
          </w:rPr>
          <w:t>105</w:t>
        </w:r>
        <w:r w:rsidRPr="00CD45D6">
          <w:rPr>
            <w:b w:val="0"/>
            <w:bCs/>
            <w:noProof/>
            <w:webHidden/>
          </w:rPr>
          <w:fldChar w:fldCharType="end"/>
        </w:r>
      </w:hyperlink>
    </w:p>
    <w:p w14:paraId="606F9EC4" w14:textId="22D645D0"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90" w:history="1">
        <w:r w:rsidRPr="00CD45D6">
          <w:rPr>
            <w:rStyle w:val="Hyperlink"/>
            <w:rFonts w:ascii="Times New Roman" w:hAnsi="Times New Roman" w:cs="Times New Roman"/>
            <w:b w:val="0"/>
            <w:bCs/>
            <w:noProof/>
          </w:rPr>
          <w:t>Figure 10</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_Toc180144590 \h </w:instrText>
        </w:r>
        <w:r w:rsidRPr="00CD45D6">
          <w:rPr>
            <w:b w:val="0"/>
            <w:bCs/>
            <w:noProof/>
            <w:webHidden/>
          </w:rPr>
        </w:r>
        <w:r w:rsidRPr="00CD45D6">
          <w:rPr>
            <w:b w:val="0"/>
            <w:bCs/>
            <w:noProof/>
            <w:webHidden/>
          </w:rPr>
          <w:fldChar w:fldCharType="separate"/>
        </w:r>
        <w:r w:rsidR="00504669">
          <w:rPr>
            <w:b w:val="0"/>
            <w:bCs/>
            <w:noProof/>
            <w:webHidden/>
          </w:rPr>
          <w:t>106</w:t>
        </w:r>
        <w:r w:rsidRPr="00CD45D6">
          <w:rPr>
            <w:b w:val="0"/>
            <w:bCs/>
            <w:noProof/>
            <w:webHidden/>
          </w:rPr>
          <w:fldChar w:fldCharType="end"/>
        </w:r>
      </w:hyperlink>
    </w:p>
    <w:p w14:paraId="352AA9FC" w14:textId="2B504191"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91" w:history="1">
        <w:r w:rsidRPr="00CD45D6">
          <w:rPr>
            <w:rStyle w:val="Hyperlink"/>
            <w:rFonts w:ascii="Times New Roman" w:hAnsi="Times New Roman" w:cs="Times New Roman"/>
            <w:b w:val="0"/>
            <w:bCs/>
            <w:noProof/>
          </w:rPr>
          <w:t>Figure 11</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_Toc180144591 \h </w:instrText>
        </w:r>
        <w:r w:rsidRPr="00CD45D6">
          <w:rPr>
            <w:b w:val="0"/>
            <w:bCs/>
            <w:noProof/>
            <w:webHidden/>
          </w:rPr>
        </w:r>
        <w:r w:rsidRPr="00CD45D6">
          <w:rPr>
            <w:b w:val="0"/>
            <w:bCs/>
            <w:noProof/>
            <w:webHidden/>
          </w:rPr>
          <w:fldChar w:fldCharType="separate"/>
        </w:r>
        <w:r w:rsidR="00504669">
          <w:rPr>
            <w:b w:val="0"/>
            <w:bCs/>
            <w:noProof/>
            <w:webHidden/>
          </w:rPr>
          <w:t>107</w:t>
        </w:r>
        <w:r w:rsidRPr="00CD45D6">
          <w:rPr>
            <w:b w:val="0"/>
            <w:bCs/>
            <w:noProof/>
            <w:webHidden/>
          </w:rPr>
          <w:fldChar w:fldCharType="end"/>
        </w:r>
      </w:hyperlink>
    </w:p>
    <w:p w14:paraId="40C7E7C9" w14:textId="743DAEB2"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92" w:history="1">
        <w:r w:rsidRPr="00CD45D6">
          <w:rPr>
            <w:rStyle w:val="Hyperlink"/>
            <w:rFonts w:ascii="Times New Roman" w:hAnsi="Times New Roman" w:cs="Times New Roman"/>
            <w:b w:val="0"/>
            <w:bCs/>
            <w:noProof/>
          </w:rPr>
          <w:t>Figure 12</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_Toc180144592 \h </w:instrText>
        </w:r>
        <w:r w:rsidRPr="00CD45D6">
          <w:rPr>
            <w:b w:val="0"/>
            <w:bCs/>
            <w:noProof/>
            <w:webHidden/>
          </w:rPr>
        </w:r>
        <w:r w:rsidRPr="00CD45D6">
          <w:rPr>
            <w:b w:val="0"/>
            <w:bCs/>
            <w:noProof/>
            <w:webHidden/>
          </w:rPr>
          <w:fldChar w:fldCharType="separate"/>
        </w:r>
        <w:r w:rsidR="00504669">
          <w:rPr>
            <w:b w:val="0"/>
            <w:bCs/>
            <w:noProof/>
            <w:webHidden/>
          </w:rPr>
          <w:t>108</w:t>
        </w:r>
        <w:r w:rsidRPr="00CD45D6">
          <w:rPr>
            <w:b w:val="0"/>
            <w:bCs/>
            <w:noProof/>
            <w:webHidden/>
          </w:rPr>
          <w:fldChar w:fldCharType="end"/>
        </w:r>
      </w:hyperlink>
    </w:p>
    <w:p w14:paraId="5013EF8C" w14:textId="724C73BA"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93" w:history="1">
        <w:r w:rsidRPr="00CD45D6">
          <w:rPr>
            <w:rStyle w:val="Hyperlink"/>
            <w:rFonts w:ascii="Times New Roman" w:hAnsi="Times New Roman" w:cs="Times New Roman"/>
            <w:b w:val="0"/>
            <w:bCs/>
            <w:noProof/>
          </w:rPr>
          <w:t>Figure 13</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_Toc180144593 \h </w:instrText>
        </w:r>
        <w:r w:rsidRPr="00CD45D6">
          <w:rPr>
            <w:b w:val="0"/>
            <w:bCs/>
            <w:noProof/>
            <w:webHidden/>
          </w:rPr>
        </w:r>
        <w:r w:rsidRPr="00CD45D6">
          <w:rPr>
            <w:b w:val="0"/>
            <w:bCs/>
            <w:noProof/>
            <w:webHidden/>
          </w:rPr>
          <w:fldChar w:fldCharType="separate"/>
        </w:r>
        <w:r w:rsidR="00504669">
          <w:rPr>
            <w:b w:val="0"/>
            <w:bCs/>
            <w:noProof/>
            <w:webHidden/>
          </w:rPr>
          <w:t>109</w:t>
        </w:r>
        <w:r w:rsidRPr="00CD45D6">
          <w:rPr>
            <w:b w:val="0"/>
            <w:bCs/>
            <w:noProof/>
            <w:webHidden/>
          </w:rPr>
          <w:fldChar w:fldCharType="end"/>
        </w:r>
      </w:hyperlink>
    </w:p>
    <w:p w14:paraId="27D9AC6C" w14:textId="36E480A0"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94" w:history="1">
        <w:r w:rsidRPr="00CD45D6">
          <w:rPr>
            <w:rStyle w:val="Hyperlink"/>
            <w:rFonts w:ascii="Times New Roman" w:hAnsi="Times New Roman" w:cs="Times New Roman"/>
            <w:b w:val="0"/>
            <w:bCs/>
            <w:noProof/>
          </w:rPr>
          <w:t>Figure 14</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_Toc180144594 \h </w:instrText>
        </w:r>
        <w:r w:rsidRPr="00CD45D6">
          <w:rPr>
            <w:b w:val="0"/>
            <w:bCs/>
            <w:noProof/>
            <w:webHidden/>
          </w:rPr>
        </w:r>
        <w:r w:rsidRPr="00CD45D6">
          <w:rPr>
            <w:b w:val="0"/>
            <w:bCs/>
            <w:noProof/>
            <w:webHidden/>
          </w:rPr>
          <w:fldChar w:fldCharType="separate"/>
        </w:r>
        <w:r w:rsidR="00504669">
          <w:rPr>
            <w:b w:val="0"/>
            <w:bCs/>
            <w:noProof/>
            <w:webHidden/>
          </w:rPr>
          <w:t>110</w:t>
        </w:r>
        <w:r w:rsidRPr="00CD45D6">
          <w:rPr>
            <w:b w:val="0"/>
            <w:bCs/>
            <w:noProof/>
            <w:webHidden/>
          </w:rPr>
          <w:fldChar w:fldCharType="end"/>
        </w:r>
      </w:hyperlink>
    </w:p>
    <w:p w14:paraId="64B8678D" w14:textId="78545D48"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95" w:history="1">
        <w:r w:rsidRPr="00CD45D6">
          <w:rPr>
            <w:rStyle w:val="Hyperlink"/>
            <w:rFonts w:ascii="Times New Roman" w:hAnsi="Times New Roman" w:cs="Times New Roman"/>
            <w:b w:val="0"/>
            <w:bCs/>
            <w:noProof/>
          </w:rPr>
          <w:t>Figure 15</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_Toc180144595 \h </w:instrText>
        </w:r>
        <w:r w:rsidRPr="00CD45D6">
          <w:rPr>
            <w:b w:val="0"/>
            <w:bCs/>
            <w:noProof/>
            <w:webHidden/>
          </w:rPr>
        </w:r>
        <w:r w:rsidRPr="00CD45D6">
          <w:rPr>
            <w:b w:val="0"/>
            <w:bCs/>
            <w:noProof/>
            <w:webHidden/>
          </w:rPr>
          <w:fldChar w:fldCharType="separate"/>
        </w:r>
        <w:r w:rsidR="00504669">
          <w:rPr>
            <w:b w:val="0"/>
            <w:bCs/>
            <w:noProof/>
            <w:webHidden/>
          </w:rPr>
          <w:t>111</w:t>
        </w:r>
        <w:r w:rsidRPr="00CD45D6">
          <w:rPr>
            <w:b w:val="0"/>
            <w:bCs/>
            <w:noProof/>
            <w:webHidden/>
          </w:rPr>
          <w:fldChar w:fldCharType="end"/>
        </w:r>
      </w:hyperlink>
    </w:p>
    <w:p w14:paraId="11696E88" w14:textId="7EE66987"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96" w:history="1">
        <w:r w:rsidRPr="00CD45D6">
          <w:rPr>
            <w:rStyle w:val="Hyperlink"/>
            <w:rFonts w:ascii="Times New Roman" w:hAnsi="Times New Roman" w:cs="Times New Roman"/>
            <w:b w:val="0"/>
            <w:bCs/>
            <w:noProof/>
          </w:rPr>
          <w:t>Figure 16</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_Toc180144596 \h </w:instrText>
        </w:r>
        <w:r w:rsidRPr="00CD45D6">
          <w:rPr>
            <w:b w:val="0"/>
            <w:bCs/>
            <w:noProof/>
            <w:webHidden/>
          </w:rPr>
        </w:r>
        <w:r w:rsidRPr="00CD45D6">
          <w:rPr>
            <w:b w:val="0"/>
            <w:bCs/>
            <w:noProof/>
            <w:webHidden/>
          </w:rPr>
          <w:fldChar w:fldCharType="separate"/>
        </w:r>
        <w:r w:rsidR="00504669">
          <w:rPr>
            <w:b w:val="0"/>
            <w:bCs/>
            <w:noProof/>
            <w:webHidden/>
          </w:rPr>
          <w:t>133</w:t>
        </w:r>
        <w:r w:rsidRPr="00CD45D6">
          <w:rPr>
            <w:b w:val="0"/>
            <w:bCs/>
            <w:noProof/>
            <w:webHidden/>
          </w:rPr>
          <w:fldChar w:fldCharType="end"/>
        </w:r>
      </w:hyperlink>
    </w:p>
    <w:p w14:paraId="14C216E0" w14:textId="30EC3707"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97" w:history="1">
        <w:r w:rsidRPr="00CD45D6">
          <w:rPr>
            <w:rStyle w:val="Hyperlink"/>
            <w:rFonts w:ascii="Times New Roman" w:hAnsi="Times New Roman" w:cs="Times New Roman"/>
            <w:b w:val="0"/>
            <w:bCs/>
            <w:noProof/>
          </w:rPr>
          <w:t>Figure 17</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_Toc180144597 \h </w:instrText>
        </w:r>
        <w:r w:rsidRPr="00CD45D6">
          <w:rPr>
            <w:b w:val="0"/>
            <w:bCs/>
            <w:noProof/>
            <w:webHidden/>
          </w:rPr>
        </w:r>
        <w:r w:rsidRPr="00CD45D6">
          <w:rPr>
            <w:b w:val="0"/>
            <w:bCs/>
            <w:noProof/>
            <w:webHidden/>
          </w:rPr>
          <w:fldChar w:fldCharType="separate"/>
        </w:r>
        <w:r w:rsidR="00504669">
          <w:rPr>
            <w:b w:val="0"/>
            <w:bCs/>
            <w:noProof/>
            <w:webHidden/>
          </w:rPr>
          <w:t>135</w:t>
        </w:r>
        <w:r w:rsidRPr="00CD45D6">
          <w:rPr>
            <w:b w:val="0"/>
            <w:bCs/>
            <w:noProof/>
            <w:webHidden/>
          </w:rPr>
          <w:fldChar w:fldCharType="end"/>
        </w:r>
      </w:hyperlink>
    </w:p>
    <w:p w14:paraId="74F43D14" w14:textId="6CF96069"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98" w:history="1">
        <w:r w:rsidRPr="00CD45D6">
          <w:rPr>
            <w:rStyle w:val="Hyperlink"/>
            <w:rFonts w:ascii="Times New Roman" w:hAnsi="Times New Roman" w:cs="Times New Roman"/>
            <w:b w:val="0"/>
            <w:bCs/>
            <w:noProof/>
          </w:rPr>
          <w:t>Figure 18</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_Toc180144598 \h </w:instrText>
        </w:r>
        <w:r w:rsidRPr="00CD45D6">
          <w:rPr>
            <w:b w:val="0"/>
            <w:bCs/>
            <w:noProof/>
            <w:webHidden/>
          </w:rPr>
        </w:r>
        <w:r w:rsidRPr="00CD45D6">
          <w:rPr>
            <w:b w:val="0"/>
            <w:bCs/>
            <w:noProof/>
            <w:webHidden/>
          </w:rPr>
          <w:fldChar w:fldCharType="separate"/>
        </w:r>
        <w:r w:rsidR="00504669">
          <w:rPr>
            <w:b w:val="0"/>
            <w:bCs/>
            <w:noProof/>
            <w:webHidden/>
          </w:rPr>
          <w:t>136</w:t>
        </w:r>
        <w:r w:rsidRPr="00CD45D6">
          <w:rPr>
            <w:b w:val="0"/>
            <w:bCs/>
            <w:noProof/>
            <w:webHidden/>
          </w:rPr>
          <w:fldChar w:fldCharType="end"/>
        </w:r>
      </w:hyperlink>
    </w:p>
    <w:p w14:paraId="58D820D3" w14:textId="22D266EB"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599" w:history="1">
        <w:r w:rsidRPr="00CD45D6">
          <w:rPr>
            <w:rStyle w:val="Hyperlink"/>
            <w:rFonts w:ascii="Times New Roman" w:hAnsi="Times New Roman" w:cs="Times New Roman"/>
            <w:b w:val="0"/>
            <w:bCs/>
            <w:noProof/>
          </w:rPr>
          <w:t>Figure 19</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_Toc180144599 \h </w:instrText>
        </w:r>
        <w:r w:rsidRPr="00CD45D6">
          <w:rPr>
            <w:b w:val="0"/>
            <w:bCs/>
            <w:noProof/>
            <w:webHidden/>
          </w:rPr>
        </w:r>
        <w:r w:rsidRPr="00CD45D6">
          <w:rPr>
            <w:b w:val="0"/>
            <w:bCs/>
            <w:noProof/>
            <w:webHidden/>
          </w:rPr>
          <w:fldChar w:fldCharType="separate"/>
        </w:r>
        <w:r w:rsidR="00504669">
          <w:rPr>
            <w:b w:val="0"/>
            <w:bCs/>
            <w:noProof/>
            <w:webHidden/>
          </w:rPr>
          <w:t>137</w:t>
        </w:r>
        <w:r w:rsidRPr="00CD45D6">
          <w:rPr>
            <w:b w:val="0"/>
            <w:bCs/>
            <w:noProof/>
            <w:webHidden/>
          </w:rPr>
          <w:fldChar w:fldCharType="end"/>
        </w:r>
      </w:hyperlink>
    </w:p>
    <w:p w14:paraId="76702287" w14:textId="404F58A2"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00" w:history="1">
        <w:r w:rsidRPr="00CD45D6">
          <w:rPr>
            <w:rStyle w:val="Hyperlink"/>
            <w:rFonts w:ascii="Times New Roman" w:hAnsi="Times New Roman" w:cs="Times New Roman"/>
            <w:b w:val="0"/>
            <w:bCs/>
            <w:noProof/>
          </w:rPr>
          <w:t>Figure 20</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_Toc180144600 \h </w:instrText>
        </w:r>
        <w:r w:rsidRPr="00CD45D6">
          <w:rPr>
            <w:b w:val="0"/>
            <w:bCs/>
            <w:noProof/>
            <w:webHidden/>
          </w:rPr>
        </w:r>
        <w:r w:rsidRPr="00CD45D6">
          <w:rPr>
            <w:b w:val="0"/>
            <w:bCs/>
            <w:noProof/>
            <w:webHidden/>
          </w:rPr>
          <w:fldChar w:fldCharType="separate"/>
        </w:r>
        <w:r w:rsidR="00504669">
          <w:rPr>
            <w:b w:val="0"/>
            <w:bCs/>
            <w:noProof/>
            <w:webHidden/>
          </w:rPr>
          <w:t>138</w:t>
        </w:r>
        <w:r w:rsidRPr="00CD45D6">
          <w:rPr>
            <w:b w:val="0"/>
            <w:bCs/>
            <w:noProof/>
            <w:webHidden/>
          </w:rPr>
          <w:fldChar w:fldCharType="end"/>
        </w:r>
      </w:hyperlink>
    </w:p>
    <w:p w14:paraId="46E99A1E" w14:textId="13F2F06D"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01" w:history="1">
        <w:r w:rsidRPr="00CD45D6">
          <w:rPr>
            <w:rStyle w:val="Hyperlink"/>
            <w:rFonts w:ascii="Times New Roman" w:hAnsi="Times New Roman" w:cs="Times New Roman"/>
            <w:b w:val="0"/>
            <w:bCs/>
            <w:noProof/>
          </w:rPr>
          <w:t>Figure 21</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_Toc180144601 \h </w:instrText>
        </w:r>
        <w:r w:rsidRPr="00CD45D6">
          <w:rPr>
            <w:b w:val="0"/>
            <w:bCs/>
            <w:noProof/>
            <w:webHidden/>
          </w:rPr>
        </w:r>
        <w:r w:rsidRPr="00CD45D6">
          <w:rPr>
            <w:b w:val="0"/>
            <w:bCs/>
            <w:noProof/>
            <w:webHidden/>
          </w:rPr>
          <w:fldChar w:fldCharType="separate"/>
        </w:r>
        <w:r w:rsidR="00504669">
          <w:rPr>
            <w:b w:val="0"/>
            <w:bCs/>
            <w:noProof/>
            <w:webHidden/>
          </w:rPr>
          <w:t>139</w:t>
        </w:r>
        <w:r w:rsidRPr="00CD45D6">
          <w:rPr>
            <w:b w:val="0"/>
            <w:bCs/>
            <w:noProof/>
            <w:webHidden/>
          </w:rPr>
          <w:fldChar w:fldCharType="end"/>
        </w:r>
      </w:hyperlink>
    </w:p>
    <w:p w14:paraId="0ACA3B28" w14:textId="46A3769D"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02" w:history="1">
        <w:r w:rsidRPr="00CD45D6">
          <w:rPr>
            <w:rStyle w:val="Hyperlink"/>
            <w:rFonts w:ascii="Times New Roman" w:hAnsi="Times New Roman" w:cs="Times New Roman"/>
            <w:b w:val="0"/>
            <w:bCs/>
            <w:noProof/>
          </w:rPr>
          <w:t>Figure 22</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_Toc180144602 \h </w:instrText>
        </w:r>
        <w:r w:rsidRPr="00CD45D6">
          <w:rPr>
            <w:b w:val="0"/>
            <w:bCs/>
            <w:noProof/>
            <w:webHidden/>
          </w:rPr>
        </w:r>
        <w:r w:rsidRPr="00CD45D6">
          <w:rPr>
            <w:b w:val="0"/>
            <w:bCs/>
            <w:noProof/>
            <w:webHidden/>
          </w:rPr>
          <w:fldChar w:fldCharType="separate"/>
        </w:r>
        <w:r w:rsidR="00504669">
          <w:rPr>
            <w:b w:val="0"/>
            <w:bCs/>
            <w:noProof/>
            <w:webHidden/>
          </w:rPr>
          <w:t>140</w:t>
        </w:r>
        <w:r w:rsidRPr="00CD45D6">
          <w:rPr>
            <w:b w:val="0"/>
            <w:bCs/>
            <w:noProof/>
            <w:webHidden/>
          </w:rPr>
          <w:fldChar w:fldCharType="end"/>
        </w:r>
      </w:hyperlink>
    </w:p>
    <w:p w14:paraId="0B4C213C" w14:textId="75F1E8F5"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03" w:history="1">
        <w:r w:rsidRPr="00CD45D6">
          <w:rPr>
            <w:rStyle w:val="Hyperlink"/>
            <w:rFonts w:ascii="Times New Roman" w:hAnsi="Times New Roman" w:cs="Times New Roman"/>
            <w:b w:val="0"/>
            <w:bCs/>
            <w:noProof/>
          </w:rPr>
          <w:t>Figure 23</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_Toc180144603 \h </w:instrText>
        </w:r>
        <w:r w:rsidRPr="00CD45D6">
          <w:rPr>
            <w:b w:val="0"/>
            <w:bCs/>
            <w:noProof/>
            <w:webHidden/>
          </w:rPr>
        </w:r>
        <w:r w:rsidRPr="00CD45D6">
          <w:rPr>
            <w:b w:val="0"/>
            <w:bCs/>
            <w:noProof/>
            <w:webHidden/>
          </w:rPr>
          <w:fldChar w:fldCharType="separate"/>
        </w:r>
        <w:r w:rsidR="00504669">
          <w:rPr>
            <w:b w:val="0"/>
            <w:bCs/>
            <w:noProof/>
            <w:webHidden/>
          </w:rPr>
          <w:t>141</w:t>
        </w:r>
        <w:r w:rsidRPr="00CD45D6">
          <w:rPr>
            <w:b w:val="0"/>
            <w:bCs/>
            <w:noProof/>
            <w:webHidden/>
          </w:rPr>
          <w:fldChar w:fldCharType="end"/>
        </w:r>
      </w:hyperlink>
    </w:p>
    <w:p w14:paraId="02A3BB04" w14:textId="52DCEABE"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04" w:history="1">
        <w:r w:rsidRPr="00CD45D6">
          <w:rPr>
            <w:rStyle w:val="Hyperlink"/>
            <w:rFonts w:ascii="Times New Roman" w:hAnsi="Times New Roman" w:cs="Times New Roman"/>
            <w:b w:val="0"/>
            <w:bCs/>
            <w:noProof/>
          </w:rPr>
          <w:t>Figure 24</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_Toc180144604 \h </w:instrText>
        </w:r>
        <w:r w:rsidRPr="00CD45D6">
          <w:rPr>
            <w:b w:val="0"/>
            <w:bCs/>
            <w:noProof/>
            <w:webHidden/>
          </w:rPr>
        </w:r>
        <w:r w:rsidRPr="00CD45D6">
          <w:rPr>
            <w:b w:val="0"/>
            <w:bCs/>
            <w:noProof/>
            <w:webHidden/>
          </w:rPr>
          <w:fldChar w:fldCharType="separate"/>
        </w:r>
        <w:r w:rsidR="00504669">
          <w:rPr>
            <w:b w:val="0"/>
            <w:bCs/>
            <w:noProof/>
            <w:webHidden/>
          </w:rPr>
          <w:t>142</w:t>
        </w:r>
        <w:r w:rsidRPr="00CD45D6">
          <w:rPr>
            <w:b w:val="0"/>
            <w:bCs/>
            <w:noProof/>
            <w:webHidden/>
          </w:rPr>
          <w:fldChar w:fldCharType="end"/>
        </w:r>
      </w:hyperlink>
    </w:p>
    <w:p w14:paraId="5E4A2F1D" w14:textId="326353D5"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05" w:history="1">
        <w:r w:rsidRPr="00CD45D6">
          <w:rPr>
            <w:rStyle w:val="Hyperlink"/>
            <w:rFonts w:ascii="Times New Roman" w:hAnsi="Times New Roman" w:cs="Times New Roman"/>
            <w:b w:val="0"/>
            <w:bCs/>
            <w:noProof/>
          </w:rPr>
          <w:t>Figure 25</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_Toc180144605 \h </w:instrText>
        </w:r>
        <w:r w:rsidRPr="00CD45D6">
          <w:rPr>
            <w:b w:val="0"/>
            <w:bCs/>
            <w:noProof/>
            <w:webHidden/>
          </w:rPr>
        </w:r>
        <w:r w:rsidRPr="00CD45D6">
          <w:rPr>
            <w:b w:val="0"/>
            <w:bCs/>
            <w:noProof/>
            <w:webHidden/>
          </w:rPr>
          <w:fldChar w:fldCharType="separate"/>
        </w:r>
        <w:r w:rsidR="00504669">
          <w:rPr>
            <w:b w:val="0"/>
            <w:bCs/>
            <w:noProof/>
            <w:webHidden/>
          </w:rPr>
          <w:t>143</w:t>
        </w:r>
        <w:r w:rsidRPr="00CD45D6">
          <w:rPr>
            <w:b w:val="0"/>
            <w:bCs/>
            <w:noProof/>
            <w:webHidden/>
          </w:rPr>
          <w:fldChar w:fldCharType="end"/>
        </w:r>
      </w:hyperlink>
    </w:p>
    <w:p w14:paraId="5EFE6140" w14:textId="45479CC5"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06" w:history="1">
        <w:r w:rsidRPr="00CD45D6">
          <w:rPr>
            <w:rStyle w:val="Hyperlink"/>
            <w:rFonts w:ascii="Times New Roman" w:hAnsi="Times New Roman" w:cs="Times New Roman"/>
            <w:b w:val="0"/>
            <w:bCs/>
            <w:noProof/>
          </w:rPr>
          <w:t>Figure 26</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_Toc180144606 \h </w:instrText>
        </w:r>
        <w:r w:rsidRPr="00CD45D6">
          <w:rPr>
            <w:b w:val="0"/>
            <w:bCs/>
            <w:noProof/>
            <w:webHidden/>
          </w:rPr>
        </w:r>
        <w:r w:rsidRPr="00CD45D6">
          <w:rPr>
            <w:b w:val="0"/>
            <w:bCs/>
            <w:noProof/>
            <w:webHidden/>
          </w:rPr>
          <w:fldChar w:fldCharType="separate"/>
        </w:r>
        <w:r w:rsidR="00504669">
          <w:rPr>
            <w:b w:val="0"/>
            <w:bCs/>
            <w:noProof/>
            <w:webHidden/>
          </w:rPr>
          <w:t>218</w:t>
        </w:r>
        <w:r w:rsidRPr="00CD45D6">
          <w:rPr>
            <w:b w:val="0"/>
            <w:bCs/>
            <w:noProof/>
            <w:webHidden/>
          </w:rPr>
          <w:fldChar w:fldCharType="end"/>
        </w:r>
      </w:hyperlink>
    </w:p>
    <w:p w14:paraId="5FE5AC70" w14:textId="5A07B563"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07" w:history="1">
        <w:r w:rsidRPr="00CD45D6">
          <w:rPr>
            <w:rStyle w:val="Hyperlink"/>
            <w:rFonts w:ascii="Times New Roman" w:hAnsi="Times New Roman" w:cs="Times New Roman"/>
            <w:b w:val="0"/>
            <w:bCs/>
            <w:noProof/>
          </w:rPr>
          <w:t>Figure 27</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_Toc180144607 \h </w:instrText>
        </w:r>
        <w:r w:rsidRPr="00CD45D6">
          <w:rPr>
            <w:b w:val="0"/>
            <w:bCs/>
            <w:noProof/>
            <w:webHidden/>
          </w:rPr>
        </w:r>
        <w:r w:rsidRPr="00CD45D6">
          <w:rPr>
            <w:b w:val="0"/>
            <w:bCs/>
            <w:noProof/>
            <w:webHidden/>
          </w:rPr>
          <w:fldChar w:fldCharType="separate"/>
        </w:r>
        <w:r w:rsidR="00504669">
          <w:rPr>
            <w:b w:val="0"/>
            <w:bCs/>
            <w:noProof/>
            <w:webHidden/>
          </w:rPr>
          <w:t>224</w:t>
        </w:r>
        <w:r w:rsidRPr="00CD45D6">
          <w:rPr>
            <w:b w:val="0"/>
            <w:bCs/>
            <w:noProof/>
            <w:webHidden/>
          </w:rPr>
          <w:fldChar w:fldCharType="end"/>
        </w:r>
      </w:hyperlink>
    </w:p>
    <w:p w14:paraId="09153CE0" w14:textId="6C42B1CC"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08" w:history="1">
        <w:r w:rsidRPr="00CD45D6">
          <w:rPr>
            <w:rStyle w:val="Hyperlink"/>
            <w:rFonts w:ascii="Times New Roman" w:hAnsi="Times New Roman" w:cs="Times New Roman"/>
            <w:b w:val="0"/>
            <w:bCs/>
            <w:noProof/>
          </w:rPr>
          <w:t>Figure 28</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_Toc180144608 \h </w:instrText>
        </w:r>
        <w:r w:rsidRPr="00CD45D6">
          <w:rPr>
            <w:b w:val="0"/>
            <w:bCs/>
            <w:noProof/>
            <w:webHidden/>
          </w:rPr>
        </w:r>
        <w:r w:rsidRPr="00CD45D6">
          <w:rPr>
            <w:b w:val="0"/>
            <w:bCs/>
            <w:noProof/>
            <w:webHidden/>
          </w:rPr>
          <w:fldChar w:fldCharType="separate"/>
        </w:r>
        <w:r w:rsidR="00504669">
          <w:rPr>
            <w:b w:val="0"/>
            <w:bCs/>
            <w:noProof/>
            <w:webHidden/>
          </w:rPr>
          <w:t>226</w:t>
        </w:r>
        <w:r w:rsidRPr="00CD45D6">
          <w:rPr>
            <w:b w:val="0"/>
            <w:bCs/>
            <w:noProof/>
            <w:webHidden/>
          </w:rPr>
          <w:fldChar w:fldCharType="end"/>
        </w:r>
      </w:hyperlink>
    </w:p>
    <w:p w14:paraId="0ECD1E57" w14:textId="0A4D42D5"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09" w:history="1">
        <w:r w:rsidRPr="00CD45D6">
          <w:rPr>
            <w:rStyle w:val="Hyperlink"/>
            <w:rFonts w:ascii="Times New Roman" w:hAnsi="Times New Roman" w:cs="Times New Roman"/>
            <w:b w:val="0"/>
            <w:bCs/>
            <w:noProof/>
          </w:rPr>
          <w:t>Figure 29</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_Toc180144609 \h </w:instrText>
        </w:r>
        <w:r w:rsidRPr="00CD45D6">
          <w:rPr>
            <w:b w:val="0"/>
            <w:bCs/>
            <w:noProof/>
            <w:webHidden/>
          </w:rPr>
        </w:r>
        <w:r w:rsidRPr="00CD45D6">
          <w:rPr>
            <w:b w:val="0"/>
            <w:bCs/>
            <w:noProof/>
            <w:webHidden/>
          </w:rPr>
          <w:fldChar w:fldCharType="separate"/>
        </w:r>
        <w:r w:rsidR="00504669">
          <w:rPr>
            <w:b w:val="0"/>
            <w:bCs/>
            <w:noProof/>
            <w:webHidden/>
          </w:rPr>
          <w:t>228</w:t>
        </w:r>
        <w:r w:rsidRPr="00CD45D6">
          <w:rPr>
            <w:b w:val="0"/>
            <w:bCs/>
            <w:noProof/>
            <w:webHidden/>
          </w:rPr>
          <w:fldChar w:fldCharType="end"/>
        </w:r>
      </w:hyperlink>
    </w:p>
    <w:p w14:paraId="6E11B596" w14:textId="3699E8F7"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10" w:history="1">
        <w:r w:rsidRPr="00CD45D6">
          <w:rPr>
            <w:rStyle w:val="Hyperlink"/>
            <w:rFonts w:ascii="Times New Roman" w:hAnsi="Times New Roman" w:cs="Times New Roman"/>
            <w:b w:val="0"/>
            <w:bCs/>
            <w:noProof/>
          </w:rPr>
          <w:t>Figure 30</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_Toc180144610 \h </w:instrText>
        </w:r>
        <w:r w:rsidRPr="00CD45D6">
          <w:rPr>
            <w:b w:val="0"/>
            <w:bCs/>
            <w:noProof/>
            <w:webHidden/>
          </w:rPr>
        </w:r>
        <w:r w:rsidRPr="00CD45D6">
          <w:rPr>
            <w:b w:val="0"/>
            <w:bCs/>
            <w:noProof/>
            <w:webHidden/>
          </w:rPr>
          <w:fldChar w:fldCharType="separate"/>
        </w:r>
        <w:r w:rsidR="00504669">
          <w:rPr>
            <w:b w:val="0"/>
            <w:bCs/>
            <w:noProof/>
            <w:webHidden/>
          </w:rPr>
          <w:t>230</w:t>
        </w:r>
        <w:r w:rsidRPr="00CD45D6">
          <w:rPr>
            <w:b w:val="0"/>
            <w:bCs/>
            <w:noProof/>
            <w:webHidden/>
          </w:rPr>
          <w:fldChar w:fldCharType="end"/>
        </w:r>
      </w:hyperlink>
    </w:p>
    <w:p w14:paraId="38702E5C" w14:textId="5479F80F"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11" w:history="1">
        <w:r w:rsidRPr="00CD45D6">
          <w:rPr>
            <w:rStyle w:val="Hyperlink"/>
            <w:rFonts w:ascii="Times New Roman" w:hAnsi="Times New Roman" w:cs="Times New Roman"/>
            <w:b w:val="0"/>
            <w:bCs/>
            <w:noProof/>
          </w:rPr>
          <w:t>Figure 31</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_Toc180144611 \h </w:instrText>
        </w:r>
        <w:r w:rsidRPr="00CD45D6">
          <w:rPr>
            <w:b w:val="0"/>
            <w:bCs/>
            <w:noProof/>
            <w:webHidden/>
          </w:rPr>
        </w:r>
        <w:r w:rsidRPr="00CD45D6">
          <w:rPr>
            <w:b w:val="0"/>
            <w:bCs/>
            <w:noProof/>
            <w:webHidden/>
          </w:rPr>
          <w:fldChar w:fldCharType="separate"/>
        </w:r>
        <w:r w:rsidR="00504669">
          <w:rPr>
            <w:b w:val="0"/>
            <w:bCs/>
            <w:noProof/>
            <w:webHidden/>
          </w:rPr>
          <w:t>232</w:t>
        </w:r>
        <w:r w:rsidRPr="00CD45D6">
          <w:rPr>
            <w:b w:val="0"/>
            <w:bCs/>
            <w:noProof/>
            <w:webHidden/>
          </w:rPr>
          <w:fldChar w:fldCharType="end"/>
        </w:r>
      </w:hyperlink>
    </w:p>
    <w:p w14:paraId="42AF446E" w14:textId="626DA75A"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12" w:history="1">
        <w:r w:rsidRPr="00CD45D6">
          <w:rPr>
            <w:rStyle w:val="Hyperlink"/>
            <w:rFonts w:ascii="Times New Roman" w:hAnsi="Times New Roman" w:cs="Times New Roman"/>
            <w:b w:val="0"/>
            <w:bCs/>
            <w:noProof/>
          </w:rPr>
          <w:t>Figure 32</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_Toc180144612 \h </w:instrText>
        </w:r>
        <w:r w:rsidRPr="00CD45D6">
          <w:rPr>
            <w:b w:val="0"/>
            <w:bCs/>
            <w:noProof/>
            <w:webHidden/>
          </w:rPr>
        </w:r>
        <w:r w:rsidRPr="00CD45D6">
          <w:rPr>
            <w:b w:val="0"/>
            <w:bCs/>
            <w:noProof/>
            <w:webHidden/>
          </w:rPr>
          <w:fldChar w:fldCharType="separate"/>
        </w:r>
        <w:r w:rsidR="00504669">
          <w:rPr>
            <w:b w:val="0"/>
            <w:bCs/>
            <w:noProof/>
            <w:webHidden/>
          </w:rPr>
          <w:t>234</w:t>
        </w:r>
        <w:r w:rsidRPr="00CD45D6">
          <w:rPr>
            <w:b w:val="0"/>
            <w:bCs/>
            <w:noProof/>
            <w:webHidden/>
          </w:rPr>
          <w:fldChar w:fldCharType="end"/>
        </w:r>
      </w:hyperlink>
    </w:p>
    <w:p w14:paraId="58E114F7" w14:textId="6F345853" w:rsidR="00DB7170" w:rsidRPr="00CD45D6" w:rsidRDefault="00DB7170" w:rsidP="00CD45D6">
      <w:pPr>
        <w:pStyle w:val="TableofFigures"/>
        <w:spacing w:line="480" w:lineRule="auto"/>
        <w:rPr>
          <w:rFonts w:eastAsiaTheme="minorEastAsia"/>
          <w:b w:val="0"/>
          <w:bCs/>
          <w:noProof/>
          <w:kern w:val="2"/>
          <w14:ligatures w14:val="standardContextual"/>
        </w:rPr>
      </w:pPr>
      <w:hyperlink w:anchor="_Toc180144613" w:history="1">
        <w:r w:rsidRPr="00CD45D6">
          <w:rPr>
            <w:rStyle w:val="Hyperlink"/>
            <w:rFonts w:ascii="Times New Roman" w:hAnsi="Times New Roman" w:cs="Times New Roman"/>
            <w:b w:val="0"/>
            <w:bCs/>
            <w:noProof/>
          </w:rPr>
          <w:t>Figure 33</w:t>
        </w:r>
        <w:r w:rsidRPr="00CD45D6">
          <w:rPr>
            <w:b w:val="0"/>
            <w:bCs/>
            <w:noProof/>
            <w:webHidden/>
          </w:rPr>
          <w:tab/>
        </w:r>
        <w:r w:rsidRPr="00CD45D6">
          <w:rPr>
            <w:b w:val="0"/>
            <w:bCs/>
            <w:noProof/>
            <w:webHidden/>
          </w:rPr>
          <w:fldChar w:fldCharType="begin"/>
        </w:r>
        <w:r w:rsidRPr="00CD45D6">
          <w:rPr>
            <w:b w:val="0"/>
            <w:bCs/>
            <w:noProof/>
            <w:webHidden/>
          </w:rPr>
          <w:instrText xml:space="preserve"> PAGEREF _Toc180144613 \h </w:instrText>
        </w:r>
        <w:r w:rsidRPr="00CD45D6">
          <w:rPr>
            <w:b w:val="0"/>
            <w:bCs/>
            <w:noProof/>
            <w:webHidden/>
          </w:rPr>
        </w:r>
        <w:r w:rsidRPr="00CD45D6">
          <w:rPr>
            <w:b w:val="0"/>
            <w:bCs/>
            <w:noProof/>
            <w:webHidden/>
          </w:rPr>
          <w:fldChar w:fldCharType="separate"/>
        </w:r>
        <w:r w:rsidR="00504669">
          <w:rPr>
            <w:b w:val="0"/>
            <w:bCs/>
            <w:noProof/>
            <w:webHidden/>
          </w:rPr>
          <w:t>236</w:t>
        </w:r>
        <w:r w:rsidRPr="00CD45D6">
          <w:rPr>
            <w:b w:val="0"/>
            <w:bCs/>
            <w:noProof/>
            <w:webHidden/>
          </w:rPr>
          <w:fldChar w:fldCharType="end"/>
        </w:r>
      </w:hyperlink>
    </w:p>
    <w:p w14:paraId="327C1039" w14:textId="4DEE1BE0" w:rsidR="0010275D" w:rsidRPr="00DA70A5" w:rsidRDefault="0010275D" w:rsidP="00CD45D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Times New Roman" w:hAnsi="Times New Roman" w:cs="Times New Roman"/>
        </w:rPr>
      </w:pPr>
      <w:r w:rsidRPr="006362AB">
        <w:rPr>
          <w:rFonts w:ascii="Times New Roman" w:hAnsi="Times New Roman" w:cs="Times New Roman"/>
          <w:bCs/>
        </w:rPr>
        <w:fldChar w:fldCharType="end"/>
      </w:r>
    </w:p>
    <w:p w14:paraId="34FFEE9A" w14:textId="3E0214E4" w:rsidR="003C1575" w:rsidRPr="00DA70A5" w:rsidRDefault="003C1575" w:rsidP="00FF7020">
      <w:pPr>
        <w:numPr>
          <w:ilvl w:val="12"/>
          <w:numId w:val="0"/>
        </w:numPr>
        <w:ind w:left="450" w:hanging="450"/>
        <w:rPr>
          <w:rFonts w:ascii="Times New Roman" w:hAnsi="Times New Roman" w:cs="Times New Roman"/>
        </w:rPr>
        <w:sectPr w:rsidR="003C1575" w:rsidRPr="00DA70A5" w:rsidSect="00DA0F6B">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14:paraId="1F1BDF83" w14:textId="77777777" w:rsidR="00826A1A" w:rsidRPr="003C6DFC" w:rsidRDefault="00826A1A" w:rsidP="00CD45D6">
      <w:pPr>
        <w:pStyle w:val="Heading1"/>
      </w:pPr>
      <w:bookmarkStart w:id="0" w:name="_Toc183282248"/>
      <w:bookmarkStart w:id="1" w:name="_Toc420995890"/>
      <w:bookmarkStart w:id="2" w:name="_Toc422997477"/>
      <w:bookmarkStart w:id="3" w:name="_Toc427156460"/>
      <w:r w:rsidRPr="003C6DFC">
        <w:lastRenderedPageBreak/>
        <w:t>Chapter 1</w:t>
      </w:r>
      <w:bookmarkEnd w:id="0"/>
    </w:p>
    <w:bookmarkEnd w:id="1"/>
    <w:bookmarkEnd w:id="2"/>
    <w:bookmarkEnd w:id="3"/>
    <w:p w14:paraId="77DD948C" w14:textId="241C482B" w:rsidR="00B77FE6" w:rsidRPr="003C6DFC" w:rsidRDefault="00B77FE6" w:rsidP="00CD45D6">
      <w:pPr>
        <w:spacing w:line="480" w:lineRule="auto"/>
        <w:ind w:firstLine="720"/>
        <w:rPr>
          <w:rFonts w:ascii="Times New Roman" w:hAnsi="Times New Roman" w:cs="Times New Roman"/>
        </w:rPr>
      </w:pPr>
      <w:r w:rsidRPr="003C6DFC">
        <w:rPr>
          <w:rFonts w:ascii="Times New Roman" w:hAnsi="Times New Roman" w:cs="Times New Roman"/>
        </w:rPr>
        <w:t xml:space="preserve">Over the past 40 years, public officials have attempted to combat </w:t>
      </w:r>
      <w:r w:rsidR="006F7373">
        <w:rPr>
          <w:rFonts w:ascii="Times New Roman" w:hAnsi="Times New Roman" w:cs="Times New Roman"/>
        </w:rPr>
        <w:t xml:space="preserve">the </w:t>
      </w:r>
      <w:r w:rsidRPr="003C6DFC">
        <w:rPr>
          <w:rFonts w:ascii="Times New Roman" w:hAnsi="Times New Roman" w:cs="Times New Roman"/>
        </w:rPr>
        <w:t xml:space="preserve">rising costs </w:t>
      </w:r>
      <w:r w:rsidR="006F7373">
        <w:rPr>
          <w:rFonts w:ascii="Times New Roman" w:hAnsi="Times New Roman" w:cs="Times New Roman"/>
        </w:rPr>
        <w:t xml:space="preserve">of postsecondary education in the United States. Officials have </w:t>
      </w:r>
      <w:r w:rsidRPr="003C6DFC">
        <w:rPr>
          <w:rFonts w:ascii="Times New Roman" w:hAnsi="Times New Roman" w:cs="Times New Roman"/>
        </w:rPr>
        <w:t xml:space="preserve">primarily </w:t>
      </w:r>
      <w:r w:rsidR="006F7373">
        <w:rPr>
          <w:rFonts w:ascii="Times New Roman" w:hAnsi="Times New Roman" w:cs="Times New Roman"/>
        </w:rPr>
        <w:t>relied on</w:t>
      </w:r>
      <w:r w:rsidRPr="003C6DFC">
        <w:rPr>
          <w:rFonts w:ascii="Times New Roman" w:hAnsi="Times New Roman" w:cs="Times New Roman"/>
        </w:rPr>
        <w:t xml:space="preserve"> increasing access to portable student aid and award amounts in the form of in-kind money such as grants and scholarships as well as loans which must be paid back. The most recent type of aid to emerge has been place-based scholarships, otherwise referred to as </w:t>
      </w:r>
      <w:r w:rsidR="00AE0FB8" w:rsidRPr="003C6DFC">
        <w:rPr>
          <w:rFonts w:ascii="Times New Roman" w:hAnsi="Times New Roman" w:cs="Times New Roman"/>
        </w:rPr>
        <w:t xml:space="preserve">free college or </w:t>
      </w:r>
      <w:r w:rsidRPr="003C6DFC">
        <w:rPr>
          <w:rFonts w:ascii="Times New Roman" w:hAnsi="Times New Roman" w:cs="Times New Roman"/>
        </w:rPr>
        <w:t>promise programs. Promise programs are place-based scholarships that are differentiated from traditional portable financial aid awards in that they promise funds to students before applying to college. While criteria for specific promise programs can vary and</w:t>
      </w:r>
      <w:r w:rsidR="00007A8C">
        <w:rPr>
          <w:rFonts w:ascii="Times New Roman" w:hAnsi="Times New Roman" w:cs="Times New Roman"/>
        </w:rPr>
        <w:t xml:space="preserve"> may</w:t>
      </w:r>
      <w:r w:rsidRPr="003C6DFC">
        <w:rPr>
          <w:rFonts w:ascii="Times New Roman" w:hAnsi="Times New Roman" w:cs="Times New Roman"/>
        </w:rPr>
        <w:t xml:space="preserve"> include specific attributes such as an income requirement, all promise programs restrict potential awards to students from specific geographic areas and where students can utilize promise scholarship funds. Further, promise programs share a common purpose in that they attempt to increase postsecondary access, build a college-going culture, and focus on local community and economic development</w:t>
      </w:r>
      <w:sdt>
        <w:sdtPr>
          <w:rPr>
            <w:rFonts w:ascii="Times New Roman" w:hAnsi="Times New Roman" w:cs="Times New Roman"/>
          </w:rPr>
          <w:id w:val="-2695892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Par18 \t  \l 1033 </w:instrText>
          </w:r>
          <w:r w:rsidRPr="003C6DFC">
            <w:rPr>
              <w:rFonts w:ascii="Times New Roman" w:hAnsi="Times New Roman" w:cs="Times New Roman"/>
            </w:rPr>
            <w:fldChar w:fldCharType="separate"/>
          </w:r>
          <w:r w:rsidR="00A10468">
            <w:rPr>
              <w:rFonts w:ascii="Times New Roman" w:hAnsi="Times New Roman" w:cs="Times New Roman"/>
              <w:noProof/>
            </w:rPr>
            <w:t xml:space="preserve"> </w:t>
          </w:r>
          <w:r w:rsidR="00A10468" w:rsidRPr="00A10468">
            <w:rPr>
              <w:rFonts w:ascii="Times New Roman" w:hAnsi="Times New Roman" w:cs="Times New Roman"/>
              <w:noProof/>
            </w:rPr>
            <w:t>(Miller-Adams, 2015)</w:t>
          </w:r>
          <w:r w:rsidRPr="003C6DFC">
            <w:rPr>
              <w:rFonts w:ascii="Times New Roman" w:hAnsi="Times New Roman" w:cs="Times New Roman"/>
            </w:rPr>
            <w:fldChar w:fldCharType="end"/>
          </w:r>
        </w:sdtContent>
      </w:sdt>
      <w:r w:rsidRPr="003C6DFC">
        <w:rPr>
          <w:rFonts w:ascii="Times New Roman" w:hAnsi="Times New Roman" w:cs="Times New Roman"/>
        </w:rPr>
        <w:t xml:space="preserve">. </w:t>
      </w:r>
    </w:p>
    <w:p w14:paraId="4CDC456C" w14:textId="499EDACA" w:rsidR="0024361B" w:rsidRDefault="00B77FE6" w:rsidP="00CD45D6">
      <w:pPr>
        <w:spacing w:line="480" w:lineRule="auto"/>
        <w:rPr>
          <w:rFonts w:ascii="Times New Roman" w:hAnsi="Times New Roman" w:cs="Times New Roman"/>
        </w:rPr>
      </w:pPr>
      <w:r w:rsidRPr="003C6DFC">
        <w:rPr>
          <w:rFonts w:ascii="Times New Roman" w:hAnsi="Times New Roman" w:cs="Times New Roman"/>
        </w:rPr>
        <w:tab/>
        <w:t xml:space="preserve">In this </w:t>
      </w:r>
      <w:r w:rsidR="003911AB" w:rsidRPr="003C6DFC">
        <w:rPr>
          <w:rFonts w:ascii="Times New Roman" w:hAnsi="Times New Roman" w:cs="Times New Roman"/>
        </w:rPr>
        <w:t>manuscript</w:t>
      </w:r>
      <w:r w:rsidRPr="003C6DFC">
        <w:rPr>
          <w:rFonts w:ascii="Times New Roman" w:hAnsi="Times New Roman" w:cs="Times New Roman"/>
        </w:rPr>
        <w:t xml:space="preserve">, I </w:t>
      </w:r>
      <w:r w:rsidR="000D05E1" w:rsidRPr="003C6DFC">
        <w:rPr>
          <w:rFonts w:ascii="Times New Roman" w:hAnsi="Times New Roman" w:cs="Times New Roman"/>
        </w:rPr>
        <w:t>examine</w:t>
      </w:r>
      <w:r w:rsidRPr="003C6DFC">
        <w:rPr>
          <w:rFonts w:ascii="Times New Roman" w:hAnsi="Times New Roman" w:cs="Times New Roman"/>
        </w:rPr>
        <w:t xml:space="preserve"> the</w:t>
      </w:r>
      <w:r w:rsidR="003911AB" w:rsidRPr="003C6DFC">
        <w:rPr>
          <w:rFonts w:ascii="Times New Roman" w:hAnsi="Times New Roman" w:cs="Times New Roman"/>
        </w:rPr>
        <w:t xml:space="preserve"> national</w:t>
      </w:r>
      <w:r w:rsidRPr="003C6DFC">
        <w:rPr>
          <w:rFonts w:ascii="Times New Roman" w:hAnsi="Times New Roman" w:cs="Times New Roman"/>
        </w:rPr>
        <w:t xml:space="preserve"> effects of promise program </w:t>
      </w:r>
      <w:r w:rsidR="00AE0FB8" w:rsidRPr="003C6DFC">
        <w:rPr>
          <w:rFonts w:ascii="Times New Roman" w:hAnsi="Times New Roman" w:cs="Times New Roman"/>
        </w:rPr>
        <w:t xml:space="preserve">adoption </w:t>
      </w:r>
      <w:r w:rsidRPr="003C6DFC">
        <w:rPr>
          <w:rFonts w:ascii="Times New Roman" w:hAnsi="Times New Roman" w:cs="Times New Roman"/>
        </w:rPr>
        <w:t xml:space="preserve">on </w:t>
      </w:r>
      <w:r w:rsidR="00E06897" w:rsidRPr="003C6DFC">
        <w:rPr>
          <w:rFonts w:ascii="Times New Roman" w:hAnsi="Times New Roman" w:cs="Times New Roman"/>
        </w:rPr>
        <w:t xml:space="preserve">the production of </w:t>
      </w:r>
      <w:r w:rsidR="00C31025" w:rsidRPr="003C6DFC">
        <w:rPr>
          <w:rFonts w:ascii="Times New Roman" w:hAnsi="Times New Roman" w:cs="Times New Roman"/>
        </w:rPr>
        <w:t xml:space="preserve">undergraduate credentials that </w:t>
      </w:r>
      <w:r w:rsidR="00E06897" w:rsidRPr="003C6DFC">
        <w:rPr>
          <w:rFonts w:ascii="Times New Roman" w:hAnsi="Times New Roman" w:cs="Times New Roman"/>
        </w:rPr>
        <w:t xml:space="preserve">take </w:t>
      </w:r>
      <w:r w:rsidR="00C31025" w:rsidRPr="003C6DFC">
        <w:rPr>
          <w:rFonts w:ascii="Times New Roman" w:hAnsi="Times New Roman" w:cs="Times New Roman"/>
        </w:rPr>
        <w:t xml:space="preserve">less than </w:t>
      </w:r>
      <w:r w:rsidR="00F75DA2">
        <w:rPr>
          <w:rFonts w:ascii="Times New Roman" w:hAnsi="Times New Roman" w:cs="Times New Roman"/>
        </w:rPr>
        <w:t>two</w:t>
      </w:r>
      <w:r w:rsidR="00C31025" w:rsidRPr="003C6DFC">
        <w:rPr>
          <w:rFonts w:ascii="Times New Roman" w:hAnsi="Times New Roman" w:cs="Times New Roman"/>
        </w:rPr>
        <w:t xml:space="preserve"> </w:t>
      </w:r>
      <w:r w:rsidR="00E06897" w:rsidRPr="003C6DFC">
        <w:rPr>
          <w:rFonts w:ascii="Times New Roman" w:hAnsi="Times New Roman" w:cs="Times New Roman"/>
        </w:rPr>
        <w:t>years to complete</w:t>
      </w:r>
      <w:r w:rsidR="00564749" w:rsidRPr="003C6DFC">
        <w:rPr>
          <w:rFonts w:ascii="Times New Roman" w:hAnsi="Times New Roman" w:cs="Times New Roman"/>
        </w:rPr>
        <w:t xml:space="preserve"> and associate degrees</w:t>
      </w:r>
      <w:r w:rsidRPr="003C6DFC">
        <w:rPr>
          <w:rFonts w:ascii="Times New Roman" w:hAnsi="Times New Roman" w:cs="Times New Roman"/>
        </w:rPr>
        <w:t>.</w:t>
      </w:r>
      <w:r w:rsidR="00745207" w:rsidRPr="003C6DFC">
        <w:rPr>
          <w:rFonts w:ascii="Times New Roman" w:hAnsi="Times New Roman" w:cs="Times New Roman"/>
        </w:rPr>
        <w:t xml:space="preserve"> Hereon, I refer to these awards collectively as sub-baccalaureate awards.</w:t>
      </w:r>
      <w:r w:rsidRPr="003C6DFC">
        <w:rPr>
          <w:rFonts w:ascii="Times New Roman" w:hAnsi="Times New Roman" w:cs="Times New Roman"/>
        </w:rPr>
        <w:t xml:space="preserve"> </w:t>
      </w:r>
      <w:r w:rsidR="00110F09">
        <w:rPr>
          <w:rFonts w:ascii="Times New Roman" w:hAnsi="Times New Roman" w:cs="Times New Roman"/>
        </w:rPr>
        <w:t xml:space="preserve">I study these sub-baccalaureate awards because they represent the </w:t>
      </w:r>
      <w:r w:rsidR="00184039">
        <w:rPr>
          <w:rFonts w:ascii="Times New Roman" w:hAnsi="Times New Roman" w:cs="Times New Roman"/>
        </w:rPr>
        <w:t xml:space="preserve">approximately </w:t>
      </w:r>
      <w:r w:rsidR="00594C9F">
        <w:rPr>
          <w:rFonts w:ascii="Times New Roman" w:hAnsi="Times New Roman" w:cs="Times New Roman"/>
        </w:rPr>
        <w:t>40</w:t>
      </w:r>
      <w:r w:rsidR="00A3401C">
        <w:rPr>
          <w:rFonts w:ascii="Times New Roman" w:hAnsi="Times New Roman" w:cs="Times New Roman"/>
        </w:rPr>
        <w:t>%</w:t>
      </w:r>
      <w:r w:rsidR="00110F09">
        <w:rPr>
          <w:rFonts w:ascii="Times New Roman" w:hAnsi="Times New Roman" w:cs="Times New Roman"/>
        </w:rPr>
        <w:t xml:space="preserve"> of</w:t>
      </w:r>
      <w:r w:rsidR="00A3401C">
        <w:rPr>
          <w:rFonts w:ascii="Times New Roman" w:hAnsi="Times New Roman" w:cs="Times New Roman"/>
        </w:rPr>
        <w:t xml:space="preserve"> postsecondary</w:t>
      </w:r>
      <w:r w:rsidR="00110F09">
        <w:rPr>
          <w:rFonts w:ascii="Times New Roman" w:hAnsi="Times New Roman" w:cs="Times New Roman"/>
        </w:rPr>
        <w:t xml:space="preserve"> awards </w:t>
      </w:r>
      <w:r w:rsidR="00A3401C">
        <w:rPr>
          <w:rFonts w:ascii="Times New Roman" w:hAnsi="Times New Roman" w:cs="Times New Roman"/>
        </w:rPr>
        <w:t>produced in the United States</w:t>
      </w:r>
      <w:r w:rsidR="00110F09">
        <w:rPr>
          <w:rFonts w:ascii="Times New Roman" w:hAnsi="Times New Roman" w:cs="Times New Roman"/>
        </w:rPr>
        <w:t xml:space="preserve"> </w:t>
      </w:r>
      <w:r w:rsidR="00610831">
        <w:rPr>
          <w:rFonts w:ascii="Times New Roman" w:hAnsi="Times New Roman" w:cs="Times New Roman"/>
        </w:rPr>
        <w:t>but</w:t>
      </w:r>
      <w:r w:rsidR="005756D8">
        <w:rPr>
          <w:rFonts w:ascii="Times New Roman" w:hAnsi="Times New Roman" w:cs="Times New Roman"/>
        </w:rPr>
        <w:t xml:space="preserve"> also because</w:t>
      </w:r>
      <w:r w:rsidR="00610831">
        <w:rPr>
          <w:rFonts w:ascii="Times New Roman" w:hAnsi="Times New Roman" w:cs="Times New Roman"/>
        </w:rPr>
        <w:t xml:space="preserve"> </w:t>
      </w:r>
      <w:r w:rsidR="00087238">
        <w:rPr>
          <w:rFonts w:ascii="Times New Roman" w:hAnsi="Times New Roman" w:cs="Times New Roman"/>
        </w:rPr>
        <w:t xml:space="preserve">some </w:t>
      </w:r>
      <w:r w:rsidR="00610831">
        <w:rPr>
          <w:rFonts w:ascii="Times New Roman" w:hAnsi="Times New Roman" w:cs="Times New Roman"/>
        </w:rPr>
        <w:t>past research has found promise programs do not significantly increase student completion at the sub-baccalaureate level</w:t>
      </w:r>
      <w:r w:rsidR="00EA4A7E">
        <w:rPr>
          <w:rFonts w:ascii="Times New Roman" w:hAnsi="Times New Roman" w:cs="Times New Roman"/>
        </w:rPr>
        <w:t xml:space="preserve"> while other studies have</w:t>
      </w:r>
      <w:r w:rsidR="00950D86">
        <w:rPr>
          <w:rFonts w:ascii="Times New Roman" w:hAnsi="Times New Roman" w:cs="Times New Roman"/>
        </w:rPr>
        <w:t xml:space="preserve"> </w:t>
      </w:r>
      <w:r w:rsidR="00950D86" w:rsidRPr="00467843">
        <w:rPr>
          <w:rFonts w:ascii="Times New Roman" w:hAnsi="Times New Roman" w:cs="Times New Roman"/>
          <w:noProof/>
        </w:rPr>
        <w:t>(</w:t>
      </w:r>
      <w:r w:rsidR="00EA4A7E">
        <w:rPr>
          <w:rFonts w:ascii="Times New Roman" w:hAnsi="Times New Roman" w:cs="Times New Roman"/>
          <w:noProof/>
        </w:rPr>
        <w:t xml:space="preserve">Carruthers et al., 2023; </w:t>
      </w:r>
      <w:r w:rsidR="00950D86" w:rsidRPr="00467843">
        <w:rPr>
          <w:rFonts w:ascii="Times New Roman" w:hAnsi="Times New Roman" w:cs="Times New Roman"/>
          <w:noProof/>
        </w:rPr>
        <w:t>Bartik et al., 2021</w:t>
      </w:r>
      <w:r w:rsidR="00950D86">
        <w:rPr>
          <w:rFonts w:ascii="Times New Roman" w:hAnsi="Times New Roman" w:cs="Times New Roman"/>
          <w:noProof/>
        </w:rPr>
        <w:t xml:space="preserve">; </w:t>
      </w:r>
      <w:r w:rsidR="00594C9F">
        <w:rPr>
          <w:rFonts w:ascii="Times New Roman" w:hAnsi="Times New Roman" w:cs="Times New Roman"/>
          <w:noProof/>
        </w:rPr>
        <w:t>National Center for Education Statistics, 2024a</w:t>
      </w:r>
      <w:r w:rsidR="003F7810">
        <w:rPr>
          <w:rFonts w:ascii="Times New Roman" w:hAnsi="Times New Roman" w:cs="Times New Roman"/>
          <w:noProof/>
        </w:rPr>
        <w:t xml:space="preserve">; </w:t>
      </w:r>
      <w:r w:rsidR="00950D86">
        <w:rPr>
          <w:rFonts w:ascii="Times New Roman" w:hAnsi="Times New Roman" w:cs="Times New Roman"/>
          <w:noProof/>
        </w:rPr>
        <w:t>Swanson &amp; Ritter, 2020</w:t>
      </w:r>
      <w:r w:rsidR="00950D86" w:rsidRPr="00467843">
        <w:rPr>
          <w:rFonts w:ascii="Times New Roman" w:hAnsi="Times New Roman" w:cs="Times New Roman"/>
          <w:noProof/>
        </w:rPr>
        <w:t>)</w:t>
      </w:r>
      <w:r w:rsidR="00950D86">
        <w:rPr>
          <w:rFonts w:ascii="Times New Roman" w:hAnsi="Times New Roman" w:cs="Times New Roman"/>
        </w:rPr>
        <w:t xml:space="preserve">. </w:t>
      </w:r>
      <w:r w:rsidR="00950D86">
        <w:rPr>
          <w:rFonts w:ascii="Times New Roman" w:hAnsi="Times New Roman" w:cs="Times New Roman"/>
        </w:rPr>
        <w:lastRenderedPageBreak/>
        <w:t xml:space="preserve">However, these studies </w:t>
      </w:r>
      <w:r w:rsidR="00087238">
        <w:rPr>
          <w:rFonts w:ascii="Times New Roman" w:hAnsi="Times New Roman" w:cs="Times New Roman"/>
        </w:rPr>
        <w:t xml:space="preserve">that find </w:t>
      </w:r>
      <w:r w:rsidR="00623135">
        <w:rPr>
          <w:rFonts w:ascii="Times New Roman" w:hAnsi="Times New Roman" w:cs="Times New Roman"/>
        </w:rPr>
        <w:t>null effects</w:t>
      </w:r>
      <w:r w:rsidR="00087238">
        <w:rPr>
          <w:rFonts w:ascii="Times New Roman" w:hAnsi="Times New Roman" w:cs="Times New Roman"/>
        </w:rPr>
        <w:t xml:space="preserve"> for sub-baccalaureate award production </w:t>
      </w:r>
      <w:r w:rsidR="005756D8">
        <w:rPr>
          <w:rFonts w:ascii="Times New Roman" w:hAnsi="Times New Roman" w:cs="Times New Roman"/>
        </w:rPr>
        <w:t>used less than ideal research designs to reach this conclusion</w:t>
      </w:r>
      <w:r w:rsidR="00950D86">
        <w:rPr>
          <w:rFonts w:ascii="Times New Roman" w:hAnsi="Times New Roman" w:cs="Times New Roman"/>
        </w:rPr>
        <w:t>.</w:t>
      </w:r>
    </w:p>
    <w:p w14:paraId="5CAFD0F8" w14:textId="3B4B8084" w:rsidR="00D02190" w:rsidRDefault="00820500" w:rsidP="00CD45D6">
      <w:pPr>
        <w:spacing w:line="480" w:lineRule="auto"/>
        <w:ind w:firstLine="720"/>
        <w:rPr>
          <w:rFonts w:ascii="Times New Roman" w:hAnsi="Times New Roman" w:cs="Times New Roman"/>
        </w:rPr>
      </w:pPr>
      <w:r>
        <w:rPr>
          <w:rFonts w:ascii="Times New Roman" w:hAnsi="Times New Roman" w:cs="Times New Roman"/>
        </w:rPr>
        <w:t>T</w:t>
      </w:r>
      <w:r w:rsidR="00610831">
        <w:rPr>
          <w:rFonts w:ascii="Times New Roman" w:hAnsi="Times New Roman" w:cs="Times New Roman"/>
        </w:rPr>
        <w:t xml:space="preserve">he past studies </w:t>
      </w:r>
      <w:r w:rsidR="00F64FB1">
        <w:rPr>
          <w:rFonts w:ascii="Times New Roman" w:hAnsi="Times New Roman" w:cs="Times New Roman"/>
        </w:rPr>
        <w:t xml:space="preserve">that found null-effects for completions at the sub-baccalaureate level </w:t>
      </w:r>
      <w:r w:rsidR="00610831">
        <w:rPr>
          <w:rFonts w:ascii="Times New Roman" w:hAnsi="Times New Roman" w:cs="Times New Roman"/>
        </w:rPr>
        <w:t>have only considered promise programs that allow for students to choose whether they attend sub-baccalaureate or baccalaureate</w:t>
      </w:r>
      <w:r w:rsidR="00087238">
        <w:rPr>
          <w:rFonts w:ascii="Times New Roman" w:hAnsi="Times New Roman" w:cs="Times New Roman"/>
        </w:rPr>
        <w:t xml:space="preserve">-granting </w:t>
      </w:r>
      <w:r w:rsidR="00610831">
        <w:rPr>
          <w:rFonts w:ascii="Times New Roman" w:hAnsi="Times New Roman" w:cs="Times New Roman"/>
        </w:rPr>
        <w:t xml:space="preserve">institutions and thus have a limitation in that students may be substituting </w:t>
      </w:r>
      <w:r w:rsidR="00AE3E29">
        <w:rPr>
          <w:rFonts w:ascii="Times New Roman" w:hAnsi="Times New Roman" w:cs="Times New Roman"/>
        </w:rPr>
        <w:t>their enrollment into</w:t>
      </w:r>
      <w:r w:rsidR="00610831">
        <w:rPr>
          <w:rFonts w:ascii="Times New Roman" w:hAnsi="Times New Roman" w:cs="Times New Roman"/>
        </w:rPr>
        <w:t xml:space="preserve"> more expensive</w:t>
      </w:r>
      <w:r w:rsidR="00AE3E29">
        <w:rPr>
          <w:rFonts w:ascii="Times New Roman" w:hAnsi="Times New Roman" w:cs="Times New Roman"/>
        </w:rPr>
        <w:t>/longer</w:t>
      </w:r>
      <w:r w:rsidR="00610831">
        <w:rPr>
          <w:rFonts w:ascii="Times New Roman" w:hAnsi="Times New Roman" w:cs="Times New Roman"/>
        </w:rPr>
        <w:t xml:space="preserve"> academic programs. </w:t>
      </w:r>
      <w:r w:rsidR="0024361B">
        <w:rPr>
          <w:rFonts w:ascii="Times New Roman" w:hAnsi="Times New Roman" w:cs="Times New Roman"/>
        </w:rPr>
        <w:t xml:space="preserve">Thus, these </w:t>
      </w:r>
      <w:r w:rsidR="004F3D67">
        <w:rPr>
          <w:rFonts w:ascii="Times New Roman" w:hAnsi="Times New Roman" w:cs="Times New Roman"/>
        </w:rPr>
        <w:t xml:space="preserve">past </w:t>
      </w:r>
      <w:r w:rsidR="0024361B">
        <w:rPr>
          <w:rFonts w:ascii="Times New Roman" w:hAnsi="Times New Roman" w:cs="Times New Roman"/>
        </w:rPr>
        <w:t xml:space="preserve">estimates of the effect promise programs have on sub-baccalaureate award production could </w:t>
      </w:r>
      <w:r w:rsidR="004F3D67">
        <w:rPr>
          <w:rFonts w:ascii="Times New Roman" w:hAnsi="Times New Roman" w:cs="Times New Roman"/>
        </w:rPr>
        <w:t>leave the field with an incomplete understanding of the effect of promise programs</w:t>
      </w:r>
      <w:r w:rsidR="00763F1A">
        <w:rPr>
          <w:rFonts w:ascii="Times New Roman" w:hAnsi="Times New Roman" w:cs="Times New Roman"/>
        </w:rPr>
        <w:t>. In these past studies, s</w:t>
      </w:r>
      <w:r w:rsidR="0024361B">
        <w:rPr>
          <w:rFonts w:ascii="Times New Roman" w:hAnsi="Times New Roman" w:cs="Times New Roman"/>
        </w:rPr>
        <w:t>tudents who would have graduated from the sub-baccalaureate without access to promise funds</w:t>
      </w:r>
      <w:r w:rsidR="00763F1A">
        <w:rPr>
          <w:rFonts w:ascii="Times New Roman" w:hAnsi="Times New Roman" w:cs="Times New Roman"/>
        </w:rPr>
        <w:t xml:space="preserve"> may have instead graduated from four-year institutions with access to promise funds.</w:t>
      </w:r>
      <w:r w:rsidR="0024361B">
        <w:rPr>
          <w:rFonts w:ascii="Times New Roman" w:hAnsi="Times New Roman" w:cs="Times New Roman"/>
        </w:rPr>
        <w:t xml:space="preserve"> </w:t>
      </w:r>
      <w:r w:rsidR="00B15750">
        <w:rPr>
          <w:rFonts w:ascii="Times New Roman" w:hAnsi="Times New Roman" w:cs="Times New Roman"/>
        </w:rPr>
        <w:t>My research design only considers promise programs that limit their awards to the sub-baccalaureate level to avoid this problem and leverages a national data set to get a</w:t>
      </w:r>
      <w:r w:rsidR="00BD52D4">
        <w:rPr>
          <w:rFonts w:ascii="Times New Roman" w:hAnsi="Times New Roman" w:cs="Times New Roman"/>
        </w:rPr>
        <w:t xml:space="preserve">n average expected effect from promise program adoption. </w:t>
      </w:r>
      <w:r w:rsidR="00C232CF">
        <w:rPr>
          <w:rFonts w:ascii="Times New Roman" w:hAnsi="Times New Roman" w:cs="Times New Roman"/>
        </w:rPr>
        <w:t>A</w:t>
      </w:r>
      <w:r w:rsidR="0024361B">
        <w:rPr>
          <w:rFonts w:ascii="Times New Roman" w:hAnsi="Times New Roman" w:cs="Times New Roman"/>
        </w:rPr>
        <w:t>n</w:t>
      </w:r>
      <w:r w:rsidR="00C232CF">
        <w:rPr>
          <w:rFonts w:ascii="Times New Roman" w:hAnsi="Times New Roman" w:cs="Times New Roman"/>
        </w:rPr>
        <w:t xml:space="preserve"> </w:t>
      </w:r>
      <w:r w:rsidR="00115BAF">
        <w:rPr>
          <w:rFonts w:ascii="Times New Roman" w:hAnsi="Times New Roman" w:cs="Times New Roman"/>
        </w:rPr>
        <w:t>additional</w:t>
      </w:r>
      <w:r w:rsidR="00C232CF">
        <w:rPr>
          <w:rFonts w:ascii="Times New Roman" w:hAnsi="Times New Roman" w:cs="Times New Roman"/>
        </w:rPr>
        <w:t xml:space="preserve"> advantage of this </w:t>
      </w:r>
      <w:r w:rsidR="00115BAF">
        <w:rPr>
          <w:rFonts w:ascii="Times New Roman" w:hAnsi="Times New Roman" w:cs="Times New Roman"/>
        </w:rPr>
        <w:t>focus on the sub-baccalaureate</w:t>
      </w:r>
      <w:r w:rsidR="00C232CF">
        <w:rPr>
          <w:rFonts w:ascii="Times New Roman" w:hAnsi="Times New Roman" w:cs="Times New Roman"/>
        </w:rPr>
        <w:t xml:space="preserve"> is </w:t>
      </w:r>
      <w:r w:rsidR="00087238">
        <w:rPr>
          <w:rFonts w:ascii="Times New Roman" w:hAnsi="Times New Roman" w:cs="Times New Roman"/>
        </w:rPr>
        <w:t xml:space="preserve">that </w:t>
      </w:r>
      <w:r w:rsidR="00B66F41">
        <w:rPr>
          <w:rFonts w:ascii="Times New Roman" w:hAnsi="Times New Roman" w:cs="Times New Roman"/>
        </w:rPr>
        <w:t>my outcome variable’s</w:t>
      </w:r>
      <w:r w:rsidR="00110F09">
        <w:rPr>
          <w:rFonts w:ascii="Times New Roman" w:hAnsi="Times New Roman" w:cs="Times New Roman"/>
        </w:rPr>
        <w:t xml:space="preserve"> shorter time-to-award</w:t>
      </w:r>
      <w:r w:rsidR="00B66F41">
        <w:rPr>
          <w:rFonts w:ascii="Times New Roman" w:hAnsi="Times New Roman" w:cs="Times New Roman"/>
        </w:rPr>
        <w:t xml:space="preserve"> </w:t>
      </w:r>
      <w:r w:rsidR="00EB5124">
        <w:rPr>
          <w:rFonts w:ascii="Times New Roman" w:hAnsi="Times New Roman" w:cs="Times New Roman"/>
        </w:rPr>
        <w:t>lends itself to establishing more observations for my data set</w:t>
      </w:r>
      <w:r w:rsidR="00A3401C">
        <w:rPr>
          <w:rFonts w:ascii="Times New Roman" w:hAnsi="Times New Roman" w:cs="Times New Roman"/>
        </w:rPr>
        <w:t xml:space="preserve"> </w:t>
      </w:r>
      <w:r w:rsidR="00884346" w:rsidRPr="005441F6">
        <w:rPr>
          <w:rFonts w:ascii="Times New Roman" w:hAnsi="Times New Roman" w:cs="Times New Roman"/>
          <w:noProof/>
        </w:rPr>
        <w:t>(National Center for Education Statistics, 2024b)</w:t>
      </w:r>
      <w:r w:rsidR="002C5F9B">
        <w:rPr>
          <w:rFonts w:ascii="Times New Roman" w:hAnsi="Times New Roman" w:cs="Times New Roman"/>
        </w:rPr>
        <w:t>.</w:t>
      </w:r>
      <w:r w:rsidR="00EB5124">
        <w:rPr>
          <w:rFonts w:ascii="Times New Roman" w:hAnsi="Times New Roman" w:cs="Times New Roman"/>
        </w:rPr>
        <w:t xml:space="preserve"> </w:t>
      </w:r>
    </w:p>
    <w:p w14:paraId="331AF411" w14:textId="4631630C" w:rsidR="00A8769F" w:rsidRPr="003C6DFC" w:rsidRDefault="00B77FE6" w:rsidP="00CD45D6">
      <w:pPr>
        <w:spacing w:line="480" w:lineRule="auto"/>
        <w:ind w:firstLine="720"/>
        <w:rPr>
          <w:rFonts w:ascii="Times New Roman" w:hAnsi="Times New Roman" w:cs="Times New Roman"/>
        </w:rPr>
      </w:pPr>
      <w:r w:rsidRPr="003C6DFC">
        <w:rPr>
          <w:rFonts w:ascii="Times New Roman" w:hAnsi="Times New Roman" w:cs="Times New Roman"/>
        </w:rPr>
        <w:t xml:space="preserve">I utilize </w:t>
      </w:r>
      <w:r w:rsidR="00E06897" w:rsidRPr="003C6DFC">
        <w:rPr>
          <w:rFonts w:ascii="Times New Roman" w:hAnsi="Times New Roman" w:cs="Times New Roman"/>
        </w:rPr>
        <w:t>a staggered difference-in-difference</w:t>
      </w:r>
      <w:r w:rsidRPr="003C6DFC">
        <w:rPr>
          <w:rFonts w:ascii="Times New Roman" w:hAnsi="Times New Roman" w:cs="Times New Roman"/>
        </w:rPr>
        <w:t xml:space="preserve"> design that </w:t>
      </w:r>
      <w:r w:rsidR="00E153FB" w:rsidRPr="003C6DFC">
        <w:rPr>
          <w:rFonts w:ascii="Times New Roman" w:hAnsi="Times New Roman" w:cs="Times New Roman"/>
        </w:rPr>
        <w:t>uses a national inventory of promise programs</w:t>
      </w:r>
      <w:r w:rsidR="00F177CA" w:rsidRPr="003C6DFC">
        <w:rPr>
          <w:rFonts w:ascii="Times New Roman" w:hAnsi="Times New Roman" w:cs="Times New Roman"/>
        </w:rPr>
        <w:t xml:space="preserve"> to assign treatment</w:t>
      </w:r>
      <w:r w:rsidRPr="003C6DFC">
        <w:rPr>
          <w:rFonts w:ascii="Times New Roman" w:hAnsi="Times New Roman" w:cs="Times New Roman"/>
        </w:rPr>
        <w:t>.</w:t>
      </w:r>
      <w:r w:rsidR="00FE4C26" w:rsidRPr="003C6DFC">
        <w:rPr>
          <w:rFonts w:ascii="Times New Roman" w:hAnsi="Times New Roman" w:cs="Times New Roman"/>
        </w:rPr>
        <w:t xml:space="preserve"> The inventory is maintained by CollegePromise.org and represents th</w:t>
      </w:r>
      <w:r w:rsidR="006458A3">
        <w:rPr>
          <w:rFonts w:ascii="Times New Roman" w:hAnsi="Times New Roman" w:cs="Times New Roman"/>
        </w:rPr>
        <w:t>e</w:t>
      </w:r>
      <w:r w:rsidR="00FE4C26" w:rsidRPr="003C6DFC">
        <w:rPr>
          <w:rFonts w:ascii="Times New Roman" w:hAnsi="Times New Roman" w:cs="Times New Roman"/>
        </w:rPr>
        <w:t xml:space="preserve"> most </w:t>
      </w:r>
      <w:r w:rsidR="0058778F" w:rsidRPr="003C6DFC">
        <w:rPr>
          <w:rFonts w:ascii="Times New Roman" w:hAnsi="Times New Roman" w:cs="Times New Roman"/>
        </w:rPr>
        <w:t xml:space="preserve">complete inventory available of active promise programs in the United States. </w:t>
      </w:r>
      <w:r w:rsidR="00A8769F" w:rsidRPr="003C6DFC">
        <w:rPr>
          <w:rFonts w:ascii="Times New Roman" w:hAnsi="Times New Roman" w:cs="Times New Roman"/>
        </w:rPr>
        <w:t xml:space="preserve">Because of this design, my study is poised to </w:t>
      </w:r>
      <w:r w:rsidR="00A8769F" w:rsidRPr="003C6DFC">
        <w:rPr>
          <w:rFonts w:ascii="Times New Roman" w:hAnsi="Times New Roman" w:cs="Times New Roman"/>
        </w:rPr>
        <w:lastRenderedPageBreak/>
        <w:t xml:space="preserve">uniquely contribute empirical evidence that provides the first national estimate </w:t>
      </w:r>
      <w:r w:rsidR="008A235B">
        <w:rPr>
          <w:rFonts w:ascii="Times New Roman" w:hAnsi="Times New Roman" w:cs="Times New Roman"/>
        </w:rPr>
        <w:t>on</w:t>
      </w:r>
      <w:r w:rsidR="00A8769F" w:rsidRPr="003C6DFC">
        <w:rPr>
          <w:rFonts w:ascii="Times New Roman" w:hAnsi="Times New Roman" w:cs="Times New Roman"/>
        </w:rPr>
        <w:t xml:space="preserve"> the effect of adopting a free college program on </w:t>
      </w:r>
      <w:r w:rsidR="00B3226C" w:rsidRPr="003C6DFC">
        <w:rPr>
          <w:rFonts w:ascii="Times New Roman" w:hAnsi="Times New Roman" w:cs="Times New Roman"/>
        </w:rPr>
        <w:t>sub-baccalaureate award</w:t>
      </w:r>
      <w:r w:rsidR="000D05E1" w:rsidRPr="003C6DFC">
        <w:rPr>
          <w:rFonts w:ascii="Times New Roman" w:hAnsi="Times New Roman" w:cs="Times New Roman"/>
        </w:rPr>
        <w:t xml:space="preserve"> production. </w:t>
      </w:r>
    </w:p>
    <w:p w14:paraId="18D0B6ED" w14:textId="5F880213" w:rsidR="004F08CE" w:rsidRPr="003C6DFC" w:rsidRDefault="0010135D" w:rsidP="00CD45D6">
      <w:pPr>
        <w:pStyle w:val="Heading2"/>
        <w:spacing w:before="0" w:after="0"/>
      </w:pPr>
      <w:bookmarkStart w:id="4" w:name="_Toc183282249"/>
      <w:r w:rsidRPr="003C6DFC">
        <w:t>Backgrou</w:t>
      </w:r>
      <w:r w:rsidR="00A76BE6" w:rsidRPr="003C6DFC">
        <w:t>nd of the Study</w:t>
      </w:r>
      <w:bookmarkEnd w:id="4"/>
    </w:p>
    <w:p w14:paraId="6BF0B9E6" w14:textId="7F10F369" w:rsidR="00D11494" w:rsidRPr="003C6DFC" w:rsidRDefault="00D11494" w:rsidP="00CD45D6">
      <w:pPr>
        <w:spacing w:line="480" w:lineRule="auto"/>
        <w:ind w:firstLine="720"/>
        <w:rPr>
          <w:rFonts w:ascii="Times New Roman" w:hAnsi="Times New Roman" w:cs="Times New Roman"/>
        </w:rPr>
      </w:pPr>
      <w:r w:rsidRPr="003C6DFC">
        <w:rPr>
          <w:rFonts w:ascii="Times New Roman" w:hAnsi="Times New Roman" w:cs="Times New Roman"/>
        </w:rPr>
        <w:t>As of the 20</w:t>
      </w:r>
      <w:r w:rsidR="006B7112" w:rsidRPr="003C6DFC">
        <w:rPr>
          <w:rFonts w:ascii="Times New Roman" w:hAnsi="Times New Roman" w:cs="Times New Roman"/>
        </w:rPr>
        <w:t>23</w:t>
      </w:r>
      <w:r w:rsidRPr="003C6DFC">
        <w:rPr>
          <w:rFonts w:ascii="Times New Roman" w:hAnsi="Times New Roman" w:cs="Times New Roman"/>
        </w:rPr>
        <w:t>-202</w:t>
      </w:r>
      <w:r w:rsidR="006B7112" w:rsidRPr="003C6DFC">
        <w:rPr>
          <w:rFonts w:ascii="Times New Roman" w:hAnsi="Times New Roman" w:cs="Times New Roman"/>
        </w:rPr>
        <w:t>4</w:t>
      </w:r>
      <w:r w:rsidRPr="003C6DFC">
        <w:rPr>
          <w:rFonts w:ascii="Times New Roman" w:hAnsi="Times New Roman" w:cs="Times New Roman"/>
        </w:rPr>
        <w:t xml:space="preserve"> academic year, the costs of tuition and required fees on average for </w:t>
      </w:r>
      <w:r w:rsidR="00471CEB" w:rsidRPr="003C6DFC">
        <w:rPr>
          <w:rFonts w:ascii="Times New Roman" w:hAnsi="Times New Roman" w:cs="Times New Roman"/>
        </w:rPr>
        <w:t>community and technical colleges</w:t>
      </w:r>
      <w:r w:rsidRPr="003C6DFC">
        <w:rPr>
          <w:rFonts w:ascii="Times New Roman" w:hAnsi="Times New Roman" w:cs="Times New Roman"/>
        </w:rPr>
        <w:t xml:space="preserve"> are approximately </w:t>
      </w:r>
      <w:r w:rsidR="00822138" w:rsidRPr="003C6DFC">
        <w:rPr>
          <w:rFonts w:ascii="Times New Roman" w:hAnsi="Times New Roman" w:cs="Times New Roman"/>
        </w:rPr>
        <w:t>1.51</w:t>
      </w:r>
      <w:r w:rsidRPr="003C6DFC">
        <w:rPr>
          <w:rFonts w:ascii="Times New Roman" w:hAnsi="Times New Roman" w:cs="Times New Roman"/>
        </w:rPr>
        <w:t xml:space="preserve"> times higher after adjusting for inflation than it was </w:t>
      </w:r>
      <w:r w:rsidR="00822138" w:rsidRPr="003C6DFC">
        <w:rPr>
          <w:rFonts w:ascii="Times New Roman" w:hAnsi="Times New Roman" w:cs="Times New Roman"/>
        </w:rPr>
        <w:t>thirty</w:t>
      </w:r>
      <w:r w:rsidRPr="003C6DFC">
        <w:rPr>
          <w:rFonts w:ascii="Times New Roman" w:hAnsi="Times New Roman" w:cs="Times New Roman"/>
        </w:rPr>
        <w:t xml:space="preserve"> years ago in 1</w:t>
      </w:r>
      <w:r w:rsidR="000511BB" w:rsidRPr="003C6DFC">
        <w:rPr>
          <w:rFonts w:ascii="Times New Roman" w:hAnsi="Times New Roman" w:cs="Times New Roman"/>
        </w:rPr>
        <w:t>993-</w:t>
      </w:r>
      <w:r w:rsidR="006B7112" w:rsidRPr="003C6DFC">
        <w:rPr>
          <w:rFonts w:ascii="Times New Roman" w:hAnsi="Times New Roman" w:cs="Times New Roman"/>
        </w:rPr>
        <w:t>19</w:t>
      </w:r>
      <w:r w:rsidR="000511BB" w:rsidRPr="003C6DFC">
        <w:rPr>
          <w:rFonts w:ascii="Times New Roman" w:hAnsi="Times New Roman" w:cs="Times New Roman"/>
        </w:rPr>
        <w:t xml:space="preserve">94 </w:t>
      </w:r>
      <w:sdt>
        <w:sdtPr>
          <w:rPr>
            <w:rFonts w:ascii="Times New Roman" w:hAnsi="Times New Roman" w:cs="Times New Roman"/>
          </w:rPr>
          <w:id w:val="1262424305"/>
          <w:citation/>
        </w:sdtPr>
        <w:sdtContent>
          <w:r w:rsidR="00F95B15">
            <w:rPr>
              <w:rFonts w:ascii="Times New Roman" w:hAnsi="Times New Roman" w:cs="Times New Roman"/>
            </w:rPr>
            <w:fldChar w:fldCharType="begin"/>
          </w:r>
          <w:r w:rsidR="00F95B15">
            <w:rPr>
              <w:rFonts w:ascii="Times New Roman" w:hAnsi="Times New Roman" w:cs="Times New Roman"/>
            </w:rPr>
            <w:instrText xml:space="preserve"> CITATION MaJ23 \l 1033 </w:instrText>
          </w:r>
          <w:r w:rsidR="00F95B15">
            <w:rPr>
              <w:rFonts w:ascii="Times New Roman" w:hAnsi="Times New Roman" w:cs="Times New Roman"/>
            </w:rPr>
            <w:fldChar w:fldCharType="separate"/>
          </w:r>
          <w:r w:rsidR="00A10468" w:rsidRPr="00A10468">
            <w:rPr>
              <w:rFonts w:ascii="Times New Roman" w:hAnsi="Times New Roman" w:cs="Times New Roman"/>
              <w:noProof/>
            </w:rPr>
            <w:t>(Ma &amp; Pender, 2023)</w:t>
          </w:r>
          <w:r w:rsidR="00F95B15">
            <w:rPr>
              <w:rFonts w:ascii="Times New Roman" w:hAnsi="Times New Roman" w:cs="Times New Roman"/>
            </w:rPr>
            <w:fldChar w:fldCharType="end"/>
          </w:r>
        </w:sdtContent>
      </w:sdt>
      <w:r w:rsidRPr="003C6DFC">
        <w:rPr>
          <w:rFonts w:ascii="Times New Roman" w:hAnsi="Times New Roman" w:cs="Times New Roman"/>
        </w:rPr>
        <w:t xml:space="preserve">. Additionally, living expenses such as room and board for students have also increased over the past </w:t>
      </w:r>
      <w:r w:rsidR="005F0157" w:rsidRPr="003C6DFC">
        <w:rPr>
          <w:rFonts w:ascii="Times New Roman" w:hAnsi="Times New Roman" w:cs="Times New Roman"/>
        </w:rPr>
        <w:t>thirty</w:t>
      </w:r>
      <w:r w:rsidRPr="003C6DFC">
        <w:rPr>
          <w:rFonts w:ascii="Times New Roman" w:hAnsi="Times New Roman" w:cs="Times New Roman"/>
        </w:rPr>
        <w:t xml:space="preserve"> years, and new costs have emerged such as the need to access technology such as computers, course software, and the internet as an all-but-required utility for</w:t>
      </w:r>
      <w:r w:rsidR="005F0157" w:rsidRPr="003C6DFC">
        <w:rPr>
          <w:rFonts w:ascii="Times New Roman" w:hAnsi="Times New Roman" w:cs="Times New Roman"/>
        </w:rPr>
        <w:t xml:space="preserve"> student learning</w:t>
      </w:r>
      <w:r w:rsidRPr="003C6DFC">
        <w:rPr>
          <w:rFonts w:ascii="Times New Roman" w:hAnsi="Times New Roman" w:cs="Times New Roman"/>
        </w:rPr>
        <w:t xml:space="preserve">. Regarding the cost of attendance for students, the literature establishes that the more affordable postsecondary enrollment is for students, the more likely students are to participate </w:t>
      </w:r>
      <w:r w:rsidR="00884346">
        <w:rPr>
          <w:rFonts w:ascii="Times New Roman" w:hAnsi="Times New Roman" w:cs="Times New Roman"/>
        </w:rPr>
        <w:t xml:space="preserve">in postsecondary education </w:t>
      </w:r>
      <w:r w:rsidRPr="003C6DFC">
        <w:rPr>
          <w:rFonts w:ascii="Times New Roman" w:hAnsi="Times New Roman" w:cs="Times New Roman"/>
        </w:rPr>
        <w:t>and potentially graduate with an award (Dynarski et al., 2023; Goldrick-Rab et al., 2016; Nguyen et al., 2019).</w:t>
      </w:r>
    </w:p>
    <w:p w14:paraId="0D189E99" w14:textId="76264EA6" w:rsidR="00D11494" w:rsidRDefault="00D11494" w:rsidP="00CD45D6">
      <w:pPr>
        <w:spacing w:line="480" w:lineRule="auto"/>
        <w:ind w:firstLine="720"/>
        <w:rPr>
          <w:rFonts w:ascii="Times New Roman" w:hAnsi="Times New Roman" w:cs="Times New Roman"/>
        </w:rPr>
      </w:pPr>
      <w:r w:rsidRPr="003C6DFC">
        <w:rPr>
          <w:rFonts w:ascii="Times New Roman" w:hAnsi="Times New Roman" w:cs="Times New Roman"/>
        </w:rPr>
        <w:t xml:space="preserve">Because of this relationship to degree attainment, financial aid programs have become positioned as a key policy lever to influence degree production as costs have risen over the past </w:t>
      </w:r>
      <w:r w:rsidR="005F0157" w:rsidRPr="003C6DFC">
        <w:rPr>
          <w:rFonts w:ascii="Times New Roman" w:hAnsi="Times New Roman" w:cs="Times New Roman"/>
        </w:rPr>
        <w:t>30</w:t>
      </w:r>
      <w:r w:rsidRPr="003C6DFC">
        <w:rPr>
          <w:rFonts w:ascii="Times New Roman" w:hAnsi="Times New Roman" w:cs="Times New Roman"/>
        </w:rPr>
        <w:t xml:space="preserve"> years. This has major implications for the needs of the US economy as student access to financial aid has become increasingly important for meeting the workforce’s demand for educated workers. Carneval</w:t>
      </w:r>
      <w:r w:rsidR="001C67C3" w:rsidRPr="003C6DFC">
        <w:rPr>
          <w:rFonts w:ascii="Times New Roman" w:hAnsi="Times New Roman" w:cs="Times New Roman"/>
        </w:rPr>
        <w:t xml:space="preserve">e et al. </w:t>
      </w:r>
      <w:sdt>
        <w:sdtPr>
          <w:rPr>
            <w:rFonts w:ascii="Times New Roman" w:hAnsi="Times New Roman" w:cs="Times New Roman"/>
          </w:rPr>
          <w:id w:val="-1703001219"/>
          <w:citation/>
        </w:sdtPr>
        <w:sdtContent>
          <w:r w:rsidR="001C67C3">
            <w:rPr>
              <w:rFonts w:ascii="Times New Roman" w:hAnsi="Times New Roman" w:cs="Times New Roman"/>
            </w:rPr>
            <w:fldChar w:fldCharType="begin"/>
          </w:r>
          <w:r w:rsidR="001C2772">
            <w:rPr>
              <w:rFonts w:ascii="Times New Roman" w:hAnsi="Times New Roman" w:cs="Times New Roman"/>
            </w:rPr>
            <w:instrText xml:space="preserve">CITATION Car231 \n  \t  \l 1033 </w:instrText>
          </w:r>
          <w:r w:rsidR="001C67C3">
            <w:rPr>
              <w:rFonts w:ascii="Times New Roman" w:hAnsi="Times New Roman" w:cs="Times New Roman"/>
            </w:rPr>
            <w:fldChar w:fldCharType="separate"/>
          </w:r>
          <w:r w:rsidR="00A10468" w:rsidRPr="00A10468">
            <w:rPr>
              <w:rFonts w:ascii="Times New Roman" w:hAnsi="Times New Roman" w:cs="Times New Roman"/>
              <w:noProof/>
            </w:rPr>
            <w:t>(2023)</w:t>
          </w:r>
          <w:r w:rsidR="001C67C3">
            <w:rPr>
              <w:rFonts w:ascii="Times New Roman" w:hAnsi="Times New Roman" w:cs="Times New Roman"/>
            </w:rPr>
            <w:fldChar w:fldCharType="end"/>
          </w:r>
        </w:sdtContent>
      </w:sdt>
      <w:r w:rsidRPr="003C6DFC">
        <w:rPr>
          <w:rFonts w:ascii="Times New Roman" w:hAnsi="Times New Roman" w:cs="Times New Roman"/>
        </w:rPr>
        <w:t xml:space="preserve"> predict that by 2031, 72</w:t>
      </w:r>
      <w:r w:rsidR="00FE246F" w:rsidRPr="003C6DFC">
        <w:rPr>
          <w:rFonts w:ascii="Times New Roman" w:hAnsi="Times New Roman" w:cs="Times New Roman"/>
        </w:rPr>
        <w:t xml:space="preserve">% </w:t>
      </w:r>
      <w:r w:rsidRPr="003C6DFC">
        <w:rPr>
          <w:rFonts w:ascii="Times New Roman" w:hAnsi="Times New Roman" w:cs="Times New Roman"/>
        </w:rPr>
        <w:t xml:space="preserve">of the projected 171 million jobs in the United States will require some form of postsecondary training. Of these 171 million jobs </w:t>
      </w:r>
      <w:r w:rsidR="005C1056" w:rsidRPr="003C6DFC">
        <w:rPr>
          <w:rFonts w:ascii="Times New Roman" w:hAnsi="Times New Roman" w:cs="Times New Roman"/>
        </w:rPr>
        <w:t>29</w:t>
      </w:r>
      <w:r w:rsidR="00FE246F" w:rsidRPr="003C6DFC">
        <w:rPr>
          <w:rFonts w:ascii="Times New Roman" w:hAnsi="Times New Roman" w:cs="Times New Roman"/>
        </w:rPr>
        <w:t xml:space="preserve">% </w:t>
      </w:r>
      <w:r w:rsidRPr="003C6DFC">
        <w:rPr>
          <w:rFonts w:ascii="Times New Roman" w:hAnsi="Times New Roman" w:cs="Times New Roman"/>
        </w:rPr>
        <w:t xml:space="preserve">will require at least </w:t>
      </w:r>
      <w:r w:rsidR="005C1056" w:rsidRPr="003C6DFC">
        <w:rPr>
          <w:rFonts w:ascii="Times New Roman" w:hAnsi="Times New Roman" w:cs="Times New Roman"/>
        </w:rPr>
        <w:t xml:space="preserve">some college or an </w:t>
      </w:r>
      <w:r w:rsidR="00A1543E" w:rsidRPr="003C6DFC">
        <w:rPr>
          <w:rFonts w:ascii="Times New Roman" w:hAnsi="Times New Roman" w:cs="Times New Roman"/>
        </w:rPr>
        <w:t>associate’s</w:t>
      </w:r>
      <w:r w:rsidR="005C1056" w:rsidRPr="003C6DFC">
        <w:rPr>
          <w:rFonts w:ascii="Times New Roman" w:hAnsi="Times New Roman" w:cs="Times New Roman"/>
        </w:rPr>
        <w:t xml:space="preserve"> degree </w:t>
      </w:r>
      <w:r w:rsidRPr="003C6DFC">
        <w:rPr>
          <w:rFonts w:ascii="Times New Roman" w:hAnsi="Times New Roman" w:cs="Times New Roman"/>
        </w:rPr>
        <w:t xml:space="preserve">while </w:t>
      </w:r>
      <w:r w:rsidR="00E0405B" w:rsidRPr="003C6DFC">
        <w:rPr>
          <w:rFonts w:ascii="Times New Roman" w:hAnsi="Times New Roman" w:cs="Times New Roman"/>
        </w:rPr>
        <w:t>42</w:t>
      </w:r>
      <w:r w:rsidR="00FE246F" w:rsidRPr="003C6DFC">
        <w:rPr>
          <w:rFonts w:ascii="Times New Roman" w:hAnsi="Times New Roman" w:cs="Times New Roman"/>
        </w:rPr>
        <w:t xml:space="preserve">% </w:t>
      </w:r>
      <w:r w:rsidRPr="003C6DFC">
        <w:rPr>
          <w:rFonts w:ascii="Times New Roman" w:hAnsi="Times New Roman" w:cs="Times New Roman"/>
        </w:rPr>
        <w:t xml:space="preserve">will require at least a </w:t>
      </w:r>
      <w:r w:rsidR="00B1101D" w:rsidRPr="003C6DFC">
        <w:rPr>
          <w:rFonts w:ascii="Times New Roman" w:hAnsi="Times New Roman" w:cs="Times New Roman"/>
        </w:rPr>
        <w:t>bachelor’s</w:t>
      </w:r>
      <w:r w:rsidRPr="003C6DFC">
        <w:rPr>
          <w:rFonts w:ascii="Times New Roman" w:hAnsi="Times New Roman" w:cs="Times New Roman"/>
        </w:rPr>
        <w:t xml:space="preserve"> degree. Meanwhile, only 28</w:t>
      </w:r>
      <w:r w:rsidR="00FE246F" w:rsidRPr="003C6DFC">
        <w:rPr>
          <w:rFonts w:ascii="Times New Roman" w:hAnsi="Times New Roman" w:cs="Times New Roman"/>
        </w:rPr>
        <w:t xml:space="preserve">% </w:t>
      </w:r>
      <w:r w:rsidRPr="003C6DFC">
        <w:rPr>
          <w:rFonts w:ascii="Times New Roman" w:hAnsi="Times New Roman" w:cs="Times New Roman"/>
        </w:rPr>
        <w:t xml:space="preserve">of jobs will require the equivalent of a high school diploma or less. </w:t>
      </w:r>
      <w:r w:rsidR="00C6300C" w:rsidRPr="003C6DFC">
        <w:rPr>
          <w:rFonts w:ascii="Times New Roman" w:hAnsi="Times New Roman" w:cs="Times New Roman"/>
        </w:rPr>
        <w:t xml:space="preserve">With </w:t>
      </w:r>
      <w:r w:rsidR="00A779CE" w:rsidRPr="003C6DFC">
        <w:rPr>
          <w:rFonts w:ascii="Times New Roman" w:hAnsi="Times New Roman" w:cs="Times New Roman"/>
        </w:rPr>
        <w:t>near</w:t>
      </w:r>
      <w:r w:rsidR="00CD16B4">
        <w:rPr>
          <w:rFonts w:ascii="Times New Roman" w:hAnsi="Times New Roman" w:cs="Times New Roman"/>
        </w:rPr>
        <w:t>ly</w:t>
      </w:r>
      <w:r w:rsidR="00C6300C" w:rsidRPr="003C6DFC">
        <w:rPr>
          <w:rFonts w:ascii="Times New Roman" w:hAnsi="Times New Roman" w:cs="Times New Roman"/>
        </w:rPr>
        <w:t xml:space="preserve"> </w:t>
      </w:r>
      <w:r w:rsidR="00C6300C" w:rsidRPr="003C6DFC">
        <w:rPr>
          <w:rFonts w:ascii="Times New Roman" w:hAnsi="Times New Roman" w:cs="Times New Roman"/>
        </w:rPr>
        <w:lastRenderedPageBreak/>
        <w:t xml:space="preserve">a third of </w:t>
      </w:r>
      <w:r w:rsidR="00A779CE" w:rsidRPr="003C6DFC">
        <w:rPr>
          <w:rFonts w:ascii="Times New Roman" w:hAnsi="Times New Roman" w:cs="Times New Roman"/>
        </w:rPr>
        <w:t xml:space="preserve">jobs requiring education provided by community and technical colleges and </w:t>
      </w:r>
      <w:r w:rsidR="00B85837" w:rsidRPr="003C6DFC">
        <w:rPr>
          <w:rFonts w:ascii="Times New Roman" w:hAnsi="Times New Roman" w:cs="Times New Roman"/>
        </w:rPr>
        <w:t xml:space="preserve">associates degrees providing an affordable </w:t>
      </w:r>
      <w:r w:rsidR="00A10612">
        <w:rPr>
          <w:rFonts w:ascii="Times New Roman" w:hAnsi="Times New Roman" w:cs="Times New Roman"/>
        </w:rPr>
        <w:t xml:space="preserve">start on the </w:t>
      </w:r>
      <w:r w:rsidR="00B85837" w:rsidRPr="003C6DFC">
        <w:rPr>
          <w:rFonts w:ascii="Times New Roman" w:hAnsi="Times New Roman" w:cs="Times New Roman"/>
        </w:rPr>
        <w:t xml:space="preserve">path to the 42% of </w:t>
      </w:r>
      <w:r w:rsidR="00F94391" w:rsidRPr="003C6DFC">
        <w:rPr>
          <w:rFonts w:ascii="Times New Roman" w:hAnsi="Times New Roman" w:cs="Times New Roman"/>
        </w:rPr>
        <w:t>jobs that require a bachelor</w:t>
      </w:r>
      <w:r w:rsidR="00E0405B" w:rsidRPr="003C6DFC">
        <w:rPr>
          <w:rFonts w:ascii="Times New Roman" w:hAnsi="Times New Roman" w:cs="Times New Roman"/>
        </w:rPr>
        <w:t>’</w:t>
      </w:r>
      <w:r w:rsidR="00F94391" w:rsidRPr="003C6DFC">
        <w:rPr>
          <w:rFonts w:ascii="Times New Roman" w:hAnsi="Times New Roman" w:cs="Times New Roman"/>
        </w:rPr>
        <w:t xml:space="preserve">s degree or higher, community </w:t>
      </w:r>
      <w:r w:rsidR="00FA1257" w:rsidRPr="003C6DFC">
        <w:rPr>
          <w:rFonts w:ascii="Times New Roman" w:hAnsi="Times New Roman" w:cs="Times New Roman"/>
        </w:rPr>
        <w:t xml:space="preserve">and technical </w:t>
      </w:r>
      <w:r w:rsidR="00F94391" w:rsidRPr="003C6DFC">
        <w:rPr>
          <w:rFonts w:ascii="Times New Roman" w:hAnsi="Times New Roman" w:cs="Times New Roman"/>
        </w:rPr>
        <w:t>colleges will continue t</w:t>
      </w:r>
      <w:r w:rsidR="005F08CF" w:rsidRPr="003C6DFC">
        <w:rPr>
          <w:rFonts w:ascii="Times New Roman" w:hAnsi="Times New Roman" w:cs="Times New Roman"/>
        </w:rPr>
        <w:t xml:space="preserve">o operate as an important </w:t>
      </w:r>
      <w:r w:rsidR="00FA1257" w:rsidRPr="003C6DFC">
        <w:rPr>
          <w:rFonts w:ascii="Times New Roman" w:hAnsi="Times New Roman" w:cs="Times New Roman"/>
        </w:rPr>
        <w:t xml:space="preserve">path through higher education to meet workforce needs. </w:t>
      </w:r>
    </w:p>
    <w:p w14:paraId="72886B3A" w14:textId="5D21AC27" w:rsidR="00692320" w:rsidRDefault="00692320" w:rsidP="00CD45D6">
      <w:pPr>
        <w:pStyle w:val="Heading2"/>
        <w:spacing w:before="0" w:after="0"/>
      </w:pPr>
      <w:bookmarkStart w:id="5" w:name="_Toc183282250"/>
      <w:r w:rsidRPr="003C6DFC">
        <w:t>Problem Statement</w:t>
      </w:r>
      <w:bookmarkEnd w:id="5"/>
    </w:p>
    <w:p w14:paraId="0A13F83F" w14:textId="3077E281" w:rsidR="008A69EF" w:rsidRDefault="003C75BC" w:rsidP="00CD45D6">
      <w:pPr>
        <w:spacing w:line="480" w:lineRule="auto"/>
        <w:rPr>
          <w:rFonts w:ascii="Times New Roman" w:hAnsi="Times New Roman" w:cs="Times New Roman"/>
        </w:rPr>
      </w:pPr>
      <w:r w:rsidRPr="00A72ED5">
        <w:rPr>
          <w:rFonts w:ascii="Times New Roman" w:hAnsi="Times New Roman" w:cs="Times New Roman"/>
        </w:rPr>
        <w:tab/>
      </w:r>
      <w:r w:rsidR="008D020D">
        <w:rPr>
          <w:rFonts w:ascii="Times New Roman" w:hAnsi="Times New Roman" w:cs="Times New Roman"/>
        </w:rPr>
        <w:t>From 2009 through 2019</w:t>
      </w:r>
      <w:r w:rsidR="00A72ED5">
        <w:rPr>
          <w:rFonts w:ascii="Times New Roman" w:hAnsi="Times New Roman" w:cs="Times New Roman"/>
        </w:rPr>
        <w:t xml:space="preserve">, </w:t>
      </w:r>
      <w:r w:rsidR="00986A8F">
        <w:rPr>
          <w:rFonts w:ascii="Times New Roman" w:hAnsi="Times New Roman" w:cs="Times New Roman"/>
        </w:rPr>
        <w:t>the graduation rates within 150% of the time</w:t>
      </w:r>
      <w:r w:rsidR="005A3A09">
        <w:rPr>
          <w:rFonts w:ascii="Times New Roman" w:hAnsi="Times New Roman" w:cs="Times New Roman"/>
        </w:rPr>
        <w:t xml:space="preserve">-to-degree for </w:t>
      </w:r>
      <w:r w:rsidR="00F76394">
        <w:rPr>
          <w:rFonts w:ascii="Times New Roman" w:hAnsi="Times New Roman" w:cs="Times New Roman"/>
        </w:rPr>
        <w:t>associates degree programs</w:t>
      </w:r>
      <w:r w:rsidR="005A3A09">
        <w:rPr>
          <w:rFonts w:ascii="Times New Roman" w:hAnsi="Times New Roman" w:cs="Times New Roman"/>
        </w:rPr>
        <w:t xml:space="preserve"> has ranged from </w:t>
      </w:r>
      <w:r w:rsidR="00EB4773">
        <w:rPr>
          <w:rFonts w:ascii="Times New Roman" w:hAnsi="Times New Roman" w:cs="Times New Roman"/>
        </w:rPr>
        <w:t>21.1</w:t>
      </w:r>
      <w:r w:rsidR="005A3A09">
        <w:rPr>
          <w:rFonts w:ascii="Times New Roman" w:hAnsi="Times New Roman" w:cs="Times New Roman"/>
        </w:rPr>
        <w:t xml:space="preserve">% to </w:t>
      </w:r>
      <w:r w:rsidR="006155B2">
        <w:rPr>
          <w:rFonts w:ascii="Times New Roman" w:hAnsi="Times New Roman" w:cs="Times New Roman"/>
        </w:rPr>
        <w:t>3</w:t>
      </w:r>
      <w:r w:rsidR="00EB4773">
        <w:rPr>
          <w:rFonts w:ascii="Times New Roman" w:hAnsi="Times New Roman" w:cs="Times New Roman"/>
        </w:rPr>
        <w:t>1.4</w:t>
      </w:r>
      <w:r w:rsidR="006155B2">
        <w:rPr>
          <w:rFonts w:ascii="Times New Roman" w:hAnsi="Times New Roman" w:cs="Times New Roman"/>
        </w:rPr>
        <w:t>%</w:t>
      </w:r>
      <w:r w:rsidR="00535C10">
        <w:rPr>
          <w:rFonts w:ascii="Times New Roman" w:hAnsi="Times New Roman" w:cs="Times New Roman"/>
        </w:rPr>
        <w:t xml:space="preserve"> </w:t>
      </w:r>
      <w:sdt>
        <w:sdtPr>
          <w:rPr>
            <w:rFonts w:ascii="Times New Roman" w:hAnsi="Times New Roman" w:cs="Times New Roman"/>
          </w:rPr>
          <w:id w:val="2077472561"/>
          <w:citation/>
        </w:sdtPr>
        <w:sdtContent>
          <w:r w:rsidR="00535C10">
            <w:rPr>
              <w:rFonts w:ascii="Times New Roman" w:hAnsi="Times New Roman" w:cs="Times New Roman"/>
            </w:rPr>
            <w:fldChar w:fldCharType="begin"/>
          </w:r>
          <w:r w:rsidR="00162765">
            <w:rPr>
              <w:rFonts w:ascii="Times New Roman" w:hAnsi="Times New Roman" w:cs="Times New Roman"/>
            </w:rPr>
            <w:instrText xml:space="preserve">CITATION Nat234 \l 1033 </w:instrText>
          </w:r>
          <w:r w:rsidR="00535C10">
            <w:rPr>
              <w:rFonts w:ascii="Times New Roman" w:hAnsi="Times New Roman" w:cs="Times New Roman"/>
            </w:rPr>
            <w:fldChar w:fldCharType="separate"/>
          </w:r>
          <w:r w:rsidR="00A10468" w:rsidRPr="00A10468">
            <w:rPr>
              <w:rFonts w:ascii="Times New Roman" w:hAnsi="Times New Roman" w:cs="Times New Roman"/>
              <w:noProof/>
            </w:rPr>
            <w:t>(National Center for Education Statistics, 2024d)</w:t>
          </w:r>
          <w:r w:rsidR="00535C10">
            <w:rPr>
              <w:rFonts w:ascii="Times New Roman" w:hAnsi="Times New Roman" w:cs="Times New Roman"/>
            </w:rPr>
            <w:fldChar w:fldCharType="end"/>
          </w:r>
        </w:sdtContent>
      </w:sdt>
      <w:r w:rsidR="00535C10">
        <w:rPr>
          <w:rFonts w:ascii="Times New Roman" w:hAnsi="Times New Roman" w:cs="Times New Roman"/>
        </w:rPr>
        <w:t>.</w:t>
      </w:r>
      <w:r w:rsidR="006155B2">
        <w:rPr>
          <w:rFonts w:ascii="Times New Roman" w:hAnsi="Times New Roman" w:cs="Times New Roman"/>
        </w:rPr>
        <w:t xml:space="preserve"> </w:t>
      </w:r>
      <w:r w:rsidR="00E35195">
        <w:rPr>
          <w:rFonts w:ascii="Times New Roman" w:hAnsi="Times New Roman" w:cs="Times New Roman"/>
        </w:rPr>
        <w:t xml:space="preserve">For public institutions that </w:t>
      </w:r>
      <w:r w:rsidR="00362F7A">
        <w:rPr>
          <w:rFonts w:ascii="Times New Roman" w:hAnsi="Times New Roman" w:cs="Times New Roman"/>
        </w:rPr>
        <w:t>offer</w:t>
      </w:r>
      <w:r w:rsidR="00A807BF">
        <w:rPr>
          <w:rFonts w:ascii="Times New Roman" w:hAnsi="Times New Roman" w:cs="Times New Roman"/>
        </w:rPr>
        <w:t xml:space="preserve"> </w:t>
      </w:r>
      <w:r w:rsidR="0065162B">
        <w:rPr>
          <w:rFonts w:ascii="Times New Roman" w:hAnsi="Times New Roman" w:cs="Times New Roman"/>
        </w:rPr>
        <w:t>credential</w:t>
      </w:r>
      <w:r w:rsidR="00A807BF">
        <w:rPr>
          <w:rFonts w:ascii="Times New Roman" w:hAnsi="Times New Roman" w:cs="Times New Roman"/>
        </w:rPr>
        <w:t xml:space="preserve"> programs</w:t>
      </w:r>
      <w:r w:rsidR="00E35195">
        <w:rPr>
          <w:rFonts w:ascii="Times New Roman" w:hAnsi="Times New Roman" w:cs="Times New Roman"/>
        </w:rPr>
        <w:t xml:space="preserve">, completion rates for 150% of time-to-degree </w:t>
      </w:r>
      <w:r w:rsidR="00884346">
        <w:rPr>
          <w:rFonts w:ascii="Times New Roman" w:hAnsi="Times New Roman" w:cs="Times New Roman"/>
        </w:rPr>
        <w:t xml:space="preserve">ranged from </w:t>
      </w:r>
      <w:r w:rsidR="00DA0176">
        <w:rPr>
          <w:rFonts w:ascii="Times New Roman" w:hAnsi="Times New Roman" w:cs="Times New Roman"/>
        </w:rPr>
        <w:t>66.6% to</w:t>
      </w:r>
      <w:r w:rsidR="00480273">
        <w:rPr>
          <w:rFonts w:ascii="Times New Roman" w:hAnsi="Times New Roman" w:cs="Times New Roman"/>
        </w:rPr>
        <w:t xml:space="preserve"> </w:t>
      </w:r>
      <w:r w:rsidR="00DA0176">
        <w:rPr>
          <w:rFonts w:ascii="Times New Roman" w:hAnsi="Times New Roman" w:cs="Times New Roman"/>
        </w:rPr>
        <w:t>74.6%</w:t>
      </w:r>
      <w:r w:rsidR="00480273">
        <w:rPr>
          <w:rFonts w:ascii="Times New Roman" w:hAnsi="Times New Roman" w:cs="Times New Roman"/>
        </w:rPr>
        <w:t>, reaching a</w:t>
      </w:r>
      <w:r w:rsidR="007F7DF1">
        <w:rPr>
          <w:rFonts w:ascii="Times New Roman" w:hAnsi="Times New Roman" w:cs="Times New Roman"/>
        </w:rPr>
        <w:t xml:space="preserve"> twenty-year</w:t>
      </w:r>
      <w:r w:rsidR="00480273">
        <w:rPr>
          <w:rFonts w:ascii="Times New Roman" w:hAnsi="Times New Roman" w:cs="Times New Roman"/>
        </w:rPr>
        <w:t xml:space="preserve"> low of 66.6% </w:t>
      </w:r>
      <w:r w:rsidR="007F7DF1">
        <w:rPr>
          <w:rFonts w:ascii="Times New Roman" w:hAnsi="Times New Roman" w:cs="Times New Roman"/>
        </w:rPr>
        <w:t xml:space="preserve">in 2019 </w:t>
      </w:r>
      <w:sdt>
        <w:sdtPr>
          <w:rPr>
            <w:rFonts w:ascii="Times New Roman" w:hAnsi="Times New Roman" w:cs="Times New Roman"/>
          </w:rPr>
          <w:id w:val="-297536088"/>
          <w:citation/>
        </w:sdtPr>
        <w:sdtContent>
          <w:r w:rsidR="005002EE">
            <w:rPr>
              <w:rFonts w:ascii="Times New Roman" w:hAnsi="Times New Roman" w:cs="Times New Roman"/>
            </w:rPr>
            <w:fldChar w:fldCharType="begin"/>
          </w:r>
          <w:r w:rsidR="00851068">
            <w:rPr>
              <w:rFonts w:ascii="Times New Roman" w:hAnsi="Times New Roman" w:cs="Times New Roman"/>
            </w:rPr>
            <w:instrText xml:space="preserve">CITATION Nat235 \l 1033 </w:instrText>
          </w:r>
          <w:r w:rsidR="005002EE">
            <w:rPr>
              <w:rFonts w:ascii="Times New Roman" w:hAnsi="Times New Roman" w:cs="Times New Roman"/>
            </w:rPr>
            <w:fldChar w:fldCharType="separate"/>
          </w:r>
          <w:r w:rsidR="00A10468" w:rsidRPr="00A10468">
            <w:rPr>
              <w:rFonts w:ascii="Times New Roman" w:hAnsi="Times New Roman" w:cs="Times New Roman"/>
              <w:noProof/>
            </w:rPr>
            <w:t>(National Center for Education Statistics, 2024e)</w:t>
          </w:r>
          <w:r w:rsidR="005002EE">
            <w:rPr>
              <w:rFonts w:ascii="Times New Roman" w:hAnsi="Times New Roman" w:cs="Times New Roman"/>
            </w:rPr>
            <w:fldChar w:fldCharType="end"/>
          </w:r>
        </w:sdtContent>
      </w:sdt>
      <w:r w:rsidR="005002EE">
        <w:rPr>
          <w:rFonts w:ascii="Times New Roman" w:hAnsi="Times New Roman" w:cs="Times New Roman"/>
        </w:rPr>
        <w:t>.</w:t>
      </w:r>
      <w:r w:rsidR="00E3772D">
        <w:rPr>
          <w:rFonts w:ascii="Times New Roman" w:hAnsi="Times New Roman" w:cs="Times New Roman"/>
        </w:rPr>
        <w:t xml:space="preserve"> These completion rates</w:t>
      </w:r>
      <w:r w:rsidR="00AD7CC3">
        <w:rPr>
          <w:rFonts w:ascii="Times New Roman" w:hAnsi="Times New Roman" w:cs="Times New Roman"/>
        </w:rPr>
        <w:t xml:space="preserve"> are of concern </w:t>
      </w:r>
      <w:r w:rsidR="008A6486">
        <w:rPr>
          <w:rFonts w:ascii="Times New Roman" w:hAnsi="Times New Roman" w:cs="Times New Roman"/>
        </w:rPr>
        <w:t xml:space="preserve">not only </w:t>
      </w:r>
      <w:r w:rsidR="00AD7CC3">
        <w:rPr>
          <w:rFonts w:ascii="Times New Roman" w:hAnsi="Times New Roman" w:cs="Times New Roman"/>
        </w:rPr>
        <w:t>for</w:t>
      </w:r>
      <w:r w:rsidR="008A6486">
        <w:rPr>
          <w:rFonts w:ascii="Times New Roman" w:hAnsi="Times New Roman" w:cs="Times New Roman"/>
        </w:rPr>
        <w:t xml:space="preserve"> meeting workforce needs</w:t>
      </w:r>
      <w:r w:rsidR="00030EF0">
        <w:rPr>
          <w:rFonts w:ascii="Times New Roman" w:hAnsi="Times New Roman" w:cs="Times New Roman"/>
        </w:rPr>
        <w:t xml:space="preserve"> </w:t>
      </w:r>
      <w:r w:rsidR="00893221">
        <w:rPr>
          <w:rFonts w:ascii="Times New Roman" w:hAnsi="Times New Roman" w:cs="Times New Roman"/>
        </w:rPr>
        <w:t xml:space="preserve">but also to individual students. A 1-in-3 chance of not completing a credential and a 2-in-3 chance of not completing an </w:t>
      </w:r>
      <w:r w:rsidR="006C6807">
        <w:rPr>
          <w:rFonts w:ascii="Times New Roman" w:hAnsi="Times New Roman" w:cs="Times New Roman"/>
        </w:rPr>
        <w:t>associate’s</w:t>
      </w:r>
      <w:r w:rsidR="00893221">
        <w:rPr>
          <w:rFonts w:ascii="Times New Roman" w:hAnsi="Times New Roman" w:cs="Times New Roman"/>
        </w:rPr>
        <w:t xml:space="preserve"> degree </w:t>
      </w:r>
      <w:r w:rsidR="000F66F1">
        <w:rPr>
          <w:rFonts w:ascii="Times New Roman" w:hAnsi="Times New Roman" w:cs="Times New Roman"/>
        </w:rPr>
        <w:t>do not constitute favorable odds for students</w:t>
      </w:r>
      <w:r w:rsidR="00CD49D8">
        <w:rPr>
          <w:rFonts w:ascii="Times New Roman" w:hAnsi="Times New Roman" w:cs="Times New Roman"/>
        </w:rPr>
        <w:t xml:space="preserve"> looking to better their economic opportunities</w:t>
      </w:r>
      <w:r w:rsidR="00511102">
        <w:rPr>
          <w:rFonts w:ascii="Times New Roman" w:hAnsi="Times New Roman" w:cs="Times New Roman"/>
        </w:rPr>
        <w:t>, especially</w:t>
      </w:r>
      <w:r w:rsidR="009C3A6C">
        <w:rPr>
          <w:rFonts w:ascii="Times New Roman" w:hAnsi="Times New Roman" w:cs="Times New Roman"/>
        </w:rPr>
        <w:t xml:space="preserve"> in a climate where an increasing number of students, families, and other stakeholders </w:t>
      </w:r>
      <w:r w:rsidR="00511102">
        <w:rPr>
          <w:rFonts w:ascii="Times New Roman" w:hAnsi="Times New Roman" w:cs="Times New Roman"/>
        </w:rPr>
        <w:t xml:space="preserve">question </w:t>
      </w:r>
      <w:r w:rsidR="009C3A6C">
        <w:rPr>
          <w:rFonts w:ascii="Times New Roman" w:hAnsi="Times New Roman" w:cs="Times New Roman"/>
        </w:rPr>
        <w:t xml:space="preserve">the value of higher education </w:t>
      </w:r>
      <w:sdt>
        <w:sdtPr>
          <w:rPr>
            <w:rFonts w:ascii="Times New Roman" w:hAnsi="Times New Roman" w:cs="Times New Roman"/>
          </w:rPr>
          <w:id w:val="-738245364"/>
          <w:citation/>
        </w:sdtPr>
        <w:sdtContent>
          <w:r w:rsidR="00DB0C8A">
            <w:rPr>
              <w:rFonts w:ascii="Times New Roman" w:hAnsi="Times New Roman" w:cs="Times New Roman"/>
            </w:rPr>
            <w:fldChar w:fldCharType="begin"/>
          </w:r>
          <w:r w:rsidR="00DB0C8A">
            <w:rPr>
              <w:rFonts w:ascii="Times New Roman" w:hAnsi="Times New Roman" w:cs="Times New Roman"/>
            </w:rPr>
            <w:instrText xml:space="preserve"> CITATION Fry24 \l 1033 </w:instrText>
          </w:r>
          <w:r w:rsidR="00DB0C8A">
            <w:rPr>
              <w:rFonts w:ascii="Times New Roman" w:hAnsi="Times New Roman" w:cs="Times New Roman"/>
            </w:rPr>
            <w:fldChar w:fldCharType="separate"/>
          </w:r>
          <w:r w:rsidR="00A10468" w:rsidRPr="00A10468">
            <w:rPr>
              <w:rFonts w:ascii="Times New Roman" w:hAnsi="Times New Roman" w:cs="Times New Roman"/>
              <w:noProof/>
            </w:rPr>
            <w:t>(Fry, Braga, &amp; K., 2024)</w:t>
          </w:r>
          <w:r w:rsidR="00DB0C8A">
            <w:rPr>
              <w:rFonts w:ascii="Times New Roman" w:hAnsi="Times New Roman" w:cs="Times New Roman"/>
            </w:rPr>
            <w:fldChar w:fldCharType="end"/>
          </w:r>
        </w:sdtContent>
      </w:sdt>
      <w:r w:rsidR="00DB0C8A">
        <w:rPr>
          <w:rFonts w:ascii="Times New Roman" w:hAnsi="Times New Roman" w:cs="Times New Roman"/>
        </w:rPr>
        <w:t>.</w:t>
      </w:r>
    </w:p>
    <w:p w14:paraId="0193EA16" w14:textId="1B52DF18" w:rsidR="00550C6B" w:rsidRDefault="006C6807" w:rsidP="00CD45D6">
      <w:pPr>
        <w:spacing w:line="480" w:lineRule="auto"/>
        <w:rPr>
          <w:rFonts w:ascii="Times New Roman" w:hAnsi="Times New Roman" w:cs="Times New Roman"/>
        </w:rPr>
      </w:pPr>
      <w:r>
        <w:rPr>
          <w:rFonts w:ascii="Times New Roman" w:hAnsi="Times New Roman" w:cs="Times New Roman"/>
        </w:rPr>
        <w:tab/>
        <w:t xml:space="preserve">Further complicating these matters are that public, sub-baccalaureate programs </w:t>
      </w:r>
      <w:r w:rsidR="002330A3">
        <w:rPr>
          <w:rFonts w:ascii="Times New Roman" w:hAnsi="Times New Roman" w:cs="Times New Roman"/>
        </w:rPr>
        <w:t xml:space="preserve">represent one of the most affordable paths to postsecondary education in the United States. </w:t>
      </w:r>
      <w:r w:rsidR="005C705E">
        <w:rPr>
          <w:rFonts w:ascii="Times New Roman" w:hAnsi="Times New Roman" w:cs="Times New Roman"/>
        </w:rPr>
        <w:t>This affordability and th</w:t>
      </w:r>
      <w:r w:rsidR="005570B6">
        <w:rPr>
          <w:rFonts w:ascii="Times New Roman" w:hAnsi="Times New Roman" w:cs="Times New Roman"/>
        </w:rPr>
        <w:t>eir</w:t>
      </w:r>
      <w:r w:rsidR="005C705E">
        <w:rPr>
          <w:rFonts w:ascii="Times New Roman" w:hAnsi="Times New Roman" w:cs="Times New Roman"/>
        </w:rPr>
        <w:t xml:space="preserve"> open-access </w:t>
      </w:r>
      <w:r w:rsidR="005570B6">
        <w:rPr>
          <w:rFonts w:ascii="Times New Roman" w:hAnsi="Times New Roman" w:cs="Times New Roman"/>
        </w:rPr>
        <w:t>enrollment practices</w:t>
      </w:r>
      <w:r w:rsidR="005C705E">
        <w:rPr>
          <w:rFonts w:ascii="Times New Roman" w:hAnsi="Times New Roman" w:cs="Times New Roman"/>
        </w:rPr>
        <w:t xml:space="preserve"> contribute </w:t>
      </w:r>
      <w:r w:rsidR="009B32E1">
        <w:rPr>
          <w:rFonts w:ascii="Times New Roman" w:hAnsi="Times New Roman" w:cs="Times New Roman"/>
        </w:rPr>
        <w:t xml:space="preserve">to </w:t>
      </w:r>
      <w:r w:rsidR="00962BF2">
        <w:rPr>
          <w:rFonts w:ascii="Times New Roman" w:hAnsi="Times New Roman" w:cs="Times New Roman"/>
        </w:rPr>
        <w:t xml:space="preserve">these institutions serving </w:t>
      </w:r>
      <w:r w:rsidR="005C705E">
        <w:rPr>
          <w:rFonts w:ascii="Times New Roman" w:hAnsi="Times New Roman" w:cs="Times New Roman"/>
        </w:rPr>
        <w:t xml:space="preserve">a larger share </w:t>
      </w:r>
      <w:r w:rsidR="00551328">
        <w:rPr>
          <w:rFonts w:ascii="Times New Roman" w:hAnsi="Times New Roman" w:cs="Times New Roman"/>
        </w:rPr>
        <w:t xml:space="preserve">of lower-income students </w:t>
      </w:r>
      <w:r w:rsidR="004E4677">
        <w:rPr>
          <w:rFonts w:ascii="Times New Roman" w:hAnsi="Times New Roman" w:cs="Times New Roman"/>
        </w:rPr>
        <w:t>than more selective and expensive institutions</w:t>
      </w:r>
      <w:r w:rsidR="00551328">
        <w:rPr>
          <w:rFonts w:ascii="Times New Roman" w:hAnsi="Times New Roman" w:cs="Times New Roman"/>
        </w:rPr>
        <w:t xml:space="preserve">. For </w:t>
      </w:r>
      <w:r w:rsidR="002525DC">
        <w:rPr>
          <w:rFonts w:ascii="Times New Roman" w:hAnsi="Times New Roman" w:cs="Times New Roman"/>
        </w:rPr>
        <w:t>example,</w:t>
      </w:r>
      <w:r w:rsidR="00F2544B">
        <w:rPr>
          <w:rFonts w:ascii="Times New Roman" w:hAnsi="Times New Roman" w:cs="Times New Roman"/>
        </w:rPr>
        <w:t xml:space="preserve"> </w:t>
      </w:r>
      <w:r w:rsidR="003B4657">
        <w:rPr>
          <w:rFonts w:ascii="Times New Roman" w:hAnsi="Times New Roman" w:cs="Times New Roman"/>
        </w:rPr>
        <w:t>the National Center for Education Statistics</w:t>
      </w:r>
      <w:r w:rsidR="00A358B4">
        <w:rPr>
          <w:rFonts w:ascii="Times New Roman" w:hAnsi="Times New Roman" w:cs="Times New Roman"/>
        </w:rPr>
        <w:t xml:space="preserve"> </w:t>
      </w:r>
      <w:sdt>
        <w:sdtPr>
          <w:rPr>
            <w:rFonts w:ascii="Times New Roman" w:hAnsi="Times New Roman" w:cs="Times New Roman"/>
          </w:rPr>
          <w:id w:val="1126736852"/>
          <w:citation/>
        </w:sdtPr>
        <w:sdtContent>
          <w:r w:rsidR="00A358B4">
            <w:rPr>
              <w:rFonts w:ascii="Times New Roman" w:hAnsi="Times New Roman" w:cs="Times New Roman"/>
            </w:rPr>
            <w:fldChar w:fldCharType="begin"/>
          </w:r>
          <w:r w:rsidR="00A358B4">
            <w:rPr>
              <w:rFonts w:ascii="Times New Roman" w:hAnsi="Times New Roman" w:cs="Times New Roman"/>
            </w:rPr>
            <w:instrText xml:space="preserve">CITATION Nat221 \n  \t  \l 1033 </w:instrText>
          </w:r>
          <w:r w:rsidR="00A358B4">
            <w:rPr>
              <w:rFonts w:ascii="Times New Roman" w:hAnsi="Times New Roman" w:cs="Times New Roman"/>
            </w:rPr>
            <w:fldChar w:fldCharType="separate"/>
          </w:r>
          <w:r w:rsidR="00A10468" w:rsidRPr="00A10468">
            <w:rPr>
              <w:rFonts w:ascii="Times New Roman" w:hAnsi="Times New Roman" w:cs="Times New Roman"/>
              <w:noProof/>
            </w:rPr>
            <w:t>(2022)</w:t>
          </w:r>
          <w:r w:rsidR="00A358B4">
            <w:rPr>
              <w:rFonts w:ascii="Times New Roman" w:hAnsi="Times New Roman" w:cs="Times New Roman"/>
            </w:rPr>
            <w:fldChar w:fldCharType="end"/>
          </w:r>
        </w:sdtContent>
      </w:sdt>
      <w:r w:rsidR="003B4657">
        <w:rPr>
          <w:rFonts w:ascii="Times New Roman" w:hAnsi="Times New Roman" w:cs="Times New Roman"/>
        </w:rPr>
        <w:t xml:space="preserve"> found </w:t>
      </w:r>
      <w:r w:rsidR="00551328">
        <w:rPr>
          <w:rFonts w:ascii="Times New Roman" w:hAnsi="Times New Roman" w:cs="Times New Roman"/>
        </w:rPr>
        <w:t xml:space="preserve"> </w:t>
      </w:r>
      <w:r w:rsidR="007469BF">
        <w:rPr>
          <w:rFonts w:ascii="Times New Roman" w:hAnsi="Times New Roman" w:cs="Times New Roman"/>
        </w:rPr>
        <w:t xml:space="preserve">public, </w:t>
      </w:r>
      <w:r w:rsidR="00F2544B">
        <w:rPr>
          <w:rFonts w:ascii="Times New Roman" w:hAnsi="Times New Roman" w:cs="Times New Roman"/>
        </w:rPr>
        <w:t xml:space="preserve">sub-baccalaureate granting institutions </w:t>
      </w:r>
      <w:r w:rsidR="00CF1AD7">
        <w:rPr>
          <w:rFonts w:ascii="Times New Roman" w:hAnsi="Times New Roman" w:cs="Times New Roman"/>
        </w:rPr>
        <w:t xml:space="preserve">enrolled </w:t>
      </w:r>
      <w:r w:rsidR="00F11B02">
        <w:rPr>
          <w:rFonts w:ascii="Times New Roman" w:hAnsi="Times New Roman" w:cs="Times New Roman"/>
        </w:rPr>
        <w:t xml:space="preserve">51% of the </w:t>
      </w:r>
      <w:r w:rsidR="007936EC">
        <w:rPr>
          <w:rFonts w:ascii="Times New Roman" w:hAnsi="Times New Roman" w:cs="Times New Roman"/>
        </w:rPr>
        <w:t xml:space="preserve">students in the </w:t>
      </w:r>
      <w:r w:rsidR="00F11B02">
        <w:rPr>
          <w:rFonts w:ascii="Times New Roman" w:hAnsi="Times New Roman" w:cs="Times New Roman"/>
        </w:rPr>
        <w:lastRenderedPageBreak/>
        <w:t xml:space="preserve">lowest income quintile and 48% of the second lowest income quintile </w:t>
      </w:r>
      <w:r w:rsidR="00E727A7">
        <w:rPr>
          <w:rFonts w:ascii="Times New Roman" w:hAnsi="Times New Roman" w:cs="Times New Roman"/>
        </w:rPr>
        <w:t>of 2009 ninth graders enrolled by 2016</w:t>
      </w:r>
      <w:r w:rsidR="008A1784">
        <w:rPr>
          <w:rFonts w:ascii="Times New Roman" w:hAnsi="Times New Roman" w:cs="Times New Roman"/>
        </w:rPr>
        <w:t xml:space="preserve">. </w:t>
      </w:r>
      <w:r w:rsidR="00E727A7">
        <w:rPr>
          <w:rFonts w:ascii="Times New Roman" w:hAnsi="Times New Roman" w:cs="Times New Roman"/>
        </w:rPr>
        <w:t xml:space="preserve">Meanwhile, only </w:t>
      </w:r>
      <w:r w:rsidR="00CE45B6">
        <w:rPr>
          <w:rFonts w:ascii="Times New Roman" w:hAnsi="Times New Roman" w:cs="Times New Roman"/>
        </w:rPr>
        <w:t xml:space="preserve">35% and 18% of the </w:t>
      </w:r>
      <w:r w:rsidR="007469BF">
        <w:rPr>
          <w:rFonts w:ascii="Times New Roman" w:hAnsi="Times New Roman" w:cs="Times New Roman"/>
        </w:rPr>
        <w:t xml:space="preserve">students who enrolled in any postsecondary education from the </w:t>
      </w:r>
      <w:r w:rsidR="00592915">
        <w:rPr>
          <w:rFonts w:ascii="Times New Roman" w:hAnsi="Times New Roman" w:cs="Times New Roman"/>
        </w:rPr>
        <w:t>second</w:t>
      </w:r>
      <w:r w:rsidR="00CE45B6">
        <w:rPr>
          <w:rFonts w:ascii="Times New Roman" w:hAnsi="Times New Roman" w:cs="Times New Roman"/>
        </w:rPr>
        <w:t xml:space="preserve"> highest and highest </w:t>
      </w:r>
      <w:r w:rsidR="00471AC8">
        <w:rPr>
          <w:rFonts w:ascii="Times New Roman" w:hAnsi="Times New Roman" w:cs="Times New Roman"/>
        </w:rPr>
        <w:t xml:space="preserve">quintiles </w:t>
      </w:r>
      <w:r w:rsidR="007469BF">
        <w:rPr>
          <w:rFonts w:ascii="Times New Roman" w:hAnsi="Times New Roman" w:cs="Times New Roman"/>
        </w:rPr>
        <w:t xml:space="preserve">respectively </w:t>
      </w:r>
      <w:r w:rsidR="006476A9">
        <w:rPr>
          <w:rFonts w:ascii="Times New Roman" w:hAnsi="Times New Roman" w:cs="Times New Roman"/>
        </w:rPr>
        <w:t>were enrolled at public, sub-baccalaureate granting institutions.</w:t>
      </w:r>
      <w:r w:rsidR="00011B66">
        <w:rPr>
          <w:rFonts w:ascii="Times New Roman" w:hAnsi="Times New Roman" w:cs="Times New Roman"/>
        </w:rPr>
        <w:t xml:space="preserve"> </w:t>
      </w:r>
    </w:p>
    <w:p w14:paraId="4706B614" w14:textId="2D749D83" w:rsidR="006B30EA" w:rsidRDefault="00011B66" w:rsidP="00CD45D6">
      <w:pPr>
        <w:spacing w:line="480" w:lineRule="auto"/>
        <w:ind w:firstLine="720"/>
        <w:rPr>
          <w:rFonts w:ascii="Times New Roman" w:hAnsi="Times New Roman" w:cs="Times New Roman"/>
        </w:rPr>
      </w:pPr>
      <w:r>
        <w:rPr>
          <w:rFonts w:ascii="Times New Roman" w:hAnsi="Times New Roman" w:cs="Times New Roman"/>
        </w:rPr>
        <w:t xml:space="preserve">Beyond enrollment, these </w:t>
      </w:r>
      <w:r w:rsidR="0038634E">
        <w:rPr>
          <w:rFonts w:ascii="Times New Roman" w:hAnsi="Times New Roman" w:cs="Times New Roman"/>
        </w:rPr>
        <w:t>differential outcomes by socio-economic status are also found in completion rates</w:t>
      </w:r>
      <w:r w:rsidR="00347DB7">
        <w:rPr>
          <w:rFonts w:ascii="Times New Roman" w:hAnsi="Times New Roman" w:cs="Times New Roman"/>
        </w:rPr>
        <w:t xml:space="preserve">. </w:t>
      </w:r>
      <w:r w:rsidR="008A1784">
        <w:rPr>
          <w:rFonts w:ascii="Times New Roman" w:hAnsi="Times New Roman" w:cs="Times New Roman"/>
        </w:rPr>
        <w:t xml:space="preserve">Using a sample of high school </w:t>
      </w:r>
      <w:r w:rsidR="00884346">
        <w:rPr>
          <w:rFonts w:ascii="Times New Roman" w:hAnsi="Times New Roman" w:cs="Times New Roman"/>
        </w:rPr>
        <w:t>sophomores</w:t>
      </w:r>
      <w:r w:rsidR="008A1784">
        <w:rPr>
          <w:rFonts w:ascii="Times New Roman" w:hAnsi="Times New Roman" w:cs="Times New Roman"/>
        </w:rPr>
        <w:t xml:space="preserve"> </w:t>
      </w:r>
      <w:r w:rsidR="00DC0417">
        <w:rPr>
          <w:rFonts w:ascii="Times New Roman" w:hAnsi="Times New Roman" w:cs="Times New Roman"/>
        </w:rPr>
        <w:t>from</w:t>
      </w:r>
      <w:r w:rsidR="008A1784">
        <w:rPr>
          <w:rFonts w:ascii="Times New Roman" w:hAnsi="Times New Roman" w:cs="Times New Roman"/>
        </w:rPr>
        <w:t xml:space="preserve"> 2002, a</w:t>
      </w:r>
      <w:r w:rsidR="00CA6811">
        <w:rPr>
          <w:rFonts w:ascii="Times New Roman" w:hAnsi="Times New Roman" w:cs="Times New Roman"/>
        </w:rPr>
        <w:t xml:space="preserve"> majority of students from the highest</w:t>
      </w:r>
      <w:r w:rsidR="00E13B95">
        <w:rPr>
          <w:rFonts w:ascii="Times New Roman" w:hAnsi="Times New Roman" w:cs="Times New Roman"/>
        </w:rPr>
        <w:t xml:space="preserve"> income</w:t>
      </w:r>
      <w:r w:rsidR="00CA6811">
        <w:rPr>
          <w:rFonts w:ascii="Times New Roman" w:hAnsi="Times New Roman" w:cs="Times New Roman"/>
        </w:rPr>
        <w:t xml:space="preserve"> </w:t>
      </w:r>
      <w:r w:rsidR="00CE0DB2">
        <w:rPr>
          <w:rFonts w:ascii="Times New Roman" w:hAnsi="Times New Roman" w:cs="Times New Roman"/>
        </w:rPr>
        <w:t>tercile</w:t>
      </w:r>
      <w:r w:rsidR="00EB23D7">
        <w:rPr>
          <w:rFonts w:ascii="Times New Roman" w:hAnsi="Times New Roman" w:cs="Times New Roman"/>
        </w:rPr>
        <w:t xml:space="preserve"> obtained </w:t>
      </w:r>
      <w:r w:rsidR="008A1784">
        <w:rPr>
          <w:rFonts w:ascii="Times New Roman" w:hAnsi="Times New Roman" w:cs="Times New Roman"/>
        </w:rPr>
        <w:t>bachelor’s</w:t>
      </w:r>
      <w:r w:rsidR="00EB23D7">
        <w:rPr>
          <w:rFonts w:ascii="Times New Roman" w:hAnsi="Times New Roman" w:cs="Times New Roman"/>
        </w:rPr>
        <w:t xml:space="preserve"> degree</w:t>
      </w:r>
      <w:r w:rsidR="008A1784">
        <w:rPr>
          <w:rFonts w:ascii="Times New Roman" w:hAnsi="Times New Roman" w:cs="Times New Roman"/>
        </w:rPr>
        <w:t>s</w:t>
      </w:r>
      <w:r w:rsidR="00CF5204">
        <w:rPr>
          <w:rFonts w:ascii="Times New Roman" w:hAnsi="Times New Roman" w:cs="Times New Roman"/>
        </w:rPr>
        <w:t xml:space="preserve"> </w:t>
      </w:r>
      <w:r w:rsidR="002222AA">
        <w:rPr>
          <w:rFonts w:ascii="Times New Roman" w:hAnsi="Times New Roman" w:cs="Times New Roman"/>
        </w:rPr>
        <w:t xml:space="preserve">by 2012 </w:t>
      </w:r>
      <w:r w:rsidR="00CF5204">
        <w:rPr>
          <w:rFonts w:ascii="Times New Roman" w:hAnsi="Times New Roman" w:cs="Times New Roman"/>
        </w:rPr>
        <w:t>(</w:t>
      </w:r>
      <w:r w:rsidR="00CF5204" w:rsidRPr="00E94094">
        <w:rPr>
          <w:rFonts w:ascii="Times New Roman" w:hAnsi="Times New Roman" w:cs="Times New Roman"/>
          <w:noProof/>
        </w:rPr>
        <w:t>National Center for Education Statistics</w:t>
      </w:r>
      <w:r w:rsidR="00CF5204">
        <w:rPr>
          <w:rFonts w:ascii="Times New Roman" w:hAnsi="Times New Roman" w:cs="Times New Roman"/>
          <w:noProof/>
        </w:rPr>
        <w:t>, 2022)</w:t>
      </w:r>
      <w:r w:rsidR="00497BD0">
        <w:rPr>
          <w:rFonts w:ascii="Times New Roman" w:hAnsi="Times New Roman" w:cs="Times New Roman"/>
        </w:rPr>
        <w:t xml:space="preserve">. Meanwhile, </w:t>
      </w:r>
      <w:r w:rsidR="00A92C4B">
        <w:rPr>
          <w:rFonts w:ascii="Times New Roman" w:hAnsi="Times New Roman" w:cs="Times New Roman"/>
        </w:rPr>
        <w:t>the</w:t>
      </w:r>
      <w:r w:rsidR="00EB23D7">
        <w:rPr>
          <w:rFonts w:ascii="Times New Roman" w:hAnsi="Times New Roman" w:cs="Times New Roman"/>
        </w:rPr>
        <w:t xml:space="preserve"> majority of students from the lowest </w:t>
      </w:r>
      <w:r w:rsidR="00E13B95">
        <w:rPr>
          <w:rFonts w:ascii="Times New Roman" w:hAnsi="Times New Roman" w:cs="Times New Roman"/>
        </w:rPr>
        <w:t>income</w:t>
      </w:r>
      <w:r w:rsidR="004A3366">
        <w:rPr>
          <w:rFonts w:ascii="Times New Roman" w:hAnsi="Times New Roman" w:cs="Times New Roman"/>
        </w:rPr>
        <w:t xml:space="preserve"> </w:t>
      </w:r>
      <w:r w:rsidR="00EB23D7">
        <w:rPr>
          <w:rFonts w:ascii="Times New Roman" w:hAnsi="Times New Roman" w:cs="Times New Roman"/>
        </w:rPr>
        <w:t>ter</w:t>
      </w:r>
      <w:r w:rsidR="00FD333F">
        <w:rPr>
          <w:rFonts w:ascii="Times New Roman" w:hAnsi="Times New Roman" w:cs="Times New Roman"/>
        </w:rPr>
        <w:t>c</w:t>
      </w:r>
      <w:r w:rsidR="00EB23D7">
        <w:rPr>
          <w:rFonts w:ascii="Times New Roman" w:hAnsi="Times New Roman" w:cs="Times New Roman"/>
        </w:rPr>
        <w:t>ile</w:t>
      </w:r>
      <w:r w:rsidR="004A3366">
        <w:rPr>
          <w:rFonts w:ascii="Times New Roman" w:hAnsi="Times New Roman" w:cs="Times New Roman"/>
        </w:rPr>
        <w:t xml:space="preserve"> were found to have</w:t>
      </w:r>
      <w:r w:rsidR="008A1784">
        <w:rPr>
          <w:rFonts w:ascii="Times New Roman" w:hAnsi="Times New Roman" w:cs="Times New Roman"/>
        </w:rPr>
        <w:t xml:space="preserve"> </w:t>
      </w:r>
      <w:r w:rsidR="00B64086">
        <w:rPr>
          <w:rFonts w:ascii="Times New Roman" w:hAnsi="Times New Roman" w:cs="Times New Roman"/>
        </w:rPr>
        <w:t xml:space="preserve">either </w:t>
      </w:r>
      <w:r w:rsidR="00C32DE3">
        <w:rPr>
          <w:rFonts w:ascii="Times New Roman" w:hAnsi="Times New Roman" w:cs="Times New Roman"/>
        </w:rPr>
        <w:t xml:space="preserve">only completed </w:t>
      </w:r>
      <w:r w:rsidR="00B64086">
        <w:rPr>
          <w:rFonts w:ascii="Times New Roman" w:hAnsi="Times New Roman" w:cs="Times New Roman"/>
        </w:rPr>
        <w:t>some postsecondary education</w:t>
      </w:r>
      <w:r w:rsidR="00C32DE3">
        <w:rPr>
          <w:rFonts w:ascii="Times New Roman" w:hAnsi="Times New Roman" w:cs="Times New Roman"/>
        </w:rPr>
        <w:t xml:space="preserve"> or had</w:t>
      </w:r>
      <w:r w:rsidR="00B64086">
        <w:rPr>
          <w:rFonts w:ascii="Times New Roman" w:hAnsi="Times New Roman" w:cs="Times New Roman"/>
        </w:rPr>
        <w:t xml:space="preserve"> no award or less</w:t>
      </w:r>
      <w:r w:rsidR="002222AA">
        <w:rPr>
          <w:rFonts w:ascii="Times New Roman" w:hAnsi="Times New Roman" w:cs="Times New Roman"/>
        </w:rPr>
        <w:t xml:space="preserve"> by 2012</w:t>
      </w:r>
      <w:r w:rsidR="00B64086">
        <w:rPr>
          <w:rFonts w:ascii="Times New Roman" w:hAnsi="Times New Roman" w:cs="Times New Roman"/>
        </w:rPr>
        <w:t xml:space="preserve">. </w:t>
      </w:r>
    </w:p>
    <w:p w14:paraId="1B39D385" w14:textId="77777777" w:rsidR="00127795" w:rsidRDefault="002525DC" w:rsidP="00CD45D6">
      <w:pPr>
        <w:spacing w:line="480" w:lineRule="auto"/>
        <w:ind w:firstLine="720"/>
        <w:rPr>
          <w:rFonts w:ascii="Times New Roman" w:hAnsi="Times New Roman" w:cs="Times New Roman"/>
        </w:rPr>
      </w:pPr>
      <w:r>
        <w:rPr>
          <w:rFonts w:ascii="Times New Roman" w:hAnsi="Times New Roman" w:cs="Times New Roman"/>
        </w:rPr>
        <w:t xml:space="preserve">Here, the problem </w:t>
      </w:r>
      <w:r w:rsidR="008E2CC3">
        <w:rPr>
          <w:rFonts w:ascii="Times New Roman" w:hAnsi="Times New Roman" w:cs="Times New Roman"/>
        </w:rPr>
        <w:t xml:space="preserve">that </w:t>
      </w:r>
      <w:r>
        <w:rPr>
          <w:rFonts w:ascii="Times New Roman" w:hAnsi="Times New Roman" w:cs="Times New Roman"/>
        </w:rPr>
        <w:t xml:space="preserve">I identify is a system where the most affordable path </w:t>
      </w:r>
      <w:r w:rsidR="00515124">
        <w:rPr>
          <w:rFonts w:ascii="Times New Roman" w:hAnsi="Times New Roman" w:cs="Times New Roman"/>
        </w:rPr>
        <w:t xml:space="preserve">for </w:t>
      </w:r>
      <w:r>
        <w:rPr>
          <w:rFonts w:ascii="Times New Roman" w:hAnsi="Times New Roman" w:cs="Times New Roman"/>
        </w:rPr>
        <w:t xml:space="preserve">upward economic mobility </w:t>
      </w:r>
      <w:r w:rsidR="00305217">
        <w:rPr>
          <w:rFonts w:ascii="Times New Roman" w:hAnsi="Times New Roman" w:cs="Times New Roman"/>
        </w:rPr>
        <w:t>among</w:t>
      </w:r>
      <w:r>
        <w:rPr>
          <w:rFonts w:ascii="Times New Roman" w:hAnsi="Times New Roman" w:cs="Times New Roman"/>
        </w:rPr>
        <w:t xml:space="preserve"> lower income students </w:t>
      </w:r>
      <w:r w:rsidR="000C2143">
        <w:rPr>
          <w:rFonts w:ascii="Times New Roman" w:hAnsi="Times New Roman" w:cs="Times New Roman"/>
        </w:rPr>
        <w:t xml:space="preserve">is one through sub-baccalaureate programs </w:t>
      </w:r>
      <w:r w:rsidR="00E54D51">
        <w:rPr>
          <w:rFonts w:ascii="Times New Roman" w:hAnsi="Times New Roman" w:cs="Times New Roman"/>
        </w:rPr>
        <w:t xml:space="preserve">where </w:t>
      </w:r>
      <w:r w:rsidR="00305217">
        <w:rPr>
          <w:rFonts w:ascii="Times New Roman" w:hAnsi="Times New Roman" w:cs="Times New Roman"/>
        </w:rPr>
        <w:t>completing a</w:t>
      </w:r>
      <w:r w:rsidR="00E54D51">
        <w:rPr>
          <w:rFonts w:ascii="Times New Roman" w:hAnsi="Times New Roman" w:cs="Times New Roman"/>
        </w:rPr>
        <w:t xml:space="preserve"> </w:t>
      </w:r>
      <w:r w:rsidR="00305217">
        <w:rPr>
          <w:rFonts w:ascii="Times New Roman" w:hAnsi="Times New Roman" w:cs="Times New Roman"/>
        </w:rPr>
        <w:t xml:space="preserve">sub-baccalaureate </w:t>
      </w:r>
      <w:r w:rsidR="00E54D51">
        <w:rPr>
          <w:rFonts w:ascii="Times New Roman" w:hAnsi="Times New Roman" w:cs="Times New Roman"/>
        </w:rPr>
        <w:t xml:space="preserve">award is not guaranteed. </w:t>
      </w:r>
      <w:r w:rsidR="007B1747">
        <w:rPr>
          <w:rFonts w:ascii="Times New Roman" w:hAnsi="Times New Roman" w:cs="Times New Roman"/>
        </w:rPr>
        <w:t>Scholars have established that the c</w:t>
      </w:r>
      <w:r w:rsidR="00DB71F9">
        <w:rPr>
          <w:rFonts w:ascii="Times New Roman" w:hAnsi="Times New Roman" w:cs="Times New Roman"/>
        </w:rPr>
        <w:t xml:space="preserve">ost of attendance influences both enrollment </w:t>
      </w:r>
      <w:r w:rsidR="00F34E0B">
        <w:rPr>
          <w:rFonts w:ascii="Times New Roman" w:hAnsi="Times New Roman" w:cs="Times New Roman"/>
        </w:rPr>
        <w:t xml:space="preserve">decisions </w:t>
      </w:r>
      <w:r w:rsidR="00DB71F9">
        <w:rPr>
          <w:rFonts w:ascii="Times New Roman" w:hAnsi="Times New Roman" w:cs="Times New Roman"/>
        </w:rPr>
        <w:t>and completion rates</w:t>
      </w:r>
      <w:r w:rsidR="00FF7A94">
        <w:rPr>
          <w:rFonts w:ascii="Times New Roman" w:hAnsi="Times New Roman" w:cs="Times New Roman"/>
        </w:rPr>
        <w:t xml:space="preserve">. This is because many students </w:t>
      </w:r>
      <w:r w:rsidR="007B1747">
        <w:rPr>
          <w:rFonts w:ascii="Times New Roman" w:hAnsi="Times New Roman" w:cs="Times New Roman"/>
        </w:rPr>
        <w:t xml:space="preserve">struggle to afford </w:t>
      </w:r>
      <w:r w:rsidR="00FF7A94">
        <w:rPr>
          <w:rFonts w:ascii="Times New Roman" w:hAnsi="Times New Roman" w:cs="Times New Roman"/>
        </w:rPr>
        <w:t xml:space="preserve">the costs of </w:t>
      </w:r>
      <w:r w:rsidR="007B1747">
        <w:rPr>
          <w:rFonts w:ascii="Times New Roman" w:hAnsi="Times New Roman" w:cs="Times New Roman"/>
        </w:rPr>
        <w:t>postsecondary education (</w:t>
      </w:r>
      <w:r w:rsidR="00BC0EB0" w:rsidRPr="00BC0EB0">
        <w:rPr>
          <w:rFonts w:ascii="Times New Roman" w:hAnsi="Times New Roman" w:cs="Times New Roman"/>
        </w:rPr>
        <w:t>Goldrick-Rab</w:t>
      </w:r>
      <w:r w:rsidR="00BC0EB0">
        <w:rPr>
          <w:rFonts w:ascii="Times New Roman" w:hAnsi="Times New Roman" w:cs="Times New Roman"/>
        </w:rPr>
        <w:t xml:space="preserve"> et al., 2019; </w:t>
      </w:r>
      <w:r w:rsidR="007D1177">
        <w:rPr>
          <w:rFonts w:ascii="Times New Roman" w:hAnsi="Times New Roman" w:cs="Times New Roman"/>
        </w:rPr>
        <w:t xml:space="preserve">Hanushek et al., 2019; </w:t>
      </w:r>
      <w:r w:rsidR="00727810">
        <w:rPr>
          <w:rFonts w:ascii="Times New Roman" w:hAnsi="Times New Roman" w:cs="Times New Roman"/>
        </w:rPr>
        <w:t>Jury et al.,</w:t>
      </w:r>
      <w:r w:rsidR="00D77CC3">
        <w:rPr>
          <w:rFonts w:ascii="Times New Roman" w:hAnsi="Times New Roman" w:cs="Times New Roman"/>
        </w:rPr>
        <w:t xml:space="preserve"> 2017</w:t>
      </w:r>
      <w:r w:rsidR="00DC3F46">
        <w:rPr>
          <w:rFonts w:ascii="Times New Roman" w:hAnsi="Times New Roman" w:cs="Times New Roman"/>
        </w:rPr>
        <w:t xml:space="preserve">). </w:t>
      </w:r>
    </w:p>
    <w:p w14:paraId="47384941" w14:textId="306EECB6" w:rsidR="006476A9" w:rsidRPr="00A72ED5" w:rsidRDefault="00562EBC" w:rsidP="00CD45D6">
      <w:pPr>
        <w:spacing w:line="480" w:lineRule="auto"/>
        <w:ind w:firstLine="720"/>
        <w:rPr>
          <w:rFonts w:ascii="Times New Roman" w:hAnsi="Times New Roman" w:cs="Times New Roman"/>
        </w:rPr>
      </w:pPr>
      <w:r>
        <w:rPr>
          <w:rFonts w:ascii="Times New Roman" w:hAnsi="Times New Roman" w:cs="Times New Roman"/>
        </w:rPr>
        <w:t>Over the past 20 years</w:t>
      </w:r>
      <w:r w:rsidR="00084DF5">
        <w:rPr>
          <w:rFonts w:ascii="Times New Roman" w:hAnsi="Times New Roman" w:cs="Times New Roman"/>
        </w:rPr>
        <w:t>,</w:t>
      </w:r>
      <w:r>
        <w:rPr>
          <w:rFonts w:ascii="Times New Roman" w:hAnsi="Times New Roman" w:cs="Times New Roman"/>
        </w:rPr>
        <w:t xml:space="preserve"> p</w:t>
      </w:r>
      <w:r w:rsidR="007B1747">
        <w:rPr>
          <w:rFonts w:ascii="Times New Roman" w:hAnsi="Times New Roman" w:cs="Times New Roman"/>
        </w:rPr>
        <w:t>romise programs</w:t>
      </w:r>
      <w:r w:rsidR="00084DF5">
        <w:rPr>
          <w:rFonts w:ascii="Times New Roman" w:hAnsi="Times New Roman" w:cs="Times New Roman"/>
        </w:rPr>
        <w:t xml:space="preserve"> </w:t>
      </w:r>
      <w:r w:rsidR="007B66FE">
        <w:rPr>
          <w:rFonts w:ascii="Times New Roman" w:hAnsi="Times New Roman" w:cs="Times New Roman"/>
        </w:rPr>
        <w:t xml:space="preserve">emerged </w:t>
      </w:r>
      <w:r w:rsidR="00D763C8">
        <w:rPr>
          <w:rFonts w:ascii="Times New Roman" w:hAnsi="Times New Roman" w:cs="Times New Roman"/>
        </w:rPr>
        <w:t xml:space="preserve">and expanded rapidly </w:t>
      </w:r>
      <w:r w:rsidR="007B66FE">
        <w:rPr>
          <w:rFonts w:ascii="Times New Roman" w:hAnsi="Times New Roman" w:cs="Times New Roman"/>
        </w:rPr>
        <w:t>as a strategy to increase postsecondary affordability and generate new</w:t>
      </w:r>
      <w:r>
        <w:rPr>
          <w:rFonts w:ascii="Times New Roman" w:hAnsi="Times New Roman" w:cs="Times New Roman"/>
        </w:rPr>
        <w:t xml:space="preserve"> additional</w:t>
      </w:r>
      <w:r w:rsidR="007B66FE">
        <w:rPr>
          <w:rFonts w:ascii="Times New Roman" w:hAnsi="Times New Roman" w:cs="Times New Roman"/>
        </w:rPr>
        <w:t xml:space="preserve"> graduates</w:t>
      </w:r>
      <w:r>
        <w:rPr>
          <w:rFonts w:ascii="Times New Roman" w:hAnsi="Times New Roman" w:cs="Times New Roman"/>
        </w:rPr>
        <w:t xml:space="preserve"> </w:t>
      </w:r>
      <w:sdt>
        <w:sdtPr>
          <w:rPr>
            <w:rFonts w:ascii="Times New Roman" w:hAnsi="Times New Roman" w:cs="Times New Roman"/>
          </w:rPr>
          <w:id w:val="1800335210"/>
          <w:citation/>
        </w:sdtPr>
        <w:sdtContent>
          <w:r w:rsidR="00BE5211">
            <w:rPr>
              <w:rFonts w:ascii="Times New Roman" w:hAnsi="Times New Roman" w:cs="Times New Roman"/>
            </w:rPr>
            <w:fldChar w:fldCharType="begin"/>
          </w:r>
          <w:r w:rsidR="00BE5211">
            <w:rPr>
              <w:rFonts w:ascii="Times New Roman" w:hAnsi="Times New Roman" w:cs="Times New Roman"/>
            </w:rPr>
            <w:instrText xml:space="preserve"> CITATION Per17 \l 1033 </w:instrText>
          </w:r>
          <w:r w:rsidR="00BE5211">
            <w:rPr>
              <w:rFonts w:ascii="Times New Roman" w:hAnsi="Times New Roman" w:cs="Times New Roman"/>
            </w:rPr>
            <w:fldChar w:fldCharType="separate"/>
          </w:r>
          <w:r w:rsidR="00A10468" w:rsidRPr="00A10468">
            <w:rPr>
              <w:rFonts w:ascii="Times New Roman" w:hAnsi="Times New Roman" w:cs="Times New Roman"/>
              <w:noProof/>
            </w:rPr>
            <w:t>(Perna &amp; Leigh, 2017)</w:t>
          </w:r>
          <w:r w:rsidR="00BE5211">
            <w:rPr>
              <w:rFonts w:ascii="Times New Roman" w:hAnsi="Times New Roman" w:cs="Times New Roman"/>
            </w:rPr>
            <w:fldChar w:fldCharType="end"/>
          </w:r>
        </w:sdtContent>
      </w:sdt>
      <w:r>
        <w:rPr>
          <w:rFonts w:ascii="Times New Roman" w:hAnsi="Times New Roman" w:cs="Times New Roman"/>
        </w:rPr>
        <w:t>.</w:t>
      </w:r>
      <w:r w:rsidR="00013B3A">
        <w:rPr>
          <w:rFonts w:ascii="Times New Roman" w:hAnsi="Times New Roman" w:cs="Times New Roman"/>
        </w:rPr>
        <w:t xml:space="preserve"> Studies have individually </w:t>
      </w:r>
      <w:r w:rsidR="00F1628A">
        <w:rPr>
          <w:rFonts w:ascii="Times New Roman" w:hAnsi="Times New Roman" w:cs="Times New Roman"/>
        </w:rPr>
        <w:t xml:space="preserve">examined </w:t>
      </w:r>
      <w:r w:rsidR="00013B3A">
        <w:rPr>
          <w:rFonts w:ascii="Times New Roman" w:hAnsi="Times New Roman" w:cs="Times New Roman"/>
        </w:rPr>
        <w:t xml:space="preserve">the effects of </w:t>
      </w:r>
      <w:r w:rsidR="006064B2">
        <w:rPr>
          <w:rFonts w:ascii="Times New Roman" w:hAnsi="Times New Roman" w:cs="Times New Roman"/>
        </w:rPr>
        <w:t xml:space="preserve">a limited selection of </w:t>
      </w:r>
      <w:r w:rsidR="00013B3A">
        <w:rPr>
          <w:rFonts w:ascii="Times New Roman" w:hAnsi="Times New Roman" w:cs="Times New Roman"/>
        </w:rPr>
        <w:t xml:space="preserve">these programs finding largely positive evidence on their effectiveness </w:t>
      </w:r>
      <w:sdt>
        <w:sdtPr>
          <w:rPr>
            <w:rFonts w:ascii="Times New Roman" w:hAnsi="Times New Roman" w:cs="Times New Roman"/>
          </w:rPr>
          <w:id w:val="1082265855"/>
          <w:citation/>
        </w:sdtPr>
        <w:sdtContent>
          <w:r w:rsidR="00BE5211">
            <w:rPr>
              <w:rFonts w:ascii="Times New Roman" w:hAnsi="Times New Roman" w:cs="Times New Roman"/>
            </w:rPr>
            <w:fldChar w:fldCharType="begin"/>
          </w:r>
          <w:r w:rsidR="00BE5211">
            <w:rPr>
              <w:rFonts w:ascii="Times New Roman" w:hAnsi="Times New Roman" w:cs="Times New Roman"/>
            </w:rPr>
            <w:instrText xml:space="preserve">CITATION Dyn23 \t  \l 1033 </w:instrText>
          </w:r>
          <w:r w:rsidR="00BE5211">
            <w:rPr>
              <w:rFonts w:ascii="Times New Roman" w:hAnsi="Times New Roman" w:cs="Times New Roman"/>
            </w:rPr>
            <w:fldChar w:fldCharType="separate"/>
          </w:r>
          <w:r w:rsidR="00A10468" w:rsidRPr="00A10468">
            <w:rPr>
              <w:rFonts w:ascii="Times New Roman" w:hAnsi="Times New Roman" w:cs="Times New Roman"/>
              <w:noProof/>
            </w:rPr>
            <w:t>(Dynarski, Page, &amp; Scott-Clayton, 2023)</w:t>
          </w:r>
          <w:r w:rsidR="00BE5211">
            <w:rPr>
              <w:rFonts w:ascii="Times New Roman" w:hAnsi="Times New Roman" w:cs="Times New Roman"/>
            </w:rPr>
            <w:fldChar w:fldCharType="end"/>
          </w:r>
        </w:sdtContent>
      </w:sdt>
      <w:r w:rsidR="00013B3A">
        <w:rPr>
          <w:rFonts w:ascii="Times New Roman" w:hAnsi="Times New Roman" w:cs="Times New Roman"/>
        </w:rPr>
        <w:t xml:space="preserve">. However, there is currently no single estimate </w:t>
      </w:r>
      <w:r w:rsidR="00013B3A">
        <w:rPr>
          <w:rFonts w:ascii="Times New Roman" w:hAnsi="Times New Roman" w:cs="Times New Roman"/>
        </w:rPr>
        <w:lastRenderedPageBreak/>
        <w:t xml:space="preserve">for the potential effect of these programs. </w:t>
      </w:r>
      <w:r w:rsidR="00EC32AA">
        <w:rPr>
          <w:rFonts w:ascii="Times New Roman" w:hAnsi="Times New Roman" w:cs="Times New Roman"/>
        </w:rPr>
        <w:t xml:space="preserve">This is important not only </w:t>
      </w:r>
      <w:r w:rsidR="002222AA">
        <w:rPr>
          <w:rFonts w:ascii="Times New Roman" w:hAnsi="Times New Roman" w:cs="Times New Roman"/>
        </w:rPr>
        <w:t xml:space="preserve">as </w:t>
      </w:r>
      <w:r w:rsidR="00EC32AA">
        <w:rPr>
          <w:rFonts w:ascii="Times New Roman" w:hAnsi="Times New Roman" w:cs="Times New Roman"/>
        </w:rPr>
        <w:t xml:space="preserve">state and institutional policy makers </w:t>
      </w:r>
      <w:r w:rsidR="00C42D5F">
        <w:rPr>
          <w:rFonts w:ascii="Times New Roman" w:hAnsi="Times New Roman" w:cs="Times New Roman"/>
        </w:rPr>
        <w:t xml:space="preserve">consider </w:t>
      </w:r>
      <w:r w:rsidR="002222AA">
        <w:rPr>
          <w:rFonts w:ascii="Times New Roman" w:hAnsi="Times New Roman" w:cs="Times New Roman"/>
        </w:rPr>
        <w:t>adopting</w:t>
      </w:r>
      <w:r w:rsidR="00C42D5F">
        <w:rPr>
          <w:rFonts w:ascii="Times New Roman" w:hAnsi="Times New Roman" w:cs="Times New Roman"/>
        </w:rPr>
        <w:t xml:space="preserve"> new or altering existing promise programs but also has implications at the national policy level as attempts to </w:t>
      </w:r>
      <w:r w:rsidR="007474FB">
        <w:rPr>
          <w:rFonts w:ascii="Times New Roman" w:hAnsi="Times New Roman" w:cs="Times New Roman"/>
        </w:rPr>
        <w:t>institute a national free college model have been repeatedly proposed by federal policy makers</w:t>
      </w:r>
      <w:r w:rsidR="00BE5211">
        <w:rPr>
          <w:rFonts w:ascii="Times New Roman" w:hAnsi="Times New Roman" w:cs="Times New Roman"/>
        </w:rPr>
        <w:t xml:space="preserve"> </w:t>
      </w:r>
      <w:sdt>
        <w:sdtPr>
          <w:rPr>
            <w:rFonts w:ascii="Times New Roman" w:hAnsi="Times New Roman" w:cs="Times New Roman"/>
          </w:rPr>
          <w:id w:val="1429463902"/>
          <w:citation/>
        </w:sdtPr>
        <w:sdtContent>
          <w:r w:rsidR="00BE5211">
            <w:rPr>
              <w:rFonts w:ascii="Times New Roman" w:hAnsi="Times New Roman" w:cs="Times New Roman"/>
            </w:rPr>
            <w:fldChar w:fldCharType="begin"/>
          </w:r>
          <w:r w:rsidR="00BE5211">
            <w:rPr>
              <w:rFonts w:ascii="Times New Roman" w:hAnsi="Times New Roman" w:cs="Times New Roman"/>
            </w:rPr>
            <w:instrText xml:space="preserve">CITATION Car20 \l 1033 </w:instrText>
          </w:r>
          <w:r w:rsidR="00BE5211">
            <w:rPr>
              <w:rFonts w:ascii="Times New Roman" w:hAnsi="Times New Roman" w:cs="Times New Roman"/>
            </w:rPr>
            <w:fldChar w:fldCharType="separate"/>
          </w:r>
          <w:r w:rsidR="00A10468" w:rsidRPr="00A10468">
            <w:rPr>
              <w:rFonts w:ascii="Times New Roman" w:hAnsi="Times New Roman" w:cs="Times New Roman"/>
              <w:noProof/>
            </w:rPr>
            <w:t>(Carnevale, Sablan, Gulish, Quinn, &amp; Cinquegrani, 2020)</w:t>
          </w:r>
          <w:r w:rsidR="00BE5211">
            <w:rPr>
              <w:rFonts w:ascii="Times New Roman" w:hAnsi="Times New Roman" w:cs="Times New Roman"/>
            </w:rPr>
            <w:fldChar w:fldCharType="end"/>
          </w:r>
        </w:sdtContent>
      </w:sdt>
      <w:r w:rsidR="00BE5211">
        <w:rPr>
          <w:rFonts w:ascii="Times New Roman" w:hAnsi="Times New Roman" w:cs="Times New Roman"/>
        </w:rPr>
        <w:t>.</w:t>
      </w:r>
    </w:p>
    <w:p w14:paraId="51C43C30" w14:textId="03BCF317" w:rsidR="004F08CE" w:rsidRDefault="00100CC0" w:rsidP="00CD45D6">
      <w:pPr>
        <w:pStyle w:val="Heading2"/>
        <w:spacing w:before="0" w:after="0"/>
      </w:pPr>
      <w:bookmarkStart w:id="6" w:name="_Toc183282251"/>
      <w:r w:rsidRPr="003C6DFC">
        <w:t>Purpose of the Study</w:t>
      </w:r>
      <w:bookmarkEnd w:id="6"/>
    </w:p>
    <w:p w14:paraId="5C5B949C" w14:textId="16BD5031" w:rsidR="00693213" w:rsidRDefault="00907216" w:rsidP="00CD45D6">
      <w:pPr>
        <w:spacing w:line="480" w:lineRule="auto"/>
        <w:ind w:firstLine="720"/>
        <w:rPr>
          <w:rFonts w:ascii="Times New Roman" w:hAnsi="Times New Roman" w:cs="Times New Roman"/>
        </w:rPr>
      </w:pPr>
      <w:r>
        <w:rPr>
          <w:rFonts w:ascii="Times New Roman" w:hAnsi="Times New Roman" w:cs="Times New Roman"/>
        </w:rPr>
        <w:t xml:space="preserve">This study </w:t>
      </w:r>
      <w:r w:rsidR="006F3D12">
        <w:rPr>
          <w:rFonts w:ascii="Times New Roman" w:hAnsi="Times New Roman" w:cs="Times New Roman"/>
        </w:rPr>
        <w:t xml:space="preserve">seeks to provide the first national estimate </w:t>
      </w:r>
      <w:r w:rsidR="00F45DF4">
        <w:rPr>
          <w:rFonts w:ascii="Times New Roman" w:hAnsi="Times New Roman" w:cs="Times New Roman"/>
        </w:rPr>
        <w:t>on</w:t>
      </w:r>
      <w:r w:rsidR="006F3D12">
        <w:rPr>
          <w:rFonts w:ascii="Times New Roman" w:hAnsi="Times New Roman" w:cs="Times New Roman"/>
        </w:rPr>
        <w:t xml:space="preserve"> the effect of promise programs on sub-baccalaureate </w:t>
      </w:r>
      <w:r w:rsidR="00C27F1B">
        <w:rPr>
          <w:rFonts w:ascii="Times New Roman" w:hAnsi="Times New Roman" w:cs="Times New Roman"/>
        </w:rPr>
        <w:t>awards produced</w:t>
      </w:r>
      <w:r w:rsidR="00C25467">
        <w:rPr>
          <w:rFonts w:ascii="Times New Roman" w:hAnsi="Times New Roman" w:cs="Times New Roman"/>
        </w:rPr>
        <w:t xml:space="preserve"> by </w:t>
      </w:r>
      <w:r w:rsidR="000A43DF">
        <w:rPr>
          <w:rFonts w:ascii="Times New Roman" w:hAnsi="Times New Roman" w:cs="Times New Roman"/>
        </w:rPr>
        <w:t xml:space="preserve">postsecondary </w:t>
      </w:r>
      <w:r w:rsidR="00C25467">
        <w:rPr>
          <w:rFonts w:ascii="Times New Roman" w:hAnsi="Times New Roman" w:cs="Times New Roman"/>
        </w:rPr>
        <w:t>institutions</w:t>
      </w:r>
      <w:r w:rsidR="008E09FE">
        <w:rPr>
          <w:rFonts w:ascii="Times New Roman" w:hAnsi="Times New Roman" w:cs="Times New Roman"/>
        </w:rPr>
        <w:t xml:space="preserve">. To accomplish this, I will utilize </w:t>
      </w:r>
      <w:r w:rsidR="00952CFC">
        <w:rPr>
          <w:rFonts w:ascii="Times New Roman" w:hAnsi="Times New Roman" w:cs="Times New Roman"/>
        </w:rPr>
        <w:t xml:space="preserve">a staggered differences-in-differences design to examine pre- and post- promise program adoption </w:t>
      </w:r>
      <w:r w:rsidR="00055439">
        <w:rPr>
          <w:rFonts w:ascii="Times New Roman" w:hAnsi="Times New Roman" w:cs="Times New Roman"/>
        </w:rPr>
        <w:t xml:space="preserve">award counts </w:t>
      </w:r>
      <w:r w:rsidR="00F91F99">
        <w:rPr>
          <w:rFonts w:ascii="Times New Roman" w:hAnsi="Times New Roman" w:cs="Times New Roman"/>
        </w:rPr>
        <w:t xml:space="preserve">as </w:t>
      </w:r>
      <w:r w:rsidR="00952CFC">
        <w:rPr>
          <w:rFonts w:ascii="Times New Roman" w:hAnsi="Times New Roman" w:cs="Times New Roman"/>
        </w:rPr>
        <w:t>compared to non-adopters</w:t>
      </w:r>
      <w:r w:rsidR="004A47D0">
        <w:rPr>
          <w:rFonts w:ascii="Times New Roman" w:hAnsi="Times New Roman" w:cs="Times New Roman"/>
        </w:rPr>
        <w:t xml:space="preserve"> for promise programs at colleges with sub-baccalaureate programs. </w:t>
      </w:r>
      <w:r w:rsidR="004D1E94">
        <w:rPr>
          <w:rFonts w:ascii="Times New Roman" w:hAnsi="Times New Roman" w:cs="Times New Roman"/>
        </w:rPr>
        <w:t>I utilize completion</w:t>
      </w:r>
      <w:r w:rsidR="002C5C50">
        <w:rPr>
          <w:rFonts w:ascii="Times New Roman" w:hAnsi="Times New Roman" w:cs="Times New Roman"/>
        </w:rPr>
        <w:t xml:space="preserve">s award count </w:t>
      </w:r>
      <w:r w:rsidR="004D1E94">
        <w:rPr>
          <w:rFonts w:ascii="Times New Roman" w:hAnsi="Times New Roman" w:cs="Times New Roman"/>
        </w:rPr>
        <w:t xml:space="preserve">data from the Integrated Postsecondary Education Data System </w:t>
      </w:r>
      <w:r w:rsidR="003F6D83">
        <w:rPr>
          <w:rFonts w:ascii="Times New Roman" w:hAnsi="Times New Roman" w:cs="Times New Roman"/>
        </w:rPr>
        <w:t>(IPEDS) from 2000 through 202</w:t>
      </w:r>
      <w:r w:rsidR="002D7625">
        <w:rPr>
          <w:rFonts w:ascii="Times New Roman" w:hAnsi="Times New Roman" w:cs="Times New Roman"/>
        </w:rPr>
        <w:t>2</w:t>
      </w:r>
      <w:r w:rsidR="00B17EC8">
        <w:rPr>
          <w:rFonts w:ascii="Times New Roman" w:hAnsi="Times New Roman" w:cs="Times New Roman"/>
        </w:rPr>
        <w:t xml:space="preserve"> </w:t>
      </w:r>
      <w:r w:rsidR="0098043D">
        <w:rPr>
          <w:rFonts w:ascii="Times New Roman" w:hAnsi="Times New Roman" w:cs="Times New Roman"/>
        </w:rPr>
        <w:t xml:space="preserve">as </w:t>
      </w:r>
      <w:r w:rsidR="008F3F41">
        <w:rPr>
          <w:rFonts w:ascii="Times New Roman" w:hAnsi="Times New Roman" w:cs="Times New Roman"/>
        </w:rPr>
        <w:t>my</w:t>
      </w:r>
      <w:r w:rsidR="0098043D">
        <w:rPr>
          <w:rFonts w:ascii="Times New Roman" w:hAnsi="Times New Roman" w:cs="Times New Roman"/>
        </w:rPr>
        <w:t xml:space="preserve"> outcome variable </w:t>
      </w:r>
      <w:r w:rsidR="008F3F41">
        <w:rPr>
          <w:rFonts w:ascii="Times New Roman" w:hAnsi="Times New Roman" w:cs="Times New Roman"/>
        </w:rPr>
        <w:t>to examine</w:t>
      </w:r>
      <w:r w:rsidR="0098043D">
        <w:rPr>
          <w:rFonts w:ascii="Times New Roman" w:hAnsi="Times New Roman" w:cs="Times New Roman"/>
        </w:rPr>
        <w:t xml:space="preserve"> changes in number of awards produced from sub-baccalaureate programs. I utilize a treatment data set </w:t>
      </w:r>
      <w:r w:rsidR="004D3054">
        <w:rPr>
          <w:rFonts w:ascii="Times New Roman" w:hAnsi="Times New Roman" w:cs="Times New Roman"/>
        </w:rPr>
        <w:t xml:space="preserve">constructed from CollegePromise.org </w:t>
      </w:r>
      <w:r w:rsidR="00C14D1A">
        <w:rPr>
          <w:rFonts w:ascii="Times New Roman" w:hAnsi="Times New Roman" w:cs="Times New Roman"/>
        </w:rPr>
        <w:t xml:space="preserve">as the most </w:t>
      </w:r>
      <w:r w:rsidR="00C96C22">
        <w:rPr>
          <w:rFonts w:ascii="Times New Roman" w:hAnsi="Times New Roman" w:cs="Times New Roman"/>
        </w:rPr>
        <w:t>holistic</w:t>
      </w:r>
      <w:r w:rsidR="00C14D1A">
        <w:rPr>
          <w:rFonts w:ascii="Times New Roman" w:hAnsi="Times New Roman" w:cs="Times New Roman"/>
        </w:rPr>
        <w:t xml:space="preserve"> inventory of college promise programs to date to identify treated units. </w:t>
      </w:r>
      <w:r w:rsidR="00DB4B98">
        <w:rPr>
          <w:rFonts w:ascii="Times New Roman" w:hAnsi="Times New Roman" w:cs="Times New Roman"/>
        </w:rPr>
        <w:t xml:space="preserve">To identify </w:t>
      </w:r>
      <w:r w:rsidR="002222AA">
        <w:rPr>
          <w:rFonts w:ascii="Times New Roman" w:hAnsi="Times New Roman" w:cs="Times New Roman"/>
        </w:rPr>
        <w:t xml:space="preserve">the first </w:t>
      </w:r>
      <w:r w:rsidR="00DB4B98">
        <w:rPr>
          <w:rFonts w:ascii="Times New Roman" w:hAnsi="Times New Roman" w:cs="Times New Roman"/>
        </w:rPr>
        <w:t xml:space="preserve">treatment year of treated units, I independently identified </w:t>
      </w:r>
      <w:r w:rsidR="004A6C6F">
        <w:rPr>
          <w:rFonts w:ascii="Times New Roman" w:hAnsi="Times New Roman" w:cs="Times New Roman"/>
        </w:rPr>
        <w:t xml:space="preserve">the adoption date </w:t>
      </w:r>
      <w:r w:rsidR="00B70A79">
        <w:rPr>
          <w:rFonts w:ascii="Times New Roman" w:hAnsi="Times New Roman" w:cs="Times New Roman"/>
        </w:rPr>
        <w:t xml:space="preserve">of </w:t>
      </w:r>
      <w:r w:rsidR="00D54C97">
        <w:rPr>
          <w:rFonts w:ascii="Times New Roman" w:hAnsi="Times New Roman" w:cs="Times New Roman"/>
        </w:rPr>
        <w:t xml:space="preserve">each promise program through </w:t>
      </w:r>
      <w:r w:rsidR="000044E4">
        <w:rPr>
          <w:rFonts w:ascii="Times New Roman" w:hAnsi="Times New Roman" w:cs="Times New Roman"/>
        </w:rPr>
        <w:t>searching</w:t>
      </w:r>
      <w:r w:rsidR="00B70A79">
        <w:rPr>
          <w:rFonts w:ascii="Times New Roman" w:hAnsi="Times New Roman" w:cs="Times New Roman"/>
        </w:rPr>
        <w:t xml:space="preserve"> institutional</w:t>
      </w:r>
      <w:r w:rsidR="002C1701">
        <w:rPr>
          <w:rFonts w:ascii="Times New Roman" w:hAnsi="Times New Roman" w:cs="Times New Roman"/>
        </w:rPr>
        <w:t xml:space="preserve"> and program press releases and local newspapers reporting on program adoption. </w:t>
      </w:r>
      <w:r w:rsidR="00A81EEA">
        <w:rPr>
          <w:rFonts w:ascii="Times New Roman" w:hAnsi="Times New Roman" w:cs="Times New Roman"/>
        </w:rPr>
        <w:t xml:space="preserve">Later in Chapter 3, I provide further detail on how I constructed </w:t>
      </w:r>
      <w:r w:rsidR="002222AA">
        <w:rPr>
          <w:rFonts w:ascii="Times New Roman" w:hAnsi="Times New Roman" w:cs="Times New Roman"/>
        </w:rPr>
        <w:t>my</w:t>
      </w:r>
      <w:r w:rsidR="00A81EEA">
        <w:rPr>
          <w:rFonts w:ascii="Times New Roman" w:hAnsi="Times New Roman" w:cs="Times New Roman"/>
        </w:rPr>
        <w:t xml:space="preserve"> data set</w:t>
      </w:r>
      <w:r w:rsidR="009969E7">
        <w:rPr>
          <w:rFonts w:ascii="Times New Roman" w:hAnsi="Times New Roman" w:cs="Times New Roman"/>
        </w:rPr>
        <w:t xml:space="preserve"> containing both treatment and outcome data</w:t>
      </w:r>
      <w:r w:rsidR="00A81EEA">
        <w:rPr>
          <w:rFonts w:ascii="Times New Roman" w:hAnsi="Times New Roman" w:cs="Times New Roman"/>
        </w:rPr>
        <w:t xml:space="preserve">. </w:t>
      </w:r>
    </w:p>
    <w:p w14:paraId="63BBF0F2" w14:textId="0A5EEACB" w:rsidR="00B86BF1" w:rsidRDefault="00D00B4D" w:rsidP="00CD45D6">
      <w:pPr>
        <w:tabs>
          <w:tab w:val="left" w:pos="5310"/>
        </w:tabs>
        <w:spacing w:line="480" w:lineRule="auto"/>
        <w:ind w:firstLine="720"/>
        <w:rPr>
          <w:rFonts w:ascii="Times New Roman" w:hAnsi="Times New Roman" w:cs="Times New Roman"/>
        </w:rPr>
      </w:pPr>
      <w:r>
        <w:rPr>
          <w:rFonts w:ascii="Times New Roman" w:hAnsi="Times New Roman" w:cs="Times New Roman"/>
        </w:rPr>
        <w:t>In addition to examining sub-baccalaureate production, I also want to attend to</w:t>
      </w:r>
      <w:r w:rsidR="00E73E9E">
        <w:rPr>
          <w:rFonts w:ascii="Times New Roman" w:hAnsi="Times New Roman" w:cs="Times New Roman"/>
        </w:rPr>
        <w:t xml:space="preserve"> two additional dimensions of interest: program length and academic area of focus. I find </w:t>
      </w:r>
      <w:r w:rsidR="00CC122E">
        <w:rPr>
          <w:rFonts w:ascii="Times New Roman" w:hAnsi="Times New Roman" w:cs="Times New Roman"/>
        </w:rPr>
        <w:lastRenderedPageBreak/>
        <w:t>these issues</w:t>
      </w:r>
      <w:r w:rsidR="00E73E9E">
        <w:rPr>
          <w:rFonts w:ascii="Times New Roman" w:hAnsi="Times New Roman" w:cs="Times New Roman"/>
        </w:rPr>
        <w:t xml:space="preserve"> to be important caveat</w:t>
      </w:r>
      <w:r w:rsidR="00CC122E">
        <w:rPr>
          <w:rFonts w:ascii="Times New Roman" w:hAnsi="Times New Roman" w:cs="Times New Roman"/>
        </w:rPr>
        <w:t>s</w:t>
      </w:r>
      <w:r w:rsidR="00E73E9E">
        <w:rPr>
          <w:rFonts w:ascii="Times New Roman" w:hAnsi="Times New Roman" w:cs="Times New Roman"/>
        </w:rPr>
        <w:t xml:space="preserve"> to </w:t>
      </w:r>
      <w:r w:rsidR="00CC122E">
        <w:rPr>
          <w:rFonts w:ascii="Times New Roman" w:hAnsi="Times New Roman" w:cs="Times New Roman"/>
        </w:rPr>
        <w:t xml:space="preserve">include in my study due to the aforementioned issues with student substitution behavior in postsecondary education choice. In regards the program length, it is important to understand </w:t>
      </w:r>
      <w:r w:rsidR="00617B04">
        <w:rPr>
          <w:rFonts w:ascii="Times New Roman" w:hAnsi="Times New Roman" w:cs="Times New Roman"/>
        </w:rPr>
        <w:t xml:space="preserve">and </w:t>
      </w:r>
      <w:r w:rsidR="00CC122E">
        <w:rPr>
          <w:rFonts w:ascii="Times New Roman" w:hAnsi="Times New Roman" w:cs="Times New Roman"/>
        </w:rPr>
        <w:t>assess for effects on both credentials and two-year degrees</w:t>
      </w:r>
      <w:r w:rsidR="00A72939">
        <w:rPr>
          <w:rFonts w:ascii="Times New Roman" w:hAnsi="Times New Roman" w:cs="Times New Roman"/>
        </w:rPr>
        <w:t xml:space="preserve"> separately</w:t>
      </w:r>
      <w:r w:rsidR="00CC122E">
        <w:rPr>
          <w:rFonts w:ascii="Times New Roman" w:hAnsi="Times New Roman" w:cs="Times New Roman"/>
        </w:rPr>
        <w:t xml:space="preserve"> to understand if when a path to a </w:t>
      </w:r>
      <w:r w:rsidR="00BC6B9F">
        <w:rPr>
          <w:rFonts w:ascii="Times New Roman" w:hAnsi="Times New Roman" w:cs="Times New Roman"/>
        </w:rPr>
        <w:t xml:space="preserve">free two-year degree becomes available, credential program completions </w:t>
      </w:r>
      <w:r w:rsidR="00A72939">
        <w:rPr>
          <w:rFonts w:ascii="Times New Roman" w:hAnsi="Times New Roman" w:cs="Times New Roman"/>
        </w:rPr>
        <w:t>are influenced</w:t>
      </w:r>
      <w:r w:rsidR="00BC6B9F">
        <w:rPr>
          <w:rFonts w:ascii="Times New Roman" w:hAnsi="Times New Roman" w:cs="Times New Roman"/>
        </w:rPr>
        <w:t xml:space="preserve">. </w:t>
      </w:r>
      <w:r w:rsidR="00CE329E">
        <w:rPr>
          <w:rFonts w:ascii="Times New Roman" w:hAnsi="Times New Roman" w:cs="Times New Roman"/>
        </w:rPr>
        <w:t>In regard to</w:t>
      </w:r>
      <w:r w:rsidR="00BC6B9F">
        <w:rPr>
          <w:rFonts w:ascii="Times New Roman" w:hAnsi="Times New Roman" w:cs="Times New Roman"/>
        </w:rPr>
        <w:t xml:space="preserve"> program area of focus, it is important to understand if students </w:t>
      </w:r>
      <w:r w:rsidR="00924518">
        <w:rPr>
          <w:rFonts w:ascii="Times New Roman" w:hAnsi="Times New Roman" w:cs="Times New Roman"/>
        </w:rPr>
        <w:t>adjust their courses of study when presented with free college programs</w:t>
      </w:r>
      <w:r w:rsidR="00CE329E">
        <w:rPr>
          <w:rFonts w:ascii="Times New Roman" w:hAnsi="Times New Roman" w:cs="Times New Roman"/>
        </w:rPr>
        <w:t xml:space="preserve">. Thus, including these two dimensions help me to better understand how free college programs affect sub-baccalaureate completions beyond a simple measure if they effect the number of awards produced as a single aggregate. </w:t>
      </w:r>
    </w:p>
    <w:p w14:paraId="0D3F9311" w14:textId="77ABDDBA" w:rsidR="00C305BE" w:rsidRPr="003C6DFC" w:rsidRDefault="00C305BE" w:rsidP="00CD45D6">
      <w:pPr>
        <w:pStyle w:val="Heading2"/>
        <w:spacing w:before="0" w:after="0"/>
      </w:pPr>
      <w:bookmarkStart w:id="7" w:name="_Toc183282252"/>
      <w:r w:rsidRPr="003C6DFC">
        <w:t>Research Questions</w:t>
      </w:r>
      <w:bookmarkEnd w:id="7"/>
      <w:r w:rsidRPr="003C6DFC">
        <w:t xml:space="preserve"> </w:t>
      </w:r>
    </w:p>
    <w:p w14:paraId="6C154D12" w14:textId="77777777" w:rsidR="0093008C" w:rsidRPr="00C67213" w:rsidRDefault="0093008C" w:rsidP="00CD45D6">
      <w:pPr>
        <w:spacing w:line="480" w:lineRule="auto"/>
        <w:rPr>
          <w:rFonts w:ascii="Times New Roman" w:hAnsi="Times New Roman" w:cs="Times New Roman"/>
        </w:rPr>
      </w:pPr>
      <w:r w:rsidRPr="003C6DFC">
        <w:rPr>
          <w:rFonts w:ascii="Times New Roman" w:hAnsi="Times New Roman" w:cs="Times New Roman"/>
        </w:rPr>
        <w:t xml:space="preserve">The research </w:t>
      </w:r>
      <w:r w:rsidRPr="00C67213">
        <w:rPr>
          <w:rFonts w:ascii="Times New Roman" w:hAnsi="Times New Roman" w:cs="Times New Roman"/>
        </w:rPr>
        <w:t xml:space="preserve">questions of this study are: </w:t>
      </w:r>
    </w:p>
    <w:p w14:paraId="64301055" w14:textId="6B881026" w:rsidR="004248E5" w:rsidRPr="00FC1407" w:rsidRDefault="004248E5" w:rsidP="00CD45D6">
      <w:pPr>
        <w:pStyle w:val="ListParagraph"/>
        <w:numPr>
          <w:ilvl w:val="0"/>
          <w:numId w:val="31"/>
        </w:numPr>
        <w:rPr>
          <w:rFonts w:ascii="Times New Roman" w:hAnsi="Times New Roman" w:cs="Times New Roman"/>
        </w:rPr>
      </w:pPr>
      <w:r w:rsidRPr="00FC1407">
        <w:rPr>
          <w:rFonts w:ascii="Times New Roman" w:eastAsiaTheme="minorEastAsia" w:hAnsi="Times New Roman" w:cs="Times New Roman"/>
        </w:rPr>
        <w:t xml:space="preserve">What effect does the adoption of a free college program have on postsecondary program completions by program length </w:t>
      </w:r>
      <w:r w:rsidR="001125A5">
        <w:rPr>
          <w:rFonts w:ascii="Times New Roman" w:eastAsiaTheme="minorEastAsia" w:hAnsi="Times New Roman" w:cs="Times New Roman"/>
        </w:rPr>
        <w:t>(</w:t>
      </w:r>
      <w:r w:rsidRPr="00FC1407">
        <w:rPr>
          <w:rFonts w:ascii="Times New Roman" w:eastAsiaTheme="minorEastAsia" w:hAnsi="Times New Roman" w:cs="Times New Roman"/>
        </w:rPr>
        <w:t xml:space="preserve">less than 1 year, 1 year to 2 years, and 2 years)? </w:t>
      </w:r>
    </w:p>
    <w:p w14:paraId="4C705A28" w14:textId="5C00C854" w:rsidR="00C305BE" w:rsidRPr="00FC1407" w:rsidRDefault="00BE0496" w:rsidP="00CD45D6">
      <w:pPr>
        <w:pStyle w:val="ListParagraph"/>
        <w:numPr>
          <w:ilvl w:val="0"/>
          <w:numId w:val="31"/>
        </w:numPr>
        <w:rPr>
          <w:rFonts w:ascii="Times New Roman" w:hAnsi="Times New Roman" w:cs="Times New Roman"/>
        </w:rPr>
      </w:pPr>
      <w:r w:rsidRPr="00FC1407">
        <w:rPr>
          <w:rFonts w:ascii="Times New Roman" w:eastAsiaTheme="minorEastAsia" w:hAnsi="Times New Roman" w:cs="Times New Roman"/>
        </w:rPr>
        <w:t>What effect does the adoption of a free college program have on postsecondary program completions by program’s academic focus?</w:t>
      </w:r>
    </w:p>
    <w:p w14:paraId="2EE1AFA3" w14:textId="306D613C" w:rsidR="00263D93" w:rsidRDefault="00651D9D" w:rsidP="00CD45D6">
      <w:pPr>
        <w:pStyle w:val="Heading2"/>
        <w:spacing w:before="0" w:after="0"/>
      </w:pPr>
      <w:bookmarkStart w:id="8" w:name="_Toc183282253"/>
      <w:r w:rsidRPr="003C6DFC">
        <w:t>Significance of the Study</w:t>
      </w:r>
      <w:bookmarkEnd w:id="8"/>
    </w:p>
    <w:p w14:paraId="50CE54D6" w14:textId="30F5302A" w:rsidR="008A69EF" w:rsidRDefault="00870432" w:rsidP="00CD45D6">
      <w:pPr>
        <w:spacing w:line="480" w:lineRule="auto"/>
        <w:rPr>
          <w:rFonts w:ascii="Times New Roman" w:hAnsi="Times New Roman" w:cs="Times New Roman"/>
        </w:rPr>
      </w:pPr>
      <w:r>
        <w:tab/>
      </w:r>
      <w:r w:rsidR="00BE0970">
        <w:rPr>
          <w:rFonts w:ascii="Times New Roman" w:hAnsi="Times New Roman" w:cs="Times New Roman"/>
        </w:rPr>
        <w:t>While promise program research has been an area of active research</w:t>
      </w:r>
      <w:r w:rsidR="00DD30DB">
        <w:rPr>
          <w:rFonts w:ascii="Times New Roman" w:hAnsi="Times New Roman" w:cs="Times New Roman"/>
        </w:rPr>
        <w:t xml:space="preserve">, there has yet to be a national level estimate </w:t>
      </w:r>
      <w:r w:rsidR="008A6168">
        <w:rPr>
          <w:rFonts w:ascii="Times New Roman" w:hAnsi="Times New Roman" w:cs="Times New Roman"/>
        </w:rPr>
        <w:t>of the effect of promise program adoption o</w:t>
      </w:r>
      <w:r w:rsidR="00AC058C">
        <w:rPr>
          <w:rFonts w:ascii="Times New Roman" w:hAnsi="Times New Roman" w:cs="Times New Roman"/>
        </w:rPr>
        <w:t xml:space="preserve">n program completions. </w:t>
      </w:r>
      <w:r w:rsidR="005366BD">
        <w:rPr>
          <w:rFonts w:ascii="Times New Roman" w:hAnsi="Times New Roman" w:cs="Times New Roman"/>
        </w:rPr>
        <w:t xml:space="preserve">The lack of </w:t>
      </w:r>
      <w:r w:rsidR="00A44953">
        <w:rPr>
          <w:rFonts w:ascii="Times New Roman" w:hAnsi="Times New Roman" w:cs="Times New Roman"/>
        </w:rPr>
        <w:t>this</w:t>
      </w:r>
      <w:r w:rsidR="005366BD">
        <w:rPr>
          <w:rFonts w:ascii="Times New Roman" w:hAnsi="Times New Roman" w:cs="Times New Roman"/>
        </w:rPr>
        <w:t xml:space="preserve"> type of </w:t>
      </w:r>
      <w:r w:rsidR="00A44953">
        <w:rPr>
          <w:rFonts w:ascii="Times New Roman" w:hAnsi="Times New Roman" w:cs="Times New Roman"/>
        </w:rPr>
        <w:t>study</w:t>
      </w:r>
      <w:r w:rsidR="005366BD">
        <w:rPr>
          <w:rFonts w:ascii="Times New Roman" w:hAnsi="Times New Roman" w:cs="Times New Roman"/>
        </w:rPr>
        <w:t xml:space="preserve"> is likely in part due to promise programs being implemented (i.e., treatment </w:t>
      </w:r>
      <w:r w:rsidR="004A3BCF">
        <w:rPr>
          <w:rFonts w:ascii="Times New Roman" w:hAnsi="Times New Roman" w:cs="Times New Roman"/>
        </w:rPr>
        <w:t>turning on)</w:t>
      </w:r>
      <w:r w:rsidR="005366BD">
        <w:rPr>
          <w:rFonts w:ascii="Times New Roman" w:hAnsi="Times New Roman" w:cs="Times New Roman"/>
        </w:rPr>
        <w:t xml:space="preserve"> </w:t>
      </w:r>
      <w:r w:rsidR="002003F6">
        <w:rPr>
          <w:rFonts w:ascii="Times New Roman" w:hAnsi="Times New Roman" w:cs="Times New Roman"/>
        </w:rPr>
        <w:t xml:space="preserve">at different times and colleges having </w:t>
      </w:r>
      <w:r w:rsidR="002003F6">
        <w:rPr>
          <w:rFonts w:ascii="Times New Roman" w:hAnsi="Times New Roman" w:cs="Times New Roman"/>
        </w:rPr>
        <w:lastRenderedPageBreak/>
        <w:t>different unit-specific time trends as treated and non-treated units.</w:t>
      </w:r>
      <w:r w:rsidR="00144CCD">
        <w:rPr>
          <w:rFonts w:ascii="Times New Roman" w:hAnsi="Times New Roman" w:cs="Times New Roman"/>
        </w:rPr>
        <w:t xml:space="preserve"> However, recent advances in difference-in-difference designs have allowed fo</w:t>
      </w:r>
      <w:r w:rsidR="00BC2AF5">
        <w:rPr>
          <w:rFonts w:ascii="Times New Roman" w:hAnsi="Times New Roman" w:cs="Times New Roman"/>
        </w:rPr>
        <w:t xml:space="preserve">r projects </w:t>
      </w:r>
      <w:r w:rsidR="000200F4">
        <w:rPr>
          <w:rFonts w:ascii="Times New Roman" w:hAnsi="Times New Roman" w:cs="Times New Roman"/>
        </w:rPr>
        <w:t>to investigate</w:t>
      </w:r>
      <w:r w:rsidR="00BC2AF5">
        <w:rPr>
          <w:rFonts w:ascii="Times New Roman" w:hAnsi="Times New Roman" w:cs="Times New Roman"/>
        </w:rPr>
        <w:t xml:space="preserve"> heterogenous treatment adoption </w:t>
      </w:r>
      <w:r w:rsidR="00FC30CB">
        <w:rPr>
          <w:rFonts w:ascii="Times New Roman" w:hAnsi="Times New Roman" w:cs="Times New Roman"/>
        </w:rPr>
        <w:t xml:space="preserve">and unit-specific time trends. </w:t>
      </w:r>
    </w:p>
    <w:p w14:paraId="43386C7B" w14:textId="18490BDB" w:rsidR="00417286" w:rsidRDefault="009E10A6" w:rsidP="00CD45D6">
      <w:pPr>
        <w:spacing w:line="480" w:lineRule="auto"/>
        <w:rPr>
          <w:rFonts w:ascii="Times New Roman" w:hAnsi="Times New Roman" w:cs="Times New Roman"/>
        </w:rPr>
      </w:pPr>
      <w:r>
        <w:rPr>
          <w:rFonts w:ascii="Times New Roman" w:hAnsi="Times New Roman" w:cs="Times New Roman"/>
        </w:rPr>
        <w:tab/>
      </w:r>
      <w:r w:rsidR="009E498A">
        <w:rPr>
          <w:rFonts w:ascii="Times New Roman" w:hAnsi="Times New Roman" w:cs="Times New Roman"/>
        </w:rPr>
        <w:t xml:space="preserve">This study will utilize </w:t>
      </w:r>
      <w:r w:rsidR="007B2CE4">
        <w:rPr>
          <w:rFonts w:ascii="Times New Roman" w:hAnsi="Times New Roman" w:cs="Times New Roman"/>
        </w:rPr>
        <w:t xml:space="preserve">these recent advancements </w:t>
      </w:r>
      <w:r w:rsidR="00A44953">
        <w:rPr>
          <w:rFonts w:ascii="Times New Roman" w:hAnsi="Times New Roman" w:cs="Times New Roman"/>
        </w:rPr>
        <w:t xml:space="preserve">in </w:t>
      </w:r>
      <w:r w:rsidR="009E498A">
        <w:rPr>
          <w:rFonts w:ascii="Times New Roman" w:hAnsi="Times New Roman" w:cs="Times New Roman"/>
        </w:rPr>
        <w:t>staggered difference-in-difference design</w:t>
      </w:r>
      <w:r w:rsidR="007B2CE4">
        <w:rPr>
          <w:rFonts w:ascii="Times New Roman" w:hAnsi="Times New Roman" w:cs="Times New Roman"/>
        </w:rPr>
        <w:t>s</w:t>
      </w:r>
      <w:r w:rsidR="009E498A">
        <w:rPr>
          <w:rFonts w:ascii="Times New Roman" w:hAnsi="Times New Roman" w:cs="Times New Roman"/>
        </w:rPr>
        <w:t xml:space="preserve"> </w:t>
      </w:r>
      <w:r w:rsidR="007B2CE4">
        <w:rPr>
          <w:rFonts w:ascii="Times New Roman" w:hAnsi="Times New Roman" w:cs="Times New Roman"/>
        </w:rPr>
        <w:t xml:space="preserve">to account for these data concerns. This approach will allow me to provide a national estimate </w:t>
      </w:r>
      <w:r w:rsidR="00F75E51">
        <w:rPr>
          <w:rFonts w:ascii="Times New Roman" w:hAnsi="Times New Roman" w:cs="Times New Roman"/>
        </w:rPr>
        <w:t>on</w:t>
      </w:r>
      <w:r w:rsidR="007B2CE4">
        <w:rPr>
          <w:rFonts w:ascii="Times New Roman" w:hAnsi="Times New Roman" w:cs="Times New Roman"/>
        </w:rPr>
        <w:t xml:space="preserve"> </w:t>
      </w:r>
      <w:r w:rsidR="001F1B8F">
        <w:rPr>
          <w:rFonts w:ascii="Times New Roman" w:hAnsi="Times New Roman" w:cs="Times New Roman"/>
        </w:rPr>
        <w:t xml:space="preserve">the effect of promise program adoption on completion counts for sub-baccalaureate awards. This </w:t>
      </w:r>
      <w:r w:rsidR="00990EC8">
        <w:rPr>
          <w:rFonts w:ascii="Times New Roman" w:hAnsi="Times New Roman" w:cs="Times New Roman"/>
        </w:rPr>
        <w:t xml:space="preserve">estimate will offer considerable utility to both policymakers and institutional leaders. </w:t>
      </w:r>
    </w:p>
    <w:p w14:paraId="48DADFE2" w14:textId="15E199FD" w:rsidR="00CF1895" w:rsidRDefault="00187D60" w:rsidP="00CD45D6">
      <w:pPr>
        <w:spacing w:line="480" w:lineRule="auto"/>
        <w:ind w:firstLine="720"/>
        <w:rPr>
          <w:rFonts w:ascii="Times New Roman" w:hAnsi="Times New Roman" w:cs="Times New Roman"/>
        </w:rPr>
      </w:pPr>
      <w:r>
        <w:rPr>
          <w:rFonts w:ascii="Times New Roman" w:hAnsi="Times New Roman" w:cs="Times New Roman"/>
        </w:rPr>
        <w:t xml:space="preserve">This is because despite these programs </w:t>
      </w:r>
      <w:r w:rsidR="0087224C">
        <w:rPr>
          <w:rFonts w:ascii="Times New Roman" w:hAnsi="Times New Roman" w:cs="Times New Roman"/>
        </w:rPr>
        <w:t>being billed as free college programs</w:t>
      </w:r>
      <w:r>
        <w:rPr>
          <w:rFonts w:ascii="Times New Roman" w:hAnsi="Times New Roman" w:cs="Times New Roman"/>
        </w:rPr>
        <w:t xml:space="preserve">, these programs are not free to run. </w:t>
      </w:r>
      <w:r w:rsidR="00417286">
        <w:rPr>
          <w:rFonts w:ascii="Times New Roman" w:hAnsi="Times New Roman" w:cs="Times New Roman"/>
        </w:rPr>
        <w:t xml:space="preserve">When a college, institutional system, or </w:t>
      </w:r>
      <w:r w:rsidR="0048269C">
        <w:rPr>
          <w:rFonts w:ascii="Times New Roman" w:hAnsi="Times New Roman" w:cs="Times New Roman"/>
        </w:rPr>
        <w:t xml:space="preserve">state sector of higher education adopts free college for students, the cost </w:t>
      </w:r>
      <w:r w:rsidR="005842A1">
        <w:rPr>
          <w:rFonts w:ascii="Times New Roman" w:hAnsi="Times New Roman" w:cs="Times New Roman"/>
        </w:rPr>
        <w:t xml:space="preserve">of their education </w:t>
      </w:r>
      <w:r w:rsidR="0048269C">
        <w:rPr>
          <w:rFonts w:ascii="Times New Roman" w:hAnsi="Times New Roman" w:cs="Times New Roman"/>
        </w:rPr>
        <w:t xml:space="preserve">is </w:t>
      </w:r>
      <w:r w:rsidR="005842A1">
        <w:rPr>
          <w:rFonts w:ascii="Times New Roman" w:hAnsi="Times New Roman" w:cs="Times New Roman"/>
        </w:rPr>
        <w:t>effectively off boarded</w:t>
      </w:r>
      <w:r w:rsidR="0048269C">
        <w:rPr>
          <w:rFonts w:ascii="Times New Roman" w:hAnsi="Times New Roman" w:cs="Times New Roman"/>
        </w:rPr>
        <w:t xml:space="preserve"> to another entity. For example, the Kalamazoo Promise </w:t>
      </w:r>
      <w:r w:rsidR="003664B2">
        <w:rPr>
          <w:rFonts w:ascii="Times New Roman" w:hAnsi="Times New Roman" w:cs="Times New Roman"/>
        </w:rPr>
        <w:t xml:space="preserve">does this through a fund started by anonymous donors </w:t>
      </w:r>
      <w:r w:rsidR="00F74E97">
        <w:rPr>
          <w:rFonts w:ascii="Times New Roman" w:hAnsi="Times New Roman" w:cs="Times New Roman"/>
        </w:rPr>
        <w:t xml:space="preserve">while </w:t>
      </w:r>
      <w:r w:rsidR="0048269C">
        <w:rPr>
          <w:rFonts w:ascii="Times New Roman" w:hAnsi="Times New Roman" w:cs="Times New Roman"/>
        </w:rPr>
        <w:t xml:space="preserve">Tennessee Promise </w:t>
      </w:r>
      <w:r w:rsidR="003664B2">
        <w:rPr>
          <w:rFonts w:ascii="Times New Roman" w:hAnsi="Times New Roman" w:cs="Times New Roman"/>
        </w:rPr>
        <w:t>covers costs through</w:t>
      </w:r>
      <w:r w:rsidR="00720B84">
        <w:rPr>
          <w:rFonts w:ascii="Times New Roman" w:hAnsi="Times New Roman" w:cs="Times New Roman"/>
        </w:rPr>
        <w:t xml:space="preserve"> </w:t>
      </w:r>
      <w:r w:rsidR="003664B2">
        <w:rPr>
          <w:rFonts w:ascii="Times New Roman" w:hAnsi="Times New Roman" w:cs="Times New Roman"/>
        </w:rPr>
        <w:t xml:space="preserve">a combination </w:t>
      </w:r>
      <w:r w:rsidR="00A44953">
        <w:rPr>
          <w:rFonts w:ascii="Times New Roman" w:hAnsi="Times New Roman" w:cs="Times New Roman"/>
        </w:rPr>
        <w:t xml:space="preserve">of </w:t>
      </w:r>
      <w:r w:rsidR="003664B2">
        <w:rPr>
          <w:rFonts w:ascii="Times New Roman" w:hAnsi="Times New Roman" w:cs="Times New Roman"/>
        </w:rPr>
        <w:t xml:space="preserve">federally awarded aid such as Pell grants and </w:t>
      </w:r>
      <w:r w:rsidR="005757C0">
        <w:rPr>
          <w:rFonts w:ascii="Times New Roman" w:hAnsi="Times New Roman" w:cs="Times New Roman"/>
        </w:rPr>
        <w:t xml:space="preserve">funds generated through a state lottery. </w:t>
      </w:r>
    </w:p>
    <w:p w14:paraId="55A37C63" w14:textId="3B11901B" w:rsidR="0005075B" w:rsidRDefault="006879E0" w:rsidP="00CD45D6">
      <w:pPr>
        <w:spacing w:line="480" w:lineRule="auto"/>
        <w:ind w:firstLine="720"/>
        <w:rPr>
          <w:rFonts w:ascii="Times New Roman" w:hAnsi="Times New Roman" w:cs="Times New Roman"/>
        </w:rPr>
      </w:pPr>
      <w:r>
        <w:rPr>
          <w:rFonts w:ascii="Times New Roman" w:hAnsi="Times New Roman" w:cs="Times New Roman"/>
        </w:rPr>
        <w:t>W</w:t>
      </w:r>
      <w:r w:rsidR="0086417B">
        <w:rPr>
          <w:rFonts w:ascii="Times New Roman" w:hAnsi="Times New Roman" w:cs="Times New Roman"/>
        </w:rPr>
        <w:t>hen promise programs were newly emerging</w:t>
      </w:r>
      <w:r>
        <w:rPr>
          <w:rFonts w:ascii="Times New Roman" w:hAnsi="Times New Roman" w:cs="Times New Roman"/>
        </w:rPr>
        <w:t>, it was difficult to know how free college might affect student outcomes</w:t>
      </w:r>
      <w:r w:rsidR="00651862">
        <w:rPr>
          <w:rFonts w:ascii="Times New Roman" w:hAnsi="Times New Roman" w:cs="Times New Roman"/>
        </w:rPr>
        <w:t>.</w:t>
      </w:r>
      <w:r w:rsidR="00963D64">
        <w:rPr>
          <w:rFonts w:ascii="Times New Roman" w:hAnsi="Times New Roman" w:cs="Times New Roman"/>
        </w:rPr>
        <w:t xml:space="preserve"> Currently</w:t>
      </w:r>
      <w:r w:rsidR="00287079">
        <w:rPr>
          <w:rFonts w:ascii="Times New Roman" w:hAnsi="Times New Roman" w:cs="Times New Roman"/>
        </w:rPr>
        <w:t xml:space="preserve">, </w:t>
      </w:r>
      <w:r w:rsidR="00E92356">
        <w:rPr>
          <w:rFonts w:ascii="Times New Roman" w:hAnsi="Times New Roman" w:cs="Times New Roman"/>
        </w:rPr>
        <w:t>the possibility of finding an estimate</w:t>
      </w:r>
      <w:r w:rsidR="00963D64">
        <w:rPr>
          <w:rFonts w:ascii="Times New Roman" w:hAnsi="Times New Roman" w:cs="Times New Roman"/>
        </w:rPr>
        <w:t xml:space="preserve"> would be useful to leaders in postsecondary education where this knowledge</w:t>
      </w:r>
      <w:r w:rsidR="00E92356">
        <w:rPr>
          <w:rFonts w:ascii="Times New Roman" w:hAnsi="Times New Roman" w:cs="Times New Roman"/>
        </w:rPr>
        <w:t xml:space="preserve"> could be utilized </w:t>
      </w:r>
      <w:r w:rsidR="003F3BCF">
        <w:rPr>
          <w:rFonts w:ascii="Times New Roman" w:hAnsi="Times New Roman" w:cs="Times New Roman"/>
        </w:rPr>
        <w:t xml:space="preserve">by </w:t>
      </w:r>
      <w:r w:rsidR="00E92356">
        <w:rPr>
          <w:rFonts w:ascii="Times New Roman" w:hAnsi="Times New Roman" w:cs="Times New Roman"/>
        </w:rPr>
        <w:t xml:space="preserve">communities, states, and the nation </w:t>
      </w:r>
      <w:r w:rsidR="003F3BCF">
        <w:rPr>
          <w:rFonts w:ascii="Times New Roman" w:hAnsi="Times New Roman" w:cs="Times New Roman"/>
        </w:rPr>
        <w:t xml:space="preserve">as </w:t>
      </w:r>
      <w:r w:rsidR="00C85EBC">
        <w:rPr>
          <w:rFonts w:ascii="Times New Roman" w:hAnsi="Times New Roman" w:cs="Times New Roman"/>
        </w:rPr>
        <w:t>leaders</w:t>
      </w:r>
      <w:r w:rsidR="00E92356">
        <w:rPr>
          <w:rFonts w:ascii="Times New Roman" w:hAnsi="Times New Roman" w:cs="Times New Roman"/>
        </w:rPr>
        <w:t xml:space="preserve"> consider the benefits and costs of adopting </w:t>
      </w:r>
      <w:r w:rsidR="001D6D22">
        <w:rPr>
          <w:rFonts w:ascii="Times New Roman" w:hAnsi="Times New Roman" w:cs="Times New Roman"/>
        </w:rPr>
        <w:t xml:space="preserve">a free college program. </w:t>
      </w:r>
      <w:r w:rsidR="00CF1895">
        <w:rPr>
          <w:rFonts w:ascii="Times New Roman" w:hAnsi="Times New Roman" w:cs="Times New Roman"/>
        </w:rPr>
        <w:t>This is of increased importance as promise programs continue to proliferate</w:t>
      </w:r>
      <w:r w:rsidR="006B62BD">
        <w:rPr>
          <w:rFonts w:ascii="Times New Roman" w:hAnsi="Times New Roman" w:cs="Times New Roman"/>
        </w:rPr>
        <w:t xml:space="preserve"> with </w:t>
      </w:r>
      <w:r w:rsidR="000760C0">
        <w:rPr>
          <w:rFonts w:ascii="Times New Roman" w:hAnsi="Times New Roman" w:cs="Times New Roman"/>
        </w:rPr>
        <w:t xml:space="preserve">83 percent of promise programs </w:t>
      </w:r>
      <w:r w:rsidR="00EC1B68">
        <w:rPr>
          <w:rFonts w:ascii="Times New Roman" w:hAnsi="Times New Roman" w:cs="Times New Roman"/>
        </w:rPr>
        <w:t>identified</w:t>
      </w:r>
      <w:r w:rsidR="000760C0">
        <w:rPr>
          <w:rFonts w:ascii="Times New Roman" w:hAnsi="Times New Roman" w:cs="Times New Roman"/>
        </w:rPr>
        <w:t xml:space="preserve"> for inclusion of this study being started </w:t>
      </w:r>
      <w:r w:rsidR="00EC1B68">
        <w:rPr>
          <w:rFonts w:ascii="Times New Roman" w:hAnsi="Times New Roman" w:cs="Times New Roman"/>
        </w:rPr>
        <w:t>during or after</w:t>
      </w:r>
      <w:r w:rsidR="00AC5A27">
        <w:rPr>
          <w:rFonts w:ascii="Times New Roman" w:hAnsi="Times New Roman" w:cs="Times New Roman"/>
        </w:rPr>
        <w:t xml:space="preserve"> 2015</w:t>
      </w:r>
      <w:r w:rsidR="00E6785E">
        <w:rPr>
          <w:rFonts w:ascii="Times New Roman" w:hAnsi="Times New Roman" w:cs="Times New Roman"/>
        </w:rPr>
        <w:t xml:space="preserve">. </w:t>
      </w:r>
    </w:p>
    <w:p w14:paraId="30CF1A0D" w14:textId="525B81C3" w:rsidR="00DE649A" w:rsidRDefault="00D00313" w:rsidP="00CD45D6">
      <w:pPr>
        <w:spacing w:line="480" w:lineRule="auto"/>
        <w:ind w:firstLine="720"/>
        <w:rPr>
          <w:rFonts w:ascii="Times New Roman" w:hAnsi="Times New Roman" w:cs="Times New Roman"/>
        </w:rPr>
      </w:pPr>
      <w:r>
        <w:rPr>
          <w:rFonts w:ascii="Times New Roman" w:hAnsi="Times New Roman" w:cs="Times New Roman"/>
        </w:rPr>
        <w:lastRenderedPageBreak/>
        <w:t>Using the sample identified for this study, I identified</w:t>
      </w:r>
      <w:r w:rsidR="00E6785E">
        <w:rPr>
          <w:rFonts w:ascii="Times New Roman" w:hAnsi="Times New Roman" w:cs="Times New Roman"/>
        </w:rPr>
        <w:t xml:space="preserve"> 73</w:t>
      </w:r>
      <w:r>
        <w:rPr>
          <w:rFonts w:ascii="Times New Roman" w:hAnsi="Times New Roman" w:cs="Times New Roman"/>
        </w:rPr>
        <w:t xml:space="preserve"> operating</w:t>
      </w:r>
      <w:r w:rsidR="00264E0E">
        <w:rPr>
          <w:rFonts w:ascii="Times New Roman" w:hAnsi="Times New Roman" w:cs="Times New Roman"/>
        </w:rPr>
        <w:t xml:space="preserve"> promise programs</w:t>
      </w:r>
      <w:r>
        <w:rPr>
          <w:rFonts w:ascii="Times New Roman" w:hAnsi="Times New Roman" w:cs="Times New Roman"/>
        </w:rPr>
        <w:t xml:space="preserve"> in 2015</w:t>
      </w:r>
      <w:r w:rsidR="00C14F47">
        <w:rPr>
          <w:rFonts w:ascii="Times New Roman" w:hAnsi="Times New Roman" w:cs="Times New Roman"/>
        </w:rPr>
        <w:t xml:space="preserve">, the year that Tennessee launched its state-wide promise program </w:t>
      </w:r>
      <w:r w:rsidR="005E3420">
        <w:rPr>
          <w:rFonts w:ascii="Times New Roman" w:hAnsi="Times New Roman" w:cs="Times New Roman"/>
        </w:rPr>
        <w:t xml:space="preserve">and promise programs became </w:t>
      </w:r>
      <w:r w:rsidR="009969E7">
        <w:rPr>
          <w:rFonts w:ascii="Times New Roman" w:hAnsi="Times New Roman" w:cs="Times New Roman"/>
        </w:rPr>
        <w:t xml:space="preserve">a regularly </w:t>
      </w:r>
      <w:r w:rsidR="00C1632D">
        <w:rPr>
          <w:rFonts w:ascii="Times New Roman" w:hAnsi="Times New Roman" w:cs="Times New Roman"/>
        </w:rPr>
        <w:t>reoccurring federal</w:t>
      </w:r>
      <w:r w:rsidR="005E3420">
        <w:rPr>
          <w:rFonts w:ascii="Times New Roman" w:hAnsi="Times New Roman" w:cs="Times New Roman"/>
        </w:rPr>
        <w:t xml:space="preserve"> education policy issue of interest. </w:t>
      </w:r>
      <w:r w:rsidR="004F7E2F">
        <w:rPr>
          <w:rFonts w:ascii="Times New Roman" w:hAnsi="Times New Roman" w:cs="Times New Roman"/>
        </w:rPr>
        <w:t xml:space="preserve">Presently, </w:t>
      </w:r>
      <w:r w:rsidR="005C1657">
        <w:rPr>
          <w:rFonts w:ascii="Times New Roman" w:hAnsi="Times New Roman" w:cs="Times New Roman"/>
        </w:rPr>
        <w:t>I identified 449 promise programs for my sample that were in operation as of 2022</w:t>
      </w:r>
      <w:r w:rsidR="004F7E2F" w:rsidRPr="004F7E2F">
        <w:rPr>
          <w:rFonts w:ascii="Times New Roman" w:hAnsi="Times New Roman" w:cs="Times New Roman"/>
        </w:rPr>
        <w:t xml:space="preserve"> </w:t>
      </w:r>
      <w:r w:rsidR="004F7E2F">
        <w:rPr>
          <w:rFonts w:ascii="Times New Roman" w:hAnsi="Times New Roman" w:cs="Times New Roman"/>
        </w:rPr>
        <w:t>for this study</w:t>
      </w:r>
      <w:r w:rsidR="005C1657">
        <w:rPr>
          <w:rFonts w:ascii="Times New Roman" w:hAnsi="Times New Roman" w:cs="Times New Roman"/>
        </w:rPr>
        <w:t xml:space="preserve">. </w:t>
      </w:r>
      <w:r w:rsidR="00B04826">
        <w:rPr>
          <w:rFonts w:ascii="Times New Roman" w:hAnsi="Times New Roman" w:cs="Times New Roman"/>
        </w:rPr>
        <w:t xml:space="preserve">This represents </w:t>
      </w:r>
      <w:r w:rsidR="006F39B3">
        <w:rPr>
          <w:rFonts w:ascii="Times New Roman" w:hAnsi="Times New Roman" w:cs="Times New Roman"/>
        </w:rPr>
        <w:t xml:space="preserve">approximately a </w:t>
      </w:r>
      <w:r w:rsidR="00B04826">
        <w:rPr>
          <w:rFonts w:ascii="Times New Roman" w:hAnsi="Times New Roman" w:cs="Times New Roman"/>
        </w:rPr>
        <w:t xml:space="preserve">615% increase </w:t>
      </w:r>
      <w:r w:rsidR="00906C47">
        <w:rPr>
          <w:rFonts w:ascii="Times New Roman" w:hAnsi="Times New Roman" w:cs="Times New Roman"/>
        </w:rPr>
        <w:t xml:space="preserve">in </w:t>
      </w:r>
      <w:r w:rsidR="00B04826">
        <w:rPr>
          <w:rFonts w:ascii="Times New Roman" w:hAnsi="Times New Roman" w:cs="Times New Roman"/>
        </w:rPr>
        <w:t xml:space="preserve">the number of operating promise programs </w:t>
      </w:r>
      <w:r w:rsidR="008E13E4">
        <w:rPr>
          <w:rFonts w:ascii="Times New Roman" w:hAnsi="Times New Roman" w:cs="Times New Roman"/>
        </w:rPr>
        <w:t xml:space="preserve">from 2015 to 2022, a </w:t>
      </w:r>
      <w:r w:rsidR="006F39B3">
        <w:rPr>
          <w:rFonts w:ascii="Times New Roman" w:hAnsi="Times New Roman" w:cs="Times New Roman"/>
        </w:rPr>
        <w:t>seven-year</w:t>
      </w:r>
      <w:r w:rsidR="008E13E4">
        <w:rPr>
          <w:rFonts w:ascii="Times New Roman" w:hAnsi="Times New Roman" w:cs="Times New Roman"/>
        </w:rPr>
        <w:t xml:space="preserve"> time span.</w:t>
      </w:r>
      <w:r w:rsidR="006F39B3">
        <w:rPr>
          <w:rFonts w:ascii="Times New Roman" w:hAnsi="Times New Roman" w:cs="Times New Roman"/>
        </w:rPr>
        <w:t xml:space="preserve"> </w:t>
      </w:r>
      <w:r w:rsidR="007555D9">
        <w:rPr>
          <w:rFonts w:ascii="Times New Roman" w:hAnsi="Times New Roman" w:cs="Times New Roman"/>
        </w:rPr>
        <w:t xml:space="preserve">This growth represents an </w:t>
      </w:r>
      <w:r w:rsidR="00401E05">
        <w:rPr>
          <w:rFonts w:ascii="Times New Roman" w:hAnsi="Times New Roman" w:cs="Times New Roman"/>
        </w:rPr>
        <w:t xml:space="preserve">excellent </w:t>
      </w:r>
      <w:r w:rsidR="007555D9">
        <w:rPr>
          <w:rFonts w:ascii="Times New Roman" w:hAnsi="Times New Roman" w:cs="Times New Roman"/>
        </w:rPr>
        <w:t>opportunity to examine the effect of promise programs</w:t>
      </w:r>
      <w:r w:rsidR="00401E05">
        <w:rPr>
          <w:rFonts w:ascii="Times New Roman" w:hAnsi="Times New Roman" w:cs="Times New Roman"/>
        </w:rPr>
        <w:t xml:space="preserve"> at a national level</w:t>
      </w:r>
      <w:r w:rsidR="004608EE">
        <w:rPr>
          <w:rFonts w:ascii="Times New Roman" w:hAnsi="Times New Roman" w:cs="Times New Roman"/>
        </w:rPr>
        <w:t xml:space="preserve"> as the sample of treated units has widely expanded recently. Further, </w:t>
      </w:r>
      <w:r w:rsidR="00DE649A">
        <w:rPr>
          <w:rFonts w:ascii="Times New Roman" w:hAnsi="Times New Roman" w:cs="Times New Roman"/>
        </w:rPr>
        <w:t xml:space="preserve">as these programs continue to increase in popularity, it would be critical to examine the effects these programs have on students in aggregate. </w:t>
      </w:r>
    </w:p>
    <w:p w14:paraId="76F99B3E" w14:textId="049EB1D1" w:rsidR="00BE1111" w:rsidRPr="00BE1111" w:rsidRDefault="00BE1111" w:rsidP="00CD45D6">
      <w:pPr>
        <w:pStyle w:val="Heading2"/>
        <w:spacing w:before="0" w:after="0"/>
      </w:pPr>
      <w:bookmarkStart w:id="9" w:name="_Toc183282254"/>
      <w:r>
        <w:t>Chapter 1 Summary</w:t>
      </w:r>
      <w:bookmarkEnd w:id="9"/>
    </w:p>
    <w:p w14:paraId="2DF37023" w14:textId="3C7CB55E" w:rsidR="00DA3E80" w:rsidRDefault="00BE1111" w:rsidP="00CD45D6">
      <w:pPr>
        <w:spacing w:line="480" w:lineRule="auto"/>
        <w:rPr>
          <w:rFonts w:ascii="Times New Roman" w:hAnsi="Times New Roman" w:cs="Times New Roman"/>
        </w:rPr>
      </w:pPr>
      <w:r>
        <w:rPr>
          <w:rFonts w:ascii="Times New Roman" w:hAnsi="Times New Roman" w:cs="Times New Roman"/>
        </w:rPr>
        <w:tab/>
      </w:r>
      <w:r w:rsidR="00973DF4">
        <w:rPr>
          <w:rFonts w:ascii="Times New Roman" w:hAnsi="Times New Roman" w:cs="Times New Roman"/>
        </w:rPr>
        <w:t>As the U</w:t>
      </w:r>
      <w:r w:rsidR="00503DA2">
        <w:rPr>
          <w:rFonts w:ascii="Times New Roman" w:hAnsi="Times New Roman" w:cs="Times New Roman"/>
        </w:rPr>
        <w:t>nited States</w:t>
      </w:r>
      <w:r w:rsidR="00906C47">
        <w:rPr>
          <w:rFonts w:ascii="Times New Roman" w:hAnsi="Times New Roman" w:cs="Times New Roman"/>
        </w:rPr>
        <w:t xml:space="preserve"> </w:t>
      </w:r>
      <w:r w:rsidR="00973DF4">
        <w:rPr>
          <w:rFonts w:ascii="Times New Roman" w:hAnsi="Times New Roman" w:cs="Times New Roman"/>
        </w:rPr>
        <w:t>economy</w:t>
      </w:r>
      <w:r w:rsidR="00906C47">
        <w:rPr>
          <w:rFonts w:ascii="Times New Roman" w:hAnsi="Times New Roman" w:cs="Times New Roman"/>
        </w:rPr>
        <w:t xml:space="preserve">’s </w:t>
      </w:r>
      <w:r w:rsidR="00342F5E">
        <w:rPr>
          <w:rFonts w:ascii="Times New Roman" w:hAnsi="Times New Roman" w:cs="Times New Roman"/>
        </w:rPr>
        <w:t xml:space="preserve">demand for educated workers continues to grow, </w:t>
      </w:r>
      <w:r w:rsidR="00DC0F51">
        <w:rPr>
          <w:rFonts w:ascii="Times New Roman" w:hAnsi="Times New Roman" w:cs="Times New Roman"/>
        </w:rPr>
        <w:t xml:space="preserve">colleges serve an important function </w:t>
      </w:r>
      <w:r w:rsidR="00DA7B5A">
        <w:rPr>
          <w:rFonts w:ascii="Times New Roman" w:hAnsi="Times New Roman" w:cs="Times New Roman"/>
        </w:rPr>
        <w:t>in maintaining workforce</w:t>
      </w:r>
      <w:r w:rsidR="00EE5411">
        <w:rPr>
          <w:rFonts w:ascii="Times New Roman" w:hAnsi="Times New Roman" w:cs="Times New Roman"/>
        </w:rPr>
        <w:t xml:space="preserve"> supply</w:t>
      </w:r>
      <w:r w:rsidR="00DA7B5A">
        <w:rPr>
          <w:rFonts w:ascii="Times New Roman" w:hAnsi="Times New Roman" w:cs="Times New Roman"/>
        </w:rPr>
        <w:t xml:space="preserve">. </w:t>
      </w:r>
      <w:r w:rsidR="002F78A8">
        <w:rPr>
          <w:rFonts w:ascii="Times New Roman" w:hAnsi="Times New Roman" w:cs="Times New Roman"/>
        </w:rPr>
        <w:t>R</w:t>
      </w:r>
      <w:r w:rsidR="00EE5411">
        <w:rPr>
          <w:rFonts w:ascii="Times New Roman" w:hAnsi="Times New Roman" w:cs="Times New Roman"/>
        </w:rPr>
        <w:t xml:space="preserve">ising costs in postsecondary education </w:t>
      </w:r>
      <w:r w:rsidR="003121AC">
        <w:rPr>
          <w:rFonts w:ascii="Times New Roman" w:hAnsi="Times New Roman" w:cs="Times New Roman"/>
        </w:rPr>
        <w:t xml:space="preserve">limit who can take advantage of educational opportunities and thus who can access these jobs </w:t>
      </w:r>
      <w:r w:rsidR="002F78A8">
        <w:rPr>
          <w:rFonts w:ascii="Times New Roman" w:hAnsi="Times New Roman" w:cs="Times New Roman"/>
        </w:rPr>
        <w:t xml:space="preserve">which have increasing demand and typically higher wages. Free college or promise programs emerged as a financial aid tool to address </w:t>
      </w:r>
      <w:r w:rsidR="00BD4CDB">
        <w:rPr>
          <w:rFonts w:ascii="Times New Roman" w:hAnsi="Times New Roman" w:cs="Times New Roman"/>
        </w:rPr>
        <w:t xml:space="preserve">issues pertaining to cost. However, there has yet to be a national study of the effect of these programs </w:t>
      </w:r>
      <w:r w:rsidR="00145EEC">
        <w:rPr>
          <w:rFonts w:ascii="Times New Roman" w:hAnsi="Times New Roman" w:cs="Times New Roman"/>
        </w:rPr>
        <w:t xml:space="preserve">regarding the number of credentials and degrees produced. </w:t>
      </w:r>
    </w:p>
    <w:p w14:paraId="704C6A4F" w14:textId="56DA9570" w:rsidR="008A69EF" w:rsidRPr="00B57DC6" w:rsidRDefault="00145EEC" w:rsidP="00CD45D6">
      <w:pPr>
        <w:spacing w:line="480" w:lineRule="auto"/>
        <w:ind w:firstLine="720"/>
        <w:rPr>
          <w:rFonts w:ascii="Times New Roman" w:hAnsi="Times New Roman" w:cs="Times New Roman"/>
        </w:rPr>
      </w:pPr>
      <w:r>
        <w:rPr>
          <w:rFonts w:ascii="Times New Roman" w:hAnsi="Times New Roman" w:cs="Times New Roman"/>
        </w:rPr>
        <w:t>I</w:t>
      </w:r>
      <w:r w:rsidR="00DA3E80">
        <w:rPr>
          <w:rFonts w:ascii="Times New Roman" w:hAnsi="Times New Roman" w:cs="Times New Roman"/>
        </w:rPr>
        <w:t xml:space="preserve">n this </w:t>
      </w:r>
      <w:r w:rsidR="00906C47">
        <w:rPr>
          <w:rFonts w:ascii="Times New Roman" w:hAnsi="Times New Roman" w:cs="Times New Roman"/>
        </w:rPr>
        <w:t>manuscript</w:t>
      </w:r>
      <w:r w:rsidR="00DA3E80">
        <w:rPr>
          <w:rFonts w:ascii="Times New Roman" w:hAnsi="Times New Roman" w:cs="Times New Roman"/>
        </w:rPr>
        <w:t xml:space="preserve">, I conduct a staggered difference-in-difference study to examine the effect of promise program adoption on the number of </w:t>
      </w:r>
      <w:r w:rsidR="00906C47">
        <w:rPr>
          <w:rFonts w:ascii="Times New Roman" w:hAnsi="Times New Roman" w:cs="Times New Roman"/>
        </w:rPr>
        <w:t xml:space="preserve">sub-baccalaureate </w:t>
      </w:r>
      <w:r w:rsidR="00DA3E80">
        <w:rPr>
          <w:rFonts w:ascii="Times New Roman" w:hAnsi="Times New Roman" w:cs="Times New Roman"/>
        </w:rPr>
        <w:t xml:space="preserve">credentials and degrees produced. In Chapter 2, I provide a review of financial aid policy and empirical research on financial aid tools including </w:t>
      </w:r>
      <w:r w:rsidR="00CB53EA">
        <w:rPr>
          <w:rFonts w:ascii="Times New Roman" w:hAnsi="Times New Roman" w:cs="Times New Roman"/>
        </w:rPr>
        <w:t xml:space="preserve">grant aid, loans, and merit </w:t>
      </w:r>
      <w:r w:rsidR="00CB53EA">
        <w:rPr>
          <w:rFonts w:ascii="Times New Roman" w:hAnsi="Times New Roman" w:cs="Times New Roman"/>
        </w:rPr>
        <w:lastRenderedPageBreak/>
        <w:t>scholarships in addition to promise programs</w:t>
      </w:r>
      <w:r w:rsidR="009E1759">
        <w:rPr>
          <w:rFonts w:ascii="Times New Roman" w:hAnsi="Times New Roman" w:cs="Times New Roman"/>
        </w:rPr>
        <w:t xml:space="preserve"> to introduce context surrounding these programs. Following this I present my </w:t>
      </w:r>
      <w:r w:rsidR="00975886">
        <w:rPr>
          <w:rFonts w:ascii="Times New Roman" w:hAnsi="Times New Roman" w:cs="Times New Roman"/>
        </w:rPr>
        <w:t xml:space="preserve">empirical strategy for examining this issue. This is followed by a presentation of my results and discussion of those results in the context of research and practice in Chapter 4 and Chapter 5 respectively. </w:t>
      </w:r>
      <w:bookmarkStart w:id="10" w:name="_Toc420995896"/>
      <w:bookmarkStart w:id="11" w:name="_Toc422997483"/>
    </w:p>
    <w:p w14:paraId="17DE8BB1" w14:textId="77777777" w:rsidR="00906C47" w:rsidRDefault="00906C47" w:rsidP="00CD45D6">
      <w:pPr>
        <w:spacing w:line="480" w:lineRule="auto"/>
        <w:rPr>
          <w:rFonts w:ascii="Times New Roman" w:hAnsi="Times New Roman" w:cs="Times New Roman"/>
          <w:b/>
          <w:bCs/>
          <w:caps/>
          <w:color w:val="000000" w:themeColor="text1"/>
        </w:rPr>
      </w:pPr>
      <w:r>
        <w:br w:type="page"/>
      </w:r>
    </w:p>
    <w:p w14:paraId="51BFCE14" w14:textId="1AA3C58E" w:rsidR="002E752C" w:rsidRPr="003C6DFC" w:rsidRDefault="002E752C" w:rsidP="00CD45D6">
      <w:pPr>
        <w:pStyle w:val="Heading1"/>
      </w:pPr>
      <w:bookmarkStart w:id="12" w:name="_Toc183282255"/>
      <w:r w:rsidRPr="003C6DFC">
        <w:lastRenderedPageBreak/>
        <w:t>Chapter 2</w:t>
      </w:r>
      <w:bookmarkEnd w:id="12"/>
    </w:p>
    <w:p w14:paraId="4651C595" w14:textId="3E12C5F8"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This chapter reviews literature and research relevant to </w:t>
      </w:r>
      <w:r w:rsidR="007F4364">
        <w:rPr>
          <w:rFonts w:ascii="Times New Roman" w:hAnsi="Times New Roman" w:cs="Times New Roman"/>
        </w:rPr>
        <w:t>this study’s examination of the effect of free college on sub-baccalaureate award completion</w:t>
      </w:r>
      <w:r w:rsidRPr="003C6DFC">
        <w:rPr>
          <w:rFonts w:ascii="Times New Roman" w:hAnsi="Times New Roman" w:cs="Times New Roman"/>
        </w:rPr>
        <w:t xml:space="preserve">. This chapter begins with a broad review of the landscape and research regarding financial aid programs including need-based (e.g., grant), merit, and loan-based aid programs as a means for students to afford higher education in the United States. Following this, I narrow in focus to examine promise programs as a financial aid tool. </w:t>
      </w:r>
    </w:p>
    <w:p w14:paraId="4A15C9AF" w14:textId="77777777" w:rsidR="002E752C" w:rsidRPr="003C6DFC" w:rsidRDefault="002E752C" w:rsidP="00CD45D6">
      <w:pPr>
        <w:pStyle w:val="Heading2"/>
        <w:spacing w:before="0" w:after="0"/>
      </w:pPr>
      <w:bookmarkStart w:id="13" w:name="_Toc420995897"/>
      <w:bookmarkStart w:id="14" w:name="_Toc422997484"/>
      <w:bookmarkStart w:id="15" w:name="_Toc427156467"/>
      <w:bookmarkStart w:id="16" w:name="_Toc183282256"/>
      <w:r w:rsidRPr="003C6DFC">
        <w:t>Review of the Progressing Need for Student Financial Aid</w:t>
      </w:r>
      <w:bookmarkEnd w:id="13"/>
      <w:bookmarkEnd w:id="14"/>
      <w:bookmarkEnd w:id="15"/>
      <w:bookmarkEnd w:id="16"/>
    </w:p>
    <w:p w14:paraId="40E70F46" w14:textId="4E67EB09" w:rsidR="002E752C" w:rsidRPr="003C6DFC" w:rsidRDefault="00EB550A" w:rsidP="00CD45D6">
      <w:pPr>
        <w:spacing w:line="480" w:lineRule="auto"/>
        <w:ind w:firstLine="720"/>
        <w:rPr>
          <w:rFonts w:ascii="Times New Roman" w:hAnsi="Times New Roman" w:cs="Times New Roman"/>
        </w:rPr>
      </w:pPr>
      <w:r>
        <w:rPr>
          <w:rFonts w:ascii="Times New Roman" w:hAnsi="Times New Roman" w:cs="Times New Roman"/>
        </w:rPr>
        <w:t>Before</w:t>
      </w:r>
      <w:r w:rsidR="002E752C" w:rsidRPr="003C6DFC">
        <w:rPr>
          <w:rFonts w:ascii="Times New Roman" w:hAnsi="Times New Roman" w:cs="Times New Roman"/>
        </w:rPr>
        <w:t xml:space="preserve"> examin</w:t>
      </w:r>
      <w:r>
        <w:rPr>
          <w:rFonts w:ascii="Times New Roman" w:hAnsi="Times New Roman" w:cs="Times New Roman"/>
        </w:rPr>
        <w:t>ing</w:t>
      </w:r>
      <w:r w:rsidR="002E752C" w:rsidRPr="003C6DFC">
        <w:rPr>
          <w:rFonts w:ascii="Times New Roman" w:hAnsi="Times New Roman" w:cs="Times New Roman"/>
        </w:rPr>
        <w:t xml:space="preserve"> </w:t>
      </w:r>
      <w:r>
        <w:rPr>
          <w:rFonts w:ascii="Times New Roman" w:hAnsi="Times New Roman" w:cs="Times New Roman"/>
        </w:rPr>
        <w:t>the effect of promise programs on award completion</w:t>
      </w:r>
      <w:r w:rsidR="002E752C" w:rsidRPr="003C6DFC">
        <w:rPr>
          <w:rFonts w:ascii="Times New Roman" w:hAnsi="Times New Roman" w:cs="Times New Roman"/>
        </w:rPr>
        <w:t xml:space="preserve">, it is important to establish why various financial aid programs and specifically promise programs emerged to address </w:t>
      </w:r>
      <w:r w:rsidR="006209C5">
        <w:rPr>
          <w:rFonts w:ascii="Times New Roman" w:hAnsi="Times New Roman" w:cs="Times New Roman"/>
        </w:rPr>
        <w:t xml:space="preserve">the </w:t>
      </w:r>
      <w:r w:rsidR="00733361">
        <w:rPr>
          <w:rFonts w:ascii="Times New Roman" w:hAnsi="Times New Roman" w:cs="Times New Roman"/>
        </w:rPr>
        <w:t>affordability of</w:t>
      </w:r>
      <w:r w:rsidR="002E752C" w:rsidRPr="003C6DFC">
        <w:rPr>
          <w:rFonts w:ascii="Times New Roman" w:hAnsi="Times New Roman" w:cs="Times New Roman"/>
        </w:rPr>
        <w:t xml:space="preserve"> postsecondary education</w:t>
      </w:r>
      <w:r w:rsidR="00733361">
        <w:rPr>
          <w:rFonts w:ascii="Times New Roman" w:hAnsi="Times New Roman" w:cs="Times New Roman"/>
        </w:rPr>
        <w:t xml:space="preserve"> in the United States</w:t>
      </w:r>
      <w:r w:rsidR="002E752C" w:rsidRPr="003C6DFC">
        <w:rPr>
          <w:rFonts w:ascii="Times New Roman" w:hAnsi="Times New Roman" w:cs="Times New Roman"/>
        </w:rPr>
        <w:t xml:space="preserve">. I open </w:t>
      </w:r>
      <w:r w:rsidR="00C2558F">
        <w:rPr>
          <w:rFonts w:ascii="Times New Roman" w:hAnsi="Times New Roman" w:cs="Times New Roman"/>
        </w:rPr>
        <w:t>C</w:t>
      </w:r>
      <w:r w:rsidR="002E752C" w:rsidRPr="003C6DFC">
        <w:rPr>
          <w:rFonts w:ascii="Times New Roman" w:hAnsi="Times New Roman" w:cs="Times New Roman"/>
        </w:rPr>
        <w:t xml:space="preserve">hapter </w:t>
      </w:r>
      <w:r w:rsidR="00823FA8">
        <w:rPr>
          <w:rFonts w:ascii="Times New Roman" w:hAnsi="Times New Roman" w:cs="Times New Roman"/>
        </w:rPr>
        <w:t>2</w:t>
      </w:r>
      <w:r w:rsidR="002E752C" w:rsidRPr="003C6DFC">
        <w:rPr>
          <w:rFonts w:ascii="Times New Roman" w:hAnsi="Times New Roman" w:cs="Times New Roman"/>
        </w:rPr>
        <w:t xml:space="preserve"> with a review of both the federal and state governments’ roles in shaping financial aid policy to broadly introduce the financial aid programs discussed in this chapter. This is then followed by a separate discussion on relevant empirical research on these financial aid programs. I did this to provide a discussion of empirical research that is focused on methodological approaches and causal effects where I did not need to </w:t>
      </w:r>
      <w:r w:rsidR="00C536EC">
        <w:rPr>
          <w:rFonts w:ascii="Times New Roman" w:hAnsi="Times New Roman" w:cs="Times New Roman"/>
        </w:rPr>
        <w:t>introduce</w:t>
      </w:r>
      <w:r w:rsidR="002E752C" w:rsidRPr="003C6DFC">
        <w:rPr>
          <w:rFonts w:ascii="Times New Roman" w:hAnsi="Times New Roman" w:cs="Times New Roman"/>
        </w:rPr>
        <w:t xml:space="preserve"> each </w:t>
      </w:r>
      <w:r w:rsidR="00C536EC">
        <w:rPr>
          <w:rFonts w:ascii="Times New Roman" w:hAnsi="Times New Roman" w:cs="Times New Roman"/>
        </w:rPr>
        <w:t xml:space="preserve">type of </w:t>
      </w:r>
      <w:r w:rsidR="002E752C" w:rsidRPr="003C6DFC">
        <w:rPr>
          <w:rFonts w:ascii="Times New Roman" w:hAnsi="Times New Roman" w:cs="Times New Roman"/>
        </w:rPr>
        <w:t xml:space="preserve">financial aid program studied. </w:t>
      </w:r>
    </w:p>
    <w:p w14:paraId="23D48371" w14:textId="37FE099C" w:rsidR="002E752C" w:rsidRPr="007C45B0"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This method also provided additional benefit in that readers that are more familiar with these programs could move ahead to sections discussing the empirical research on the effect of financial aid programs. I then also repeated this strategy for promise programs in the second half of this chapter. While my study focuses on </w:t>
      </w:r>
      <w:r w:rsidR="00CF2480">
        <w:rPr>
          <w:rFonts w:ascii="Times New Roman" w:hAnsi="Times New Roman" w:cs="Times New Roman"/>
        </w:rPr>
        <w:t>promise programs only</w:t>
      </w:r>
      <w:r w:rsidRPr="003C6DFC">
        <w:rPr>
          <w:rFonts w:ascii="Times New Roman" w:hAnsi="Times New Roman" w:cs="Times New Roman"/>
        </w:rPr>
        <w:t xml:space="preserve">, I chose to provide a detailed historical overview of these </w:t>
      </w:r>
      <w:r w:rsidR="00B1599A">
        <w:rPr>
          <w:rFonts w:ascii="Times New Roman" w:hAnsi="Times New Roman" w:cs="Times New Roman"/>
        </w:rPr>
        <w:t xml:space="preserve">other </w:t>
      </w:r>
      <w:r w:rsidRPr="003C6DFC">
        <w:rPr>
          <w:rFonts w:ascii="Times New Roman" w:hAnsi="Times New Roman" w:cs="Times New Roman"/>
        </w:rPr>
        <w:t xml:space="preserve">programs because a </w:t>
      </w:r>
      <w:r w:rsidRPr="003C6DFC">
        <w:rPr>
          <w:rFonts w:ascii="Times New Roman" w:hAnsi="Times New Roman" w:cs="Times New Roman"/>
        </w:rPr>
        <w:lastRenderedPageBreak/>
        <w:t xml:space="preserve">significant portion of the body of research on financial aid has been on these programs. Further, </w:t>
      </w:r>
      <w:r w:rsidR="00B1599A">
        <w:rPr>
          <w:rFonts w:ascii="Times New Roman" w:hAnsi="Times New Roman" w:cs="Times New Roman"/>
        </w:rPr>
        <w:t>given the wide range of differences between individual promise programs in my sample (e.g., last dollar vs. first dollar)</w:t>
      </w:r>
      <w:r w:rsidRPr="003C6DFC">
        <w:rPr>
          <w:rFonts w:ascii="Times New Roman" w:hAnsi="Times New Roman" w:cs="Times New Roman"/>
        </w:rPr>
        <w:t xml:space="preserve">, it would be beneficial to understand the effects </w:t>
      </w:r>
      <w:r w:rsidR="002E2DF5">
        <w:rPr>
          <w:rFonts w:ascii="Times New Roman" w:hAnsi="Times New Roman" w:cs="Times New Roman"/>
        </w:rPr>
        <w:t>and influences</w:t>
      </w:r>
      <w:r w:rsidR="00C65FEA">
        <w:rPr>
          <w:rFonts w:ascii="Times New Roman" w:hAnsi="Times New Roman" w:cs="Times New Roman"/>
        </w:rPr>
        <w:t xml:space="preserve"> </w:t>
      </w:r>
      <w:r w:rsidRPr="003C6DFC">
        <w:rPr>
          <w:rFonts w:ascii="Times New Roman" w:hAnsi="Times New Roman" w:cs="Times New Roman"/>
        </w:rPr>
        <w:t xml:space="preserve">of </w:t>
      </w:r>
      <w:r w:rsidR="00FA72FD">
        <w:rPr>
          <w:rFonts w:ascii="Times New Roman" w:hAnsi="Times New Roman" w:cs="Times New Roman"/>
        </w:rPr>
        <w:t>as</w:t>
      </w:r>
      <w:r w:rsidRPr="003C6DFC">
        <w:rPr>
          <w:rFonts w:ascii="Times New Roman" w:hAnsi="Times New Roman" w:cs="Times New Roman"/>
        </w:rPr>
        <w:t xml:space="preserve"> </w:t>
      </w:r>
      <w:r w:rsidR="002E2DF5">
        <w:rPr>
          <w:rFonts w:ascii="Times New Roman" w:hAnsi="Times New Roman" w:cs="Times New Roman"/>
        </w:rPr>
        <w:t xml:space="preserve">many </w:t>
      </w:r>
      <w:r w:rsidRPr="003C6DFC">
        <w:rPr>
          <w:rFonts w:ascii="Times New Roman" w:hAnsi="Times New Roman" w:cs="Times New Roman"/>
        </w:rPr>
        <w:t>aid programs as</w:t>
      </w:r>
      <w:r w:rsidR="002E2DF5">
        <w:rPr>
          <w:rFonts w:ascii="Times New Roman" w:hAnsi="Times New Roman" w:cs="Times New Roman"/>
        </w:rPr>
        <w:t xml:space="preserve"> possible for</w:t>
      </w:r>
      <w:r w:rsidRPr="003C6DFC">
        <w:rPr>
          <w:rFonts w:ascii="Times New Roman" w:hAnsi="Times New Roman" w:cs="Times New Roman"/>
        </w:rPr>
        <w:t xml:space="preserve"> my study sample</w:t>
      </w:r>
      <w:r w:rsidR="002E2DF5">
        <w:rPr>
          <w:rFonts w:ascii="Times New Roman" w:hAnsi="Times New Roman" w:cs="Times New Roman"/>
        </w:rPr>
        <w:t xml:space="preserve">. </w:t>
      </w:r>
      <w:r w:rsidR="00C65FEA">
        <w:rPr>
          <w:rFonts w:ascii="Times New Roman" w:hAnsi="Times New Roman" w:cs="Times New Roman"/>
        </w:rPr>
        <w:t>Finally, the students within my treated and non-treated units</w:t>
      </w:r>
      <w:r w:rsidRPr="003C6DFC">
        <w:rPr>
          <w:rFonts w:ascii="Times New Roman" w:hAnsi="Times New Roman" w:cs="Times New Roman"/>
        </w:rPr>
        <w:t xml:space="preserve"> will have received other forms of financial aid such as a Pell grant</w:t>
      </w:r>
      <w:r w:rsidR="00C65FEA">
        <w:rPr>
          <w:rFonts w:ascii="Times New Roman" w:hAnsi="Times New Roman" w:cs="Times New Roman"/>
        </w:rPr>
        <w:t xml:space="preserve">, </w:t>
      </w:r>
      <w:r w:rsidRPr="003C6DFC">
        <w:rPr>
          <w:rFonts w:ascii="Times New Roman" w:hAnsi="Times New Roman" w:cs="Times New Roman"/>
        </w:rPr>
        <w:t>merit aid</w:t>
      </w:r>
      <w:r w:rsidR="00C65FEA">
        <w:rPr>
          <w:rFonts w:ascii="Times New Roman" w:hAnsi="Times New Roman" w:cs="Times New Roman"/>
        </w:rPr>
        <w:t>, and loans</w:t>
      </w:r>
      <w:r w:rsidR="007C45B0">
        <w:rPr>
          <w:rFonts w:ascii="Times New Roman" w:hAnsi="Times New Roman" w:cs="Times New Roman"/>
        </w:rPr>
        <w:t xml:space="preserve">. Thus, reviewing the established literature on these other forms of aid </w:t>
      </w:r>
      <w:r w:rsidR="002B114F">
        <w:rPr>
          <w:rFonts w:ascii="Times New Roman" w:hAnsi="Times New Roman" w:cs="Times New Roman"/>
        </w:rPr>
        <w:t>provides an excellence reference of past research</w:t>
      </w:r>
      <w:r w:rsidR="007C45B0">
        <w:rPr>
          <w:rFonts w:ascii="Times New Roman" w:hAnsi="Times New Roman" w:cs="Times New Roman"/>
        </w:rPr>
        <w:t xml:space="preserve"> </w:t>
      </w:r>
      <w:r w:rsidR="002B114F">
        <w:rPr>
          <w:rFonts w:ascii="Times New Roman" w:hAnsi="Times New Roman" w:cs="Times New Roman"/>
        </w:rPr>
        <w:t>for</w:t>
      </w:r>
      <w:r w:rsidR="007C45B0">
        <w:rPr>
          <w:rFonts w:ascii="Times New Roman" w:hAnsi="Times New Roman" w:cs="Times New Roman"/>
        </w:rPr>
        <w:t xml:space="preserve"> teasing out the potential effects from my staggered difference-in-difference models. </w:t>
      </w:r>
    </w:p>
    <w:p w14:paraId="2AC34D02" w14:textId="77777777" w:rsidR="002E752C" w:rsidRPr="003C6DFC" w:rsidRDefault="002E752C" w:rsidP="00CD45D6">
      <w:pPr>
        <w:pStyle w:val="Heading3"/>
        <w:spacing w:before="0" w:after="0"/>
      </w:pPr>
      <w:bookmarkStart w:id="17" w:name="_Toc183282257"/>
      <w:bookmarkStart w:id="18" w:name="_Toc420995898"/>
      <w:bookmarkStart w:id="19" w:name="_Toc422997485"/>
      <w:bookmarkStart w:id="20" w:name="_Toc427156468"/>
      <w:r w:rsidRPr="003C6DFC">
        <w:t>The Federal Government’s Role in Student Financial Aid</w:t>
      </w:r>
      <w:bookmarkEnd w:id="17"/>
      <w:r w:rsidRPr="003C6DFC">
        <w:t xml:space="preserve"> </w:t>
      </w:r>
      <w:bookmarkEnd w:id="18"/>
      <w:bookmarkEnd w:id="19"/>
      <w:bookmarkEnd w:id="20"/>
    </w:p>
    <w:p w14:paraId="216E2018" w14:textId="3CFD7564"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The authorization of the Servicemen’s Readjustment Act </w:t>
      </w:r>
      <w:sdt>
        <w:sdtPr>
          <w:rPr>
            <w:rFonts w:ascii="Times New Roman" w:hAnsi="Times New Roman" w:cs="Times New Roman"/>
          </w:rPr>
          <w:id w:val="-669102174"/>
          <w:citation/>
        </w:sdtPr>
        <w:sdtContent>
          <w:r w:rsidRPr="003C6DFC">
            <w:rPr>
              <w:rFonts w:ascii="Times New Roman" w:hAnsi="Times New Roman" w:cs="Times New Roman"/>
            </w:rPr>
            <w:fldChar w:fldCharType="begin"/>
          </w:r>
          <w:r w:rsidR="000B2F08">
            <w:rPr>
              <w:rFonts w:ascii="Times New Roman" w:hAnsi="Times New Roman" w:cs="Times New Roman"/>
            </w:rPr>
            <w:instrText xml:space="preserve">CITATION Ser94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(1944)</w:t>
          </w:r>
          <w:r w:rsidRPr="003C6DFC">
            <w:rPr>
              <w:rFonts w:ascii="Times New Roman" w:hAnsi="Times New Roman" w:cs="Times New Roman"/>
            </w:rPr>
            <w:fldChar w:fldCharType="end"/>
          </w:r>
        </w:sdtContent>
      </w:sdt>
      <w:r w:rsidRPr="003C6DFC">
        <w:rPr>
          <w:rFonts w:ascii="Times New Roman" w:hAnsi="Times New Roman" w:cs="Times New Roman"/>
        </w:rPr>
        <w:t xml:space="preserve"> and changing views on who should attend higher education in the United States following World War II marked a notable point of interest for examining how students afford higher education. As early as 1942, the federal government was examining the impact of an estimated 15 million men and women re-entering the US workforce following the end of the war. Before this, students were largely reliant on isolated financial aid systems at institutions that provided scholarships, loans, or other forms of charity/sponsorship if they were not able to afford higher education outright </w:t>
      </w:r>
      <w:sdt>
        <w:sdtPr>
          <w:rPr>
            <w:rFonts w:ascii="Times New Roman" w:hAnsi="Times New Roman" w:cs="Times New Roman"/>
          </w:rPr>
          <w:id w:val="-141385189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Ful14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(Fuller, 2014)</w:t>
          </w:r>
          <w:r w:rsidRPr="003C6DFC">
            <w:rPr>
              <w:rFonts w:ascii="Times New Roman" w:hAnsi="Times New Roman" w:cs="Times New Roman"/>
            </w:rPr>
            <w:fldChar w:fldCharType="end"/>
          </w:r>
        </w:sdtContent>
      </w:sdt>
      <w:r w:rsidRPr="003C6DFC">
        <w:rPr>
          <w:rFonts w:ascii="Times New Roman" w:hAnsi="Times New Roman" w:cs="Times New Roman"/>
        </w:rPr>
        <w:t xml:space="preserve">. Until the authorization of the </w:t>
      </w:r>
      <w:r w:rsidR="004C3818">
        <w:rPr>
          <w:rFonts w:ascii="Times New Roman" w:hAnsi="Times New Roman" w:cs="Times New Roman"/>
        </w:rPr>
        <w:t>Servicem</w:t>
      </w:r>
      <w:r w:rsidRPr="003C6DFC">
        <w:rPr>
          <w:rFonts w:ascii="Times New Roman" w:hAnsi="Times New Roman" w:cs="Times New Roman"/>
        </w:rPr>
        <w:t xml:space="preserve">an’s Readjustment Act, federal involvement in higher education had been limited to the Morrill Land Grant Act </w:t>
      </w:r>
      <w:r w:rsidR="00837A9A" w:rsidRPr="00A10468">
        <w:rPr>
          <w:rFonts w:ascii="Times New Roman" w:hAnsi="Times New Roman" w:cs="Times New Roman"/>
          <w:noProof/>
        </w:rPr>
        <w:t>(</w:t>
      </w:r>
      <w:r w:rsidR="00837A9A">
        <w:rPr>
          <w:rFonts w:ascii="Times New Roman" w:hAnsi="Times New Roman" w:cs="Times New Roman"/>
          <w:noProof/>
        </w:rPr>
        <w:t>Bickell, 2022</w:t>
      </w:r>
      <w:r w:rsidR="00837A9A" w:rsidRPr="00A10468">
        <w:rPr>
          <w:rFonts w:ascii="Times New Roman" w:hAnsi="Times New Roman" w:cs="Times New Roman"/>
          <w:noProof/>
        </w:rPr>
        <w:t>)</w:t>
      </w:r>
      <w:r w:rsidRPr="003C6DFC">
        <w:rPr>
          <w:rFonts w:ascii="Times New Roman" w:hAnsi="Times New Roman" w:cs="Times New Roman"/>
        </w:rPr>
        <w:t xml:space="preserve"> which provided a means for states to finance public education systems through the selling of federally owned lands. </w:t>
      </w:r>
    </w:p>
    <w:p w14:paraId="18D1EE72" w14:textId="5D47DEAA"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Following World War II, Congress passed a suite of benefits for veterans to facilitate </w:t>
      </w:r>
      <w:r w:rsidR="001F0C0E">
        <w:rPr>
          <w:rFonts w:ascii="Times New Roman" w:hAnsi="Times New Roman" w:cs="Times New Roman"/>
        </w:rPr>
        <w:t xml:space="preserve">a </w:t>
      </w:r>
      <w:r w:rsidRPr="003C6DFC">
        <w:rPr>
          <w:rFonts w:ascii="Times New Roman" w:hAnsi="Times New Roman" w:cs="Times New Roman"/>
        </w:rPr>
        <w:t xml:space="preserve">smooth transition back to civilian life. This was done to prevent an influx of </w:t>
      </w:r>
      <w:r w:rsidRPr="003C6DFC">
        <w:rPr>
          <w:rFonts w:ascii="Times New Roman" w:hAnsi="Times New Roman" w:cs="Times New Roman"/>
        </w:rPr>
        <w:lastRenderedPageBreak/>
        <w:t xml:space="preserve">available labor comprised of unemployed servicemen from causing a second economic depression through an over-availability of laborers in the labor market. Colloquially known as the G.I. Bill of Rights, The </w:t>
      </w:r>
      <w:r w:rsidR="004C3818">
        <w:rPr>
          <w:rFonts w:ascii="Times New Roman" w:hAnsi="Times New Roman" w:cs="Times New Roman"/>
        </w:rPr>
        <w:t>Servicem</w:t>
      </w:r>
      <w:r w:rsidRPr="003C6DFC">
        <w:rPr>
          <w:rFonts w:ascii="Times New Roman" w:hAnsi="Times New Roman" w:cs="Times New Roman"/>
        </w:rPr>
        <w:t xml:space="preserve">an’s Readjustment Act of 1944 provided benefits to veterans including healthcare, housing/business loans, and education. </w:t>
      </w:r>
      <w:r w:rsidR="007A2DB6" w:rsidRPr="003C6DFC">
        <w:rPr>
          <w:rFonts w:ascii="Times New Roman" w:hAnsi="Times New Roman" w:cs="Times New Roman"/>
        </w:rPr>
        <w:t>Specifically, this educational benefit spurred postsecondary enrollment</w:t>
      </w:r>
      <w:r w:rsidR="007A2DB6">
        <w:rPr>
          <w:rFonts w:ascii="Times New Roman" w:hAnsi="Times New Roman" w:cs="Times New Roman"/>
        </w:rPr>
        <w:t xml:space="preserve"> and graduates</w:t>
      </w:r>
      <w:r w:rsidR="007A2DB6" w:rsidRPr="003C6DFC">
        <w:rPr>
          <w:rFonts w:ascii="Times New Roman" w:hAnsi="Times New Roman" w:cs="Times New Roman"/>
        </w:rPr>
        <w:t xml:space="preserve"> to nearly double from 1.15 million to 2.45 million</w:t>
      </w:r>
      <w:r w:rsidR="007A2DB6">
        <w:rPr>
          <w:rFonts w:ascii="Times New Roman" w:hAnsi="Times New Roman" w:cs="Times New Roman"/>
        </w:rPr>
        <w:t xml:space="preserve"> between 1940 and 1950 and </w:t>
      </w:r>
      <w:r w:rsidR="00E42AC8">
        <w:rPr>
          <w:rFonts w:ascii="Times New Roman" w:hAnsi="Times New Roman" w:cs="Times New Roman"/>
        </w:rPr>
        <w:t xml:space="preserve">then grow </w:t>
      </w:r>
      <w:r w:rsidR="007A2DB6">
        <w:rPr>
          <w:rFonts w:ascii="Times New Roman" w:hAnsi="Times New Roman" w:cs="Times New Roman"/>
        </w:rPr>
        <w:t>to 3.6 million by 1960</w:t>
      </w:r>
      <w:r w:rsidR="007A2DB6" w:rsidRPr="003C6DFC">
        <w:rPr>
          <w:rFonts w:ascii="Times New Roman" w:hAnsi="Times New Roman" w:cs="Times New Roman"/>
        </w:rPr>
        <w:t xml:space="preserve"> </w:t>
      </w:r>
      <w:r w:rsidR="007A2DB6" w:rsidRPr="008C7F95">
        <w:rPr>
          <w:rFonts w:ascii="Times New Roman" w:hAnsi="Times New Roman" w:cs="Times New Roman"/>
          <w:noProof/>
        </w:rPr>
        <w:t>(</w:t>
      </w:r>
      <w:r w:rsidR="007A2DB6">
        <w:rPr>
          <w:rFonts w:ascii="Times New Roman" w:hAnsi="Times New Roman" w:cs="Times New Roman"/>
          <w:noProof/>
        </w:rPr>
        <w:t xml:space="preserve">Labaree, 2016; </w:t>
      </w:r>
      <w:r w:rsidR="007A2DB6" w:rsidRPr="008C7F95">
        <w:rPr>
          <w:rFonts w:ascii="Times New Roman" w:hAnsi="Times New Roman" w:cs="Times New Roman"/>
          <w:noProof/>
        </w:rPr>
        <w:t>Snyder, 1993)</w:t>
      </w:r>
      <w:r w:rsidR="007A2DB6" w:rsidRPr="003C6DFC">
        <w:rPr>
          <w:rFonts w:ascii="Times New Roman" w:hAnsi="Times New Roman" w:cs="Times New Roman"/>
        </w:rPr>
        <w:t>.</w:t>
      </w:r>
    </w:p>
    <w:p w14:paraId="48B547F5" w14:textId="7020EB3F"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This approach to funding students directly rather than institutions established a framework for funding the cost of higher education that has persisted over the following 80 years. The federal government would introduce additional campus-level aid packages outside this framework in the form of Federal Work-Study in 1964, Supplemental Educational Opportunity Grants in 1972, and Perkins Grants in 1984 </w:t>
      </w:r>
      <w:sdt>
        <w:sdtPr>
          <w:rPr>
            <w:rFonts w:ascii="Times New Roman" w:hAnsi="Times New Roman" w:cs="Times New Roman"/>
          </w:rPr>
          <w:id w:val="-273557249"/>
          <w:citation/>
        </w:sdtPr>
        <w:sdtContent>
          <w:r w:rsidRPr="003C6DFC">
            <w:rPr>
              <w:rFonts w:ascii="Times New Roman" w:hAnsi="Times New Roman" w:cs="Times New Roman"/>
            </w:rPr>
            <w:fldChar w:fldCharType="begin"/>
          </w:r>
          <w:r w:rsidRPr="003C6DFC">
            <w:rPr>
              <w:rFonts w:ascii="Times New Roman" w:hAnsi="Times New Roman" w:cs="Times New Roman"/>
            </w:rPr>
            <w:instrText>CITATION Car84 \l 1033  \m Eco64 \m Hig72</w:instrText>
          </w:r>
          <w:r w:rsidRPr="003C6DFC">
            <w:rPr>
              <w:rFonts w:ascii="Times New Roman" w:hAnsi="Times New Roman" w:cs="Times New Roman"/>
            </w:rPr>
            <w:fldChar w:fldCharType="separate"/>
          </w:r>
          <w:r w:rsidR="00A10468" w:rsidRPr="00A10468">
            <w:rPr>
              <w:rFonts w:ascii="Times New Roman" w:hAnsi="Times New Roman" w:cs="Times New Roman"/>
              <w:noProof/>
            </w:rPr>
            <w:t>(Carl. D. Perkins Career and Technical Education Act, 1984; Economic Opportunity Act, 1964; Higher Education Act, 1972)</w:t>
          </w:r>
          <w:r w:rsidRPr="003C6DFC">
            <w:rPr>
              <w:rFonts w:ascii="Times New Roman" w:hAnsi="Times New Roman" w:cs="Times New Roman"/>
            </w:rPr>
            <w:fldChar w:fldCharType="end"/>
          </w:r>
        </w:sdtContent>
      </w:sdt>
      <w:r w:rsidRPr="003C6DFC">
        <w:rPr>
          <w:rFonts w:ascii="Times New Roman" w:hAnsi="Times New Roman" w:cs="Times New Roman"/>
        </w:rPr>
        <w:t xml:space="preserve">. However, spending on these programs are less that other programs discussed in this section. For example, in fiscal year 2024, the US Department of Education requested $32,478 million for Pell grants and $26,592 million for Federal direct loans while only requesting $910 million for Supplemental Education Opportunity Grants and $1,230 million for Federal Work-Study </w:t>
      </w:r>
      <w:sdt>
        <w:sdtPr>
          <w:rPr>
            <w:rFonts w:ascii="Times New Roman" w:hAnsi="Times New Roman" w:cs="Times New Roman"/>
          </w:rPr>
          <w:id w:val="192907507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Uni23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(United States Department of Education, 2023)</w:t>
          </w:r>
          <w:r w:rsidRPr="003C6DFC">
            <w:rPr>
              <w:rFonts w:ascii="Times New Roman" w:hAnsi="Times New Roman" w:cs="Times New Roman"/>
            </w:rPr>
            <w:fldChar w:fldCharType="end"/>
          </w:r>
        </w:sdtContent>
      </w:sdt>
      <w:r w:rsidRPr="003C6DFC">
        <w:rPr>
          <w:rFonts w:ascii="Times New Roman" w:hAnsi="Times New Roman" w:cs="Times New Roman"/>
        </w:rPr>
        <w:t>. Because of the respective current scope of these programs, I chose to primarily focus on portable-student aid such as the Pell grant</w:t>
      </w:r>
      <w:r w:rsidR="00C8273F">
        <w:rPr>
          <w:rFonts w:ascii="Times New Roman" w:hAnsi="Times New Roman" w:cs="Times New Roman"/>
        </w:rPr>
        <w:t xml:space="preserve">, </w:t>
      </w:r>
      <w:r w:rsidRPr="003C6DFC">
        <w:rPr>
          <w:rFonts w:ascii="Times New Roman" w:hAnsi="Times New Roman" w:cs="Times New Roman"/>
        </w:rPr>
        <w:t>loans</w:t>
      </w:r>
      <w:r w:rsidR="00C8273F">
        <w:rPr>
          <w:rFonts w:ascii="Times New Roman" w:hAnsi="Times New Roman" w:cs="Times New Roman"/>
        </w:rPr>
        <w:t>, and some but not all promise programs</w:t>
      </w:r>
      <w:r w:rsidRPr="003C6DFC">
        <w:rPr>
          <w:rFonts w:ascii="Times New Roman" w:hAnsi="Times New Roman" w:cs="Times New Roman"/>
        </w:rPr>
        <w:t xml:space="preserve"> during the section</w:t>
      </w:r>
      <w:r w:rsidR="00142469">
        <w:rPr>
          <w:rFonts w:ascii="Times New Roman" w:hAnsi="Times New Roman" w:cs="Times New Roman"/>
        </w:rPr>
        <w:t>s</w:t>
      </w:r>
      <w:r w:rsidRPr="003C6DFC">
        <w:rPr>
          <w:rFonts w:ascii="Times New Roman" w:hAnsi="Times New Roman" w:cs="Times New Roman"/>
        </w:rPr>
        <w:t xml:space="preserve"> reviewing empirical financial aid research.</w:t>
      </w:r>
    </w:p>
    <w:p w14:paraId="6D9652D9" w14:textId="50BF0FF0"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lastRenderedPageBreak/>
        <w:t xml:space="preserve">Following this, the federal government became further entangled in the financing of postsecondary education during the 1960s. President Johnson’s suite of Great Society initiatives included the passage of The Higher Education Authorization Act </w:t>
      </w:r>
      <w:sdt>
        <w:sdtPr>
          <w:rPr>
            <w:rFonts w:ascii="Times New Roman" w:hAnsi="Times New Roman" w:cs="Times New Roman"/>
          </w:rPr>
          <w:id w:val="-387639232"/>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Hig65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(1965)</w:t>
          </w:r>
          <w:r w:rsidRPr="003C6DFC">
            <w:rPr>
              <w:rFonts w:ascii="Times New Roman" w:hAnsi="Times New Roman" w:cs="Times New Roman"/>
            </w:rPr>
            <w:fldChar w:fldCharType="end"/>
          </w:r>
        </w:sdtContent>
      </w:sdt>
      <w:r w:rsidRPr="003C6DFC">
        <w:rPr>
          <w:rFonts w:ascii="Times New Roman" w:hAnsi="Times New Roman" w:cs="Times New Roman"/>
        </w:rPr>
        <w:t xml:space="preserve">. This bill and its following reauthorizations have brought with it Title IV funds for students and eligibility requirements for institutions to receive these federally provided student dollars. Title IV introduced federally provided grants and loans to students. Grants were provided through programs proposed by local campuses for how institutions would spend money locally on authorized programs including Higher Education Opportunity Grants and College Work Study. Meanwhile, federally provided loans were portable with respect to students meaning that students applied directly for funds and took these funds with them to their institution of attendance, echoing the government’s previous approach to financing postsecondary education for servicemen following World War II. </w:t>
      </w:r>
    </w:p>
    <w:p w14:paraId="3AF54EA9" w14:textId="12C1D11A"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Hearn </w:t>
      </w:r>
      <w:sdt>
        <w:sdtPr>
          <w:rPr>
            <w:rFonts w:ascii="Times New Roman" w:hAnsi="Times New Roman" w:cs="Times New Roman"/>
          </w:rPr>
          <w:id w:val="-207603363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Hea01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(2001)</w:t>
          </w:r>
          <w:r w:rsidRPr="003C6DFC">
            <w:rPr>
              <w:rFonts w:ascii="Times New Roman" w:hAnsi="Times New Roman" w:cs="Times New Roman"/>
            </w:rPr>
            <w:fldChar w:fldCharType="end"/>
          </w:r>
        </w:sdtContent>
      </w:sdt>
      <w:r w:rsidRPr="003C6DFC">
        <w:rPr>
          <w:rFonts w:ascii="Times New Roman" w:hAnsi="Times New Roman" w:cs="Times New Roman"/>
        </w:rPr>
        <w:t xml:space="preserve"> examined historical documents on the debates regarding expansion of portable student aid and grants provided to campuses leading up to the 1972 reauthorization of The Higher Education Act. Hearn describes the two primary opposing views on this debate as: </w:t>
      </w:r>
    </w:p>
    <w:p w14:paraId="65AF13E9" w14:textId="77777777" w:rsidR="00175501" w:rsidRDefault="002E752C" w:rsidP="00CD45D6">
      <w:pPr>
        <w:pStyle w:val="ListParagraph"/>
        <w:numPr>
          <w:ilvl w:val="0"/>
          <w:numId w:val="29"/>
        </w:numPr>
        <w:rPr>
          <w:rFonts w:ascii="Times New Roman" w:hAnsi="Times New Roman" w:cs="Times New Roman"/>
        </w:rPr>
      </w:pPr>
      <w:r w:rsidRPr="00175501">
        <w:rPr>
          <w:rFonts w:ascii="Times New Roman" w:hAnsi="Times New Roman" w:cs="Times New Roman"/>
        </w:rPr>
        <w:t xml:space="preserve">portable aid advocates argued increased student portable aid would increase student choice between institutions by having the government calculate a student’s eligibility for aid and then offer the student a lump sum they could take to any eligible institutions </w:t>
      </w:r>
      <w:r w:rsidR="00175501">
        <w:rPr>
          <w:rFonts w:ascii="Times New Roman" w:hAnsi="Times New Roman" w:cs="Times New Roman"/>
        </w:rPr>
        <w:t xml:space="preserve">while </w:t>
      </w:r>
    </w:p>
    <w:p w14:paraId="3925EE3B" w14:textId="0ADD66F4" w:rsidR="002E752C" w:rsidRPr="00175501" w:rsidRDefault="002E752C" w:rsidP="00CD45D6">
      <w:pPr>
        <w:pStyle w:val="ListParagraph"/>
        <w:numPr>
          <w:ilvl w:val="0"/>
          <w:numId w:val="29"/>
        </w:numPr>
        <w:rPr>
          <w:rFonts w:ascii="Times New Roman" w:hAnsi="Times New Roman" w:cs="Times New Roman"/>
        </w:rPr>
      </w:pPr>
      <w:r w:rsidRPr="00175501">
        <w:rPr>
          <w:rFonts w:ascii="Times New Roman" w:hAnsi="Times New Roman" w:cs="Times New Roman"/>
        </w:rPr>
        <w:t xml:space="preserve">campus grant advocates believed that the government’s role in providing financial aid should be that of a facilitator rather than funder </w:t>
      </w:r>
      <w:r w:rsidR="00175501">
        <w:rPr>
          <w:rFonts w:ascii="Times New Roman" w:hAnsi="Times New Roman" w:cs="Times New Roman"/>
        </w:rPr>
        <w:t>and</w:t>
      </w:r>
      <w:r w:rsidRPr="00175501">
        <w:rPr>
          <w:rFonts w:ascii="Times New Roman" w:hAnsi="Times New Roman" w:cs="Times New Roman"/>
        </w:rPr>
        <w:t xml:space="preserve"> provide </w:t>
      </w:r>
      <w:r w:rsidR="00D03DA5">
        <w:rPr>
          <w:rFonts w:ascii="Times New Roman" w:hAnsi="Times New Roman" w:cs="Times New Roman"/>
        </w:rPr>
        <w:t>an</w:t>
      </w:r>
      <w:r w:rsidRPr="00175501">
        <w:rPr>
          <w:rFonts w:ascii="Times New Roman" w:hAnsi="Times New Roman" w:cs="Times New Roman"/>
        </w:rPr>
        <w:t xml:space="preserve"> opportunity </w:t>
      </w:r>
      <w:r w:rsidR="00D03DA5">
        <w:rPr>
          <w:rFonts w:ascii="Times New Roman" w:hAnsi="Times New Roman" w:cs="Times New Roman"/>
        </w:rPr>
        <w:t xml:space="preserve">for </w:t>
      </w:r>
      <w:r w:rsidRPr="00175501">
        <w:rPr>
          <w:rFonts w:ascii="Times New Roman" w:hAnsi="Times New Roman" w:cs="Times New Roman"/>
        </w:rPr>
        <w:lastRenderedPageBreak/>
        <w:t>equal access</w:t>
      </w:r>
      <w:r w:rsidR="006905F2">
        <w:rPr>
          <w:rFonts w:ascii="Times New Roman" w:hAnsi="Times New Roman" w:cs="Times New Roman"/>
        </w:rPr>
        <w:t xml:space="preserve"> to postsecondary education</w:t>
      </w:r>
      <w:r w:rsidRPr="00175501">
        <w:rPr>
          <w:rFonts w:ascii="Times New Roman" w:hAnsi="Times New Roman" w:cs="Times New Roman"/>
        </w:rPr>
        <w:t xml:space="preserve"> through specifically targeting the lowest income students. </w:t>
      </w:r>
    </w:p>
    <w:p w14:paraId="7F3111B1" w14:textId="5728AB25" w:rsidR="002E752C" w:rsidRPr="003C6DFC" w:rsidRDefault="002E752C" w:rsidP="00CD45D6">
      <w:pPr>
        <w:spacing w:line="480" w:lineRule="auto"/>
        <w:rPr>
          <w:rFonts w:ascii="Times New Roman" w:hAnsi="Times New Roman" w:cs="Times New Roman"/>
        </w:rPr>
      </w:pPr>
      <w:r w:rsidRPr="003C6DFC">
        <w:rPr>
          <w:rFonts w:ascii="Times New Roman" w:hAnsi="Times New Roman" w:cs="Times New Roman"/>
        </w:rPr>
        <w:t xml:space="preserve">Following debate, congress responded to increasing advocacy for student choice </w:t>
      </w:r>
      <w:r w:rsidR="000147BB">
        <w:rPr>
          <w:rFonts w:ascii="Times New Roman" w:hAnsi="Times New Roman" w:cs="Times New Roman"/>
        </w:rPr>
        <w:t>by shifting toward</w:t>
      </w:r>
      <w:r w:rsidRPr="003C6DFC">
        <w:rPr>
          <w:rFonts w:ascii="Times New Roman" w:hAnsi="Times New Roman" w:cs="Times New Roman"/>
        </w:rPr>
        <w:t xml:space="preserve"> portable aid leading up to the second authorization of The Higher Education Act</w:t>
      </w:r>
      <w:r w:rsidR="00CC5865">
        <w:rPr>
          <w:rFonts w:ascii="Times New Roman" w:hAnsi="Times New Roman" w:cs="Times New Roman"/>
        </w:rPr>
        <w:t xml:space="preserve">. This effectively </w:t>
      </w:r>
      <w:r w:rsidR="00CC5865" w:rsidRPr="003C6DFC">
        <w:rPr>
          <w:rFonts w:ascii="Times New Roman" w:hAnsi="Times New Roman" w:cs="Times New Roman"/>
        </w:rPr>
        <w:t>decide</w:t>
      </w:r>
      <w:r w:rsidR="00CC5865">
        <w:rPr>
          <w:rFonts w:ascii="Times New Roman" w:hAnsi="Times New Roman" w:cs="Times New Roman"/>
        </w:rPr>
        <w:t>d</w:t>
      </w:r>
      <w:r w:rsidRPr="003C6DFC">
        <w:rPr>
          <w:rFonts w:ascii="Times New Roman" w:hAnsi="Times New Roman" w:cs="Times New Roman"/>
        </w:rPr>
        <w:t xml:space="preserve"> that the federal government had a role in regulating how the aid monies it provided were dispersed to students through its existing loan programs and the then newly introduced Pell Grant. While campus grant programs such as federal work study remained intact, Hearn’s </w:t>
      </w:r>
      <w:sdt>
        <w:sdtPr>
          <w:rPr>
            <w:rFonts w:ascii="Times New Roman" w:hAnsi="Times New Roman" w:cs="Times New Roman"/>
          </w:rPr>
          <w:id w:val="-1695304289"/>
          <w:citation/>
        </w:sdtPr>
        <w:sdtContent>
          <w:r w:rsidR="001B3FE6">
            <w:rPr>
              <w:rFonts w:ascii="Times New Roman" w:hAnsi="Times New Roman" w:cs="Times New Roman"/>
            </w:rPr>
            <w:fldChar w:fldCharType="begin"/>
          </w:r>
          <w:r w:rsidR="001B3FE6">
            <w:rPr>
              <w:rFonts w:ascii="Times New Roman" w:hAnsi="Times New Roman" w:cs="Times New Roman"/>
            </w:rPr>
            <w:instrText xml:space="preserve">CITATION Hea01 \n  \t  \l 1033 </w:instrText>
          </w:r>
          <w:r w:rsidR="001B3FE6">
            <w:rPr>
              <w:rFonts w:ascii="Times New Roman" w:hAnsi="Times New Roman" w:cs="Times New Roman"/>
            </w:rPr>
            <w:fldChar w:fldCharType="separate"/>
          </w:r>
          <w:r w:rsidR="00A10468" w:rsidRPr="00A10468">
            <w:rPr>
              <w:rFonts w:ascii="Times New Roman" w:hAnsi="Times New Roman" w:cs="Times New Roman"/>
              <w:noProof/>
            </w:rPr>
            <w:t>(2001)</w:t>
          </w:r>
          <w:r w:rsidR="001B3FE6">
            <w:rPr>
              <w:rFonts w:ascii="Times New Roman" w:hAnsi="Times New Roman" w:cs="Times New Roman"/>
            </w:rPr>
            <w:fldChar w:fldCharType="end"/>
          </w:r>
        </w:sdtContent>
      </w:sdt>
      <w:r w:rsidR="001B3FE6">
        <w:rPr>
          <w:rFonts w:ascii="Times New Roman" w:hAnsi="Times New Roman" w:cs="Times New Roman"/>
        </w:rPr>
        <w:t xml:space="preserve"> </w:t>
      </w:r>
      <w:r w:rsidRPr="003C6DFC">
        <w:rPr>
          <w:rFonts w:ascii="Times New Roman" w:hAnsi="Times New Roman" w:cs="Times New Roman"/>
        </w:rPr>
        <w:t xml:space="preserve">review of federal spending levels across aid programs from 1963 to 1990 following this philosophical shift toward student choice in 1972 found that student participation and the costs of portable aid quickly outpaced campus provided grants. </w:t>
      </w:r>
    </w:p>
    <w:p w14:paraId="18809F5A" w14:textId="0A6185CC"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Following this, the 1970s saw </w:t>
      </w:r>
      <w:r w:rsidR="00462F6C">
        <w:rPr>
          <w:rFonts w:ascii="Times New Roman" w:hAnsi="Times New Roman" w:cs="Times New Roman"/>
        </w:rPr>
        <w:t xml:space="preserve">renewed </w:t>
      </w:r>
      <w:r w:rsidRPr="003C6DFC">
        <w:rPr>
          <w:rFonts w:ascii="Times New Roman" w:hAnsi="Times New Roman" w:cs="Times New Roman"/>
        </w:rPr>
        <w:t xml:space="preserve">discussion about if the federal government should support higher education by financing students’ costs or by providing institutional funds through grants. These approaches were introduced by the Senate and House respectively during Nixon’s presidency. The Senate’s bill introduced the basic educational opportunity grant that would later become the Pell Grant program. Following a report from the National Commission on the Financing of Postsecondary Education </w:t>
      </w:r>
      <w:r w:rsidR="00596E0D">
        <w:rPr>
          <w:rFonts w:ascii="Times New Roman" w:hAnsi="Times New Roman" w:cs="Times New Roman"/>
        </w:rPr>
        <w:t>which</w:t>
      </w:r>
      <w:r w:rsidRPr="003C6DFC">
        <w:rPr>
          <w:rFonts w:ascii="Times New Roman" w:hAnsi="Times New Roman" w:cs="Times New Roman"/>
        </w:rPr>
        <w:t xml:space="preserve"> found higher enrollments were tied to portable student aid rather than institutional support</w:t>
      </w:r>
      <w:r w:rsidR="00596E0D">
        <w:rPr>
          <w:rFonts w:ascii="Times New Roman" w:hAnsi="Times New Roman" w:cs="Times New Roman"/>
        </w:rPr>
        <w:t>.</w:t>
      </w:r>
      <w:r w:rsidR="00E42DB1">
        <w:rPr>
          <w:rFonts w:ascii="Times New Roman" w:hAnsi="Times New Roman" w:cs="Times New Roman"/>
        </w:rPr>
        <w:t xml:space="preserve"> The Senate’s and House’s bills</w:t>
      </w:r>
      <w:r w:rsidRPr="003C6DFC">
        <w:rPr>
          <w:rFonts w:ascii="Times New Roman" w:hAnsi="Times New Roman" w:cs="Times New Roman"/>
        </w:rPr>
        <w:t xml:space="preserve"> were reconciled to further push federal involvement in postsecondary finance toward portable student aid. At this time, the amount of portable grants as compared to loans for the number of enrolling students was </w:t>
      </w:r>
      <w:r w:rsidRPr="003C6DFC">
        <w:rPr>
          <w:rFonts w:ascii="Times New Roman" w:hAnsi="Times New Roman" w:cs="Times New Roman"/>
        </w:rPr>
        <w:lastRenderedPageBreak/>
        <w:t xml:space="preserve">high and gaps in postsecondary enrollment by race nearly disappeared </w:t>
      </w:r>
      <w:sdt>
        <w:sdtPr>
          <w:rPr>
            <w:rFonts w:ascii="Times New Roman" w:hAnsi="Times New Roman" w:cs="Times New Roman"/>
          </w:rPr>
          <w:id w:val="-98030328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StJ18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(St. John, Daun-Barnett, &amp; Moronski-Chapman, 2018)</w:t>
          </w:r>
          <w:r w:rsidRPr="003C6DFC">
            <w:rPr>
              <w:rFonts w:ascii="Times New Roman" w:hAnsi="Times New Roman" w:cs="Times New Roman"/>
            </w:rPr>
            <w:fldChar w:fldCharType="end"/>
          </w:r>
        </w:sdtContent>
      </w:sdt>
      <w:r w:rsidRPr="003C6DFC">
        <w:rPr>
          <w:rFonts w:ascii="Times New Roman" w:hAnsi="Times New Roman" w:cs="Times New Roman"/>
        </w:rPr>
        <w:t xml:space="preserve">. </w:t>
      </w:r>
    </w:p>
    <w:p w14:paraId="196DF07A" w14:textId="2B95C2A1"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During this time the price of higher education began to rise, and President Carter signed off on postsecondary education tax credits for families of students middle-income and higher-income students in 1978. This resulted in students from middle-income and higher-income families accessing more expensive institutions using a combination of  guaranteed student loans and the tax credit to access higher education more affordably than before. As institutions shifted this aid away from low-income students to middle-income students, racial enrollment gaps reappeared in </w:t>
      </w:r>
      <w:r w:rsidR="002E0619">
        <w:rPr>
          <w:rFonts w:ascii="Times New Roman" w:hAnsi="Times New Roman" w:cs="Times New Roman"/>
        </w:rPr>
        <w:t>United States</w:t>
      </w:r>
      <w:r w:rsidRPr="003C6DFC">
        <w:rPr>
          <w:rFonts w:ascii="Times New Roman" w:hAnsi="Times New Roman" w:cs="Times New Roman"/>
        </w:rPr>
        <w:t xml:space="preserve"> postsecondary education</w:t>
      </w:r>
      <w:r w:rsidR="00C92669">
        <w:rPr>
          <w:rFonts w:ascii="Times New Roman" w:hAnsi="Times New Roman" w:cs="Times New Roman"/>
        </w:rPr>
        <w:t xml:space="preserve"> (St John et al., 2018)</w:t>
      </w:r>
      <w:r w:rsidRPr="003C6DFC">
        <w:rPr>
          <w:rFonts w:ascii="Times New Roman" w:hAnsi="Times New Roman" w:cs="Times New Roman"/>
        </w:rPr>
        <w:t>.</w:t>
      </w:r>
    </w:p>
    <w:p w14:paraId="29AF3550" w14:textId="20E850E1"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Following this period of expansion for federal student funding in higher education and its subsequent increased cost, President Reagan claimed that universities </w:t>
      </w:r>
      <w:r w:rsidR="00A05E45">
        <w:rPr>
          <w:rFonts w:ascii="Times New Roman" w:hAnsi="Times New Roman" w:cs="Times New Roman"/>
        </w:rPr>
        <w:t xml:space="preserve">had </w:t>
      </w:r>
      <w:r w:rsidRPr="003C6DFC">
        <w:rPr>
          <w:rFonts w:ascii="Times New Roman" w:hAnsi="Times New Roman" w:cs="Times New Roman"/>
        </w:rPr>
        <w:t xml:space="preserve">pursued increased profits by raising prices billed to students </w:t>
      </w:r>
      <w:r w:rsidR="00A05E45">
        <w:rPr>
          <w:rFonts w:ascii="Times New Roman" w:hAnsi="Times New Roman" w:cs="Times New Roman"/>
        </w:rPr>
        <w:t xml:space="preserve">who were </w:t>
      </w:r>
      <w:r w:rsidRPr="003C6DFC">
        <w:rPr>
          <w:rFonts w:ascii="Times New Roman" w:hAnsi="Times New Roman" w:cs="Times New Roman"/>
        </w:rPr>
        <w:t xml:space="preserve">using the federal government’s </w:t>
      </w:r>
      <w:r w:rsidR="00146865">
        <w:rPr>
          <w:rFonts w:ascii="Times New Roman" w:hAnsi="Times New Roman" w:cs="Times New Roman"/>
        </w:rPr>
        <w:t>portable aid</w:t>
      </w:r>
      <w:r w:rsidRPr="003C6DFC">
        <w:rPr>
          <w:rFonts w:ascii="Times New Roman" w:hAnsi="Times New Roman" w:cs="Times New Roman"/>
        </w:rPr>
        <w:t xml:space="preserve">. This belief, which is known as the Bennett Hypothesis, has received </w:t>
      </w:r>
      <w:r w:rsidR="00BC2FF3">
        <w:rPr>
          <w:rFonts w:ascii="Times New Roman" w:hAnsi="Times New Roman" w:cs="Times New Roman"/>
        </w:rPr>
        <w:t xml:space="preserve">some challenges to its legitimacy </w:t>
      </w:r>
      <w:r w:rsidRPr="003C6DFC">
        <w:rPr>
          <w:rFonts w:ascii="Times New Roman" w:hAnsi="Times New Roman" w:cs="Times New Roman"/>
        </w:rPr>
        <w:t xml:space="preserve">from empirical research. For example, Kelchen </w:t>
      </w:r>
      <w:sdt>
        <w:sdtPr>
          <w:rPr>
            <w:rFonts w:ascii="Times New Roman" w:hAnsi="Times New Roman" w:cs="Times New Roman"/>
          </w:rPr>
          <w:id w:val="176341405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Kel20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found little consistent evidence of increased tuition and fee billing when using an interrupted time series approach to study the effect of access to student aid following an expansion for federally provided graduate student aid in 2006. </w:t>
      </w:r>
    </w:p>
    <w:p w14:paraId="419D125B" w14:textId="44EC8977"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More broadly, other researchers found results ranging from null evidence to moderate evidence in support of the Bennett hypothesis or a modified version of it as provided by </w:t>
      </w:r>
      <w:r w:rsidR="001C05D3">
        <w:rPr>
          <w:rFonts w:ascii="Times New Roman" w:hAnsi="Times New Roman" w:cs="Times New Roman"/>
        </w:rPr>
        <w:t>Gillen in 2012</w:t>
      </w:r>
      <w:r w:rsidR="00AF17A9">
        <w:rPr>
          <w:rFonts w:ascii="Times New Roman" w:hAnsi="Times New Roman" w:cs="Times New Roman"/>
        </w:rPr>
        <w:t xml:space="preserve"> </w:t>
      </w:r>
      <w:r w:rsidR="001C05D3">
        <w:rPr>
          <w:rFonts w:ascii="Times New Roman" w:hAnsi="Times New Roman" w:cs="Times New Roman"/>
        </w:rPr>
        <w:t>(</w:t>
      </w:r>
      <w:r w:rsidRPr="003C6DFC">
        <w:rPr>
          <w:rFonts w:ascii="Times New Roman" w:hAnsi="Times New Roman" w:cs="Times New Roman"/>
          <w:noProof/>
        </w:rPr>
        <w:t>Barid</w:t>
      </w:r>
      <w:r w:rsidR="00F22FAC">
        <w:rPr>
          <w:rFonts w:ascii="Times New Roman" w:hAnsi="Times New Roman" w:cs="Times New Roman"/>
          <w:noProof/>
        </w:rPr>
        <w:t xml:space="preserve"> et al.</w:t>
      </w:r>
      <w:r w:rsidRPr="003C6DFC">
        <w:rPr>
          <w:rFonts w:ascii="Times New Roman" w:hAnsi="Times New Roman" w:cs="Times New Roman"/>
          <w:noProof/>
        </w:rPr>
        <w:t xml:space="preserve">, 2019; Cellini &amp; Goldin, 2014; Gillen, 2012; Lau, 2014; Lucca, Nadauld, &amp; Shen, 2015; Rizzo &amp; Ehrenberg, 2003; Singell &amp; Stone, 2007; </w:t>
      </w:r>
      <w:r w:rsidRPr="003C6DFC">
        <w:rPr>
          <w:rFonts w:ascii="Times New Roman" w:hAnsi="Times New Roman" w:cs="Times New Roman"/>
          <w:noProof/>
        </w:rPr>
        <w:lastRenderedPageBreak/>
        <w:t>Miller-Adams, 202</w:t>
      </w:r>
      <w:r w:rsidR="007C2FB2" w:rsidRPr="007C2FB2">
        <w:rPr>
          <w:rFonts w:ascii="Times New Roman" w:hAnsi="Times New Roman" w:cs="Times New Roman"/>
          <w:noProof/>
        </w:rPr>
        <w:t>1).</w:t>
      </w:r>
      <w:r w:rsidRPr="007C2FB2">
        <w:rPr>
          <w:rFonts w:ascii="Times New Roman" w:hAnsi="Times New Roman" w:cs="Times New Roman"/>
        </w:rPr>
        <w:t xml:space="preserve"> </w:t>
      </w:r>
      <w:r w:rsidRPr="003C6DFC">
        <w:rPr>
          <w:rFonts w:ascii="Times New Roman" w:hAnsi="Times New Roman" w:cs="Times New Roman"/>
        </w:rPr>
        <w:t xml:space="preserve">Under the guidance of the claim that colleges were wasteful, the federal government shifted away from funding students through Pell Grants toward federal and private loans for students to afford higher education. More recently, incremental policy changes such as a 1992 change in financial need calculations </w:t>
      </w:r>
      <w:r w:rsidR="006A326C">
        <w:rPr>
          <w:rFonts w:ascii="Times New Roman" w:hAnsi="Times New Roman" w:cs="Times New Roman"/>
        </w:rPr>
        <w:t>that introduced</w:t>
      </w:r>
      <w:r w:rsidRPr="003C6DFC">
        <w:rPr>
          <w:rFonts w:ascii="Times New Roman" w:hAnsi="Times New Roman" w:cs="Times New Roman"/>
        </w:rPr>
        <w:t xml:space="preserve"> an exclusion for home equity from calculations have directed more federal dollars toward middle-income and higher-income students </w:t>
      </w:r>
      <w:sdt>
        <w:sdtPr>
          <w:rPr>
            <w:rFonts w:ascii="Times New Roman" w:hAnsi="Times New Roman" w:cs="Times New Roman"/>
          </w:rPr>
          <w:id w:val="68247265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Sch93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(Schenet, 1993)</w:t>
          </w:r>
          <w:r w:rsidRPr="003C6DFC">
            <w:rPr>
              <w:rFonts w:ascii="Times New Roman" w:hAnsi="Times New Roman" w:cs="Times New Roman"/>
            </w:rPr>
            <w:fldChar w:fldCharType="end"/>
          </w:r>
        </w:sdtContent>
      </w:sdt>
      <w:r w:rsidRPr="003C6DFC">
        <w:rPr>
          <w:rFonts w:ascii="Times New Roman" w:hAnsi="Times New Roman" w:cs="Times New Roman"/>
        </w:rPr>
        <w:t>.</w:t>
      </w:r>
    </w:p>
    <w:p w14:paraId="41D61429" w14:textId="7F629F83" w:rsidR="002E752C" w:rsidRPr="003C6DFC" w:rsidRDefault="002E752C" w:rsidP="00CD45D6">
      <w:pPr>
        <w:numPr>
          <w:ilvl w:val="12"/>
          <w:numId w:val="0"/>
        </w:numPr>
        <w:spacing w:line="480" w:lineRule="auto"/>
        <w:ind w:firstLine="720"/>
        <w:rPr>
          <w:rFonts w:ascii="Times New Roman" w:hAnsi="Times New Roman" w:cs="Times New Roman"/>
        </w:rPr>
      </w:pPr>
      <w:r w:rsidRPr="003C6DFC">
        <w:rPr>
          <w:rFonts w:ascii="Times New Roman" w:hAnsi="Times New Roman" w:cs="Times New Roman"/>
        </w:rPr>
        <w:t xml:space="preserve">St. John et al. </w:t>
      </w:r>
      <w:sdt>
        <w:sdtPr>
          <w:rPr>
            <w:rFonts w:ascii="Times New Roman" w:hAnsi="Times New Roman" w:cs="Times New Roman"/>
          </w:rPr>
          <w:id w:val="1484736209"/>
          <w:citation/>
        </w:sdtPr>
        <w:sdtContent>
          <w:r w:rsidR="00683C25">
            <w:rPr>
              <w:rFonts w:ascii="Times New Roman" w:hAnsi="Times New Roman" w:cs="Times New Roman"/>
            </w:rPr>
            <w:fldChar w:fldCharType="begin"/>
          </w:r>
          <w:r w:rsidR="00683C25">
            <w:rPr>
              <w:rFonts w:ascii="Times New Roman" w:hAnsi="Times New Roman" w:cs="Times New Roman"/>
            </w:rPr>
            <w:instrText xml:space="preserve">CITATION StJ18 \n  \t  \l 1033 </w:instrText>
          </w:r>
          <w:r w:rsidR="00683C25">
            <w:rPr>
              <w:rFonts w:ascii="Times New Roman" w:hAnsi="Times New Roman" w:cs="Times New Roman"/>
            </w:rPr>
            <w:fldChar w:fldCharType="separate"/>
          </w:r>
          <w:r w:rsidR="00A10468" w:rsidRPr="00A10468">
            <w:rPr>
              <w:rFonts w:ascii="Times New Roman" w:hAnsi="Times New Roman" w:cs="Times New Roman"/>
              <w:noProof/>
            </w:rPr>
            <w:t>(2018)</w:t>
          </w:r>
          <w:r w:rsidR="00683C25">
            <w:rPr>
              <w:rFonts w:ascii="Times New Roman" w:hAnsi="Times New Roman" w:cs="Times New Roman"/>
            </w:rPr>
            <w:fldChar w:fldCharType="end"/>
          </w:r>
        </w:sdtContent>
      </w:sdt>
      <w:r w:rsidRPr="003C6DFC">
        <w:rPr>
          <w:rFonts w:ascii="Times New Roman" w:hAnsi="Times New Roman" w:cs="Times New Roman"/>
        </w:rPr>
        <w:t xml:space="preserve"> described this shift from a post-War World II, structural model with grants provided to institutions to the current, neo-liberal free-market model where students apply directly for funding that they take with them to institutions in further detail than is necessary to review here. However, a key-take away of their historical review is that while the free-market model has coincided with increased enrollment by headcount as higher education access has expanded, there has also been a downside in that this access to a postsecondary education and its subsequent degree production have been inequitably distributed across racial and socio-economic lines.</w:t>
      </w:r>
    </w:p>
    <w:p w14:paraId="4CD04056" w14:textId="0089EE3A" w:rsidR="002E752C" w:rsidRPr="003C6DFC" w:rsidRDefault="002E752C" w:rsidP="00CD45D6">
      <w:pPr>
        <w:pStyle w:val="Heading3"/>
        <w:spacing w:before="0" w:after="0"/>
      </w:pPr>
      <w:bookmarkStart w:id="21" w:name="_Toc420995899"/>
      <w:bookmarkStart w:id="22" w:name="_Toc422997486"/>
      <w:bookmarkStart w:id="23" w:name="_Toc427156469"/>
      <w:bookmarkStart w:id="24" w:name="_Toc183282258"/>
      <w:r w:rsidRPr="003C6DFC">
        <w:t>State Governments’ Role in Student Financial Aid</w:t>
      </w:r>
      <w:bookmarkEnd w:id="21"/>
      <w:bookmarkEnd w:id="22"/>
      <w:bookmarkEnd w:id="23"/>
      <w:bookmarkEnd w:id="24"/>
    </w:p>
    <w:p w14:paraId="6C40FC1B" w14:textId="77E7AACE"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While the federal government’s involvement in financing postsecondary education is limited to student aid and federally provided grant-related activities, states play a more direct role in financing higher education. Historically, states provide the land, facilities, and appropriations for </w:t>
      </w:r>
      <w:r w:rsidR="002F4270">
        <w:rPr>
          <w:rFonts w:ascii="Times New Roman" w:hAnsi="Times New Roman" w:cs="Times New Roman"/>
        </w:rPr>
        <w:t>public</w:t>
      </w:r>
      <w:r w:rsidRPr="003C6DFC">
        <w:rPr>
          <w:rFonts w:ascii="Times New Roman" w:hAnsi="Times New Roman" w:cs="Times New Roman"/>
        </w:rPr>
        <w:t xml:space="preserve"> colleges and universities to operate </w:t>
      </w:r>
      <w:sdt>
        <w:sdtPr>
          <w:rPr>
            <w:rFonts w:ascii="Times New Roman" w:hAnsi="Times New Roman" w:cs="Times New Roman"/>
          </w:rPr>
          <w:id w:val="2137919040"/>
          <w:citation/>
        </w:sdtPr>
        <w:sdtContent>
          <w:r w:rsidR="001704AA">
            <w:rPr>
              <w:rFonts w:ascii="Times New Roman" w:hAnsi="Times New Roman" w:cs="Times New Roman"/>
            </w:rPr>
            <w:fldChar w:fldCharType="begin"/>
          </w:r>
          <w:r w:rsidR="001704AA">
            <w:rPr>
              <w:rFonts w:ascii="Times New Roman" w:hAnsi="Times New Roman" w:cs="Times New Roman"/>
            </w:rPr>
            <w:instrText xml:space="preserve"> CITATION Dou04 \l 1033 </w:instrText>
          </w:r>
          <w:r w:rsidR="001704AA">
            <w:rPr>
              <w:rFonts w:ascii="Times New Roman" w:hAnsi="Times New Roman" w:cs="Times New Roman"/>
            </w:rPr>
            <w:fldChar w:fldCharType="separate"/>
          </w:r>
          <w:r w:rsidR="00A10468" w:rsidRPr="00A10468">
            <w:rPr>
              <w:rFonts w:ascii="Times New Roman" w:hAnsi="Times New Roman" w:cs="Times New Roman"/>
              <w:noProof/>
            </w:rPr>
            <w:t>(Dougherty, 2004)</w:t>
          </w:r>
          <w:r w:rsidR="001704AA">
            <w:rPr>
              <w:rFonts w:ascii="Times New Roman" w:hAnsi="Times New Roman" w:cs="Times New Roman"/>
            </w:rPr>
            <w:fldChar w:fldCharType="end"/>
          </w:r>
        </w:sdtContent>
      </w:sdt>
      <w:r w:rsidRPr="003C6DFC">
        <w:rPr>
          <w:rFonts w:ascii="Times New Roman" w:hAnsi="Times New Roman" w:cs="Times New Roman"/>
        </w:rPr>
        <w:t>. Although, through the 19</w:t>
      </w:r>
      <w:r w:rsidRPr="003C6DFC">
        <w:rPr>
          <w:rFonts w:ascii="Times New Roman" w:hAnsi="Times New Roman" w:cs="Times New Roman"/>
          <w:vertAlign w:val="superscript"/>
        </w:rPr>
        <w:t>th</w:t>
      </w:r>
      <w:r w:rsidRPr="003C6DFC">
        <w:rPr>
          <w:rFonts w:ascii="Times New Roman" w:hAnsi="Times New Roman" w:cs="Times New Roman"/>
        </w:rPr>
        <w:t xml:space="preserve"> century, much of this state-provided revenue did originate with the federal government’s Morrill Land Grant Act of 1862 which allowed states to sell land to afford operating their land-grant institutions </w:t>
      </w:r>
      <w:sdt>
        <w:sdtPr>
          <w:rPr>
            <w:rFonts w:ascii="Times New Roman" w:hAnsi="Times New Roman" w:cs="Times New Roman"/>
          </w:rPr>
          <w:id w:val="-168496340"/>
          <w:citation/>
        </w:sdtPr>
        <w:sdtContent>
          <w:r w:rsidR="007D26A1">
            <w:rPr>
              <w:rFonts w:ascii="Times New Roman" w:hAnsi="Times New Roman" w:cs="Times New Roman"/>
            </w:rPr>
            <w:fldChar w:fldCharType="begin"/>
          </w:r>
          <w:r w:rsidR="007D26A1">
            <w:rPr>
              <w:rFonts w:ascii="Times New Roman" w:hAnsi="Times New Roman" w:cs="Times New Roman"/>
            </w:rPr>
            <w:instrText xml:space="preserve"> CITATION Cro19 \l 1033 </w:instrText>
          </w:r>
          <w:r w:rsidR="007D26A1">
            <w:rPr>
              <w:rFonts w:ascii="Times New Roman" w:hAnsi="Times New Roman" w:cs="Times New Roman"/>
            </w:rPr>
            <w:fldChar w:fldCharType="separate"/>
          </w:r>
          <w:r w:rsidR="00A10468" w:rsidRPr="00A10468">
            <w:rPr>
              <w:rFonts w:ascii="Times New Roman" w:hAnsi="Times New Roman" w:cs="Times New Roman"/>
              <w:noProof/>
            </w:rPr>
            <w:t>(Croft, 2019)</w:t>
          </w:r>
          <w:r w:rsidR="007D26A1">
            <w:rPr>
              <w:rFonts w:ascii="Times New Roman" w:hAnsi="Times New Roman" w:cs="Times New Roman"/>
            </w:rPr>
            <w:fldChar w:fldCharType="end"/>
          </w:r>
        </w:sdtContent>
      </w:sdt>
      <w:r w:rsidRPr="003C6DFC">
        <w:rPr>
          <w:rFonts w:ascii="Times New Roman" w:hAnsi="Times New Roman" w:cs="Times New Roman"/>
        </w:rPr>
        <w:t xml:space="preserve">. </w:t>
      </w:r>
      <w:r w:rsidRPr="003C6DFC">
        <w:rPr>
          <w:rFonts w:ascii="Times New Roman" w:hAnsi="Times New Roman" w:cs="Times New Roman"/>
        </w:rPr>
        <w:lastRenderedPageBreak/>
        <w:t xml:space="preserve">Consequently, access to this funding stream was primarily provided to </w:t>
      </w:r>
      <w:r w:rsidR="002D2411">
        <w:rPr>
          <w:rFonts w:ascii="Times New Roman" w:hAnsi="Times New Roman" w:cs="Times New Roman"/>
        </w:rPr>
        <w:t xml:space="preserve">now </w:t>
      </w:r>
      <w:r w:rsidRPr="003C6DFC">
        <w:rPr>
          <w:rFonts w:ascii="Times New Roman" w:hAnsi="Times New Roman" w:cs="Times New Roman"/>
        </w:rPr>
        <w:t xml:space="preserve">currently predominately White institutions (PWI) which were previously racially segregated during this time. This history contributes to current financial inequity between PWI land-grant campuses and </w:t>
      </w:r>
      <w:r w:rsidR="00920850">
        <w:rPr>
          <w:rFonts w:ascii="Times New Roman" w:hAnsi="Times New Roman" w:cs="Times New Roman"/>
        </w:rPr>
        <w:t xml:space="preserve">public, </w:t>
      </w:r>
      <w:r w:rsidRPr="003C6DFC">
        <w:rPr>
          <w:rFonts w:ascii="Times New Roman" w:hAnsi="Times New Roman" w:cs="Times New Roman"/>
        </w:rPr>
        <w:t xml:space="preserve">historically Black colleges and universities today. </w:t>
      </w:r>
    </w:p>
    <w:p w14:paraId="141481FC" w14:textId="35611D42" w:rsidR="002E752C" w:rsidRPr="003C6DFC" w:rsidRDefault="002E752C" w:rsidP="00CD45D6">
      <w:pPr>
        <w:spacing w:line="480" w:lineRule="auto"/>
        <w:rPr>
          <w:rFonts w:ascii="Times New Roman" w:hAnsi="Times New Roman" w:cs="Times New Roman"/>
        </w:rPr>
      </w:pPr>
      <w:r w:rsidRPr="003C6DFC">
        <w:rPr>
          <w:rFonts w:ascii="Times New Roman" w:hAnsi="Times New Roman" w:cs="Times New Roman"/>
        </w:rPr>
        <w:tab/>
        <w:t xml:space="preserve">Regarding higher education, this system primarily financed a specific institution designated as a land-grant institution in each state for the purposes of instruction in agricultural and mechanical programs. At this time revenue streams for institutions were limited, and institutions charged nominal but non-zero tuition amounts. Thus, by merit of existence these charges could preclude poorer students from attendance due to cost. As researched by Heller </w:t>
      </w:r>
      <w:sdt>
        <w:sdtPr>
          <w:rPr>
            <w:rFonts w:ascii="Times New Roman" w:hAnsi="Times New Roman" w:cs="Times New Roman"/>
          </w:rPr>
          <w:id w:val="-189696541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Hel06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(2006)</w:t>
          </w:r>
          <w:r w:rsidRPr="003C6DFC">
            <w:rPr>
              <w:rFonts w:ascii="Times New Roman" w:hAnsi="Times New Roman" w:cs="Times New Roman"/>
            </w:rPr>
            <w:fldChar w:fldCharType="end"/>
          </w:r>
        </w:sdtContent>
      </w:sdt>
      <w:r w:rsidRPr="003C6DFC">
        <w:rPr>
          <w:rFonts w:ascii="Times New Roman" w:hAnsi="Times New Roman" w:cs="Times New Roman"/>
        </w:rPr>
        <w:t xml:space="preserve">, tuition and fee rates during the mid-1800s included charges of $12 at the University Wisconsin in 1855, $10 at the University of Tennessee in 1866, $5 at the University of Illinois in 1868, $15 at Ohio State University in 1874, and $5 at the University of Missouri in 1874. During this time, a limited number of scholarships were issued by institutions. However, these opportunities were limited by a low demand fueled by a fledgling primary/secondary education system, a lower economic demand for college graduates, and unequal opportunities for accessing postsecondary education across racial and socio-economic groups </w:t>
      </w:r>
      <w:sdt>
        <w:sdtPr>
          <w:rPr>
            <w:rFonts w:ascii="Times New Roman" w:hAnsi="Times New Roman" w:cs="Times New Roman"/>
          </w:rPr>
          <w:id w:val="-149124525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Gol99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(Goldin &amp; Katz, 1999)</w:t>
          </w:r>
          <w:r w:rsidRPr="003C6DFC">
            <w:rPr>
              <w:rFonts w:ascii="Times New Roman" w:hAnsi="Times New Roman" w:cs="Times New Roman"/>
            </w:rPr>
            <w:fldChar w:fldCharType="end"/>
          </w:r>
        </w:sdtContent>
      </w:sdt>
      <w:r w:rsidRPr="003C6DFC">
        <w:rPr>
          <w:rFonts w:ascii="Times New Roman" w:hAnsi="Times New Roman" w:cs="Times New Roman"/>
        </w:rPr>
        <w:t>.</w:t>
      </w:r>
    </w:p>
    <w:p w14:paraId="71CB62DB" w14:textId="040E1FB6" w:rsidR="002E752C" w:rsidRPr="003C6DFC" w:rsidRDefault="002E752C" w:rsidP="00CD45D6">
      <w:pPr>
        <w:spacing w:line="480" w:lineRule="auto"/>
        <w:rPr>
          <w:rFonts w:ascii="Times New Roman" w:hAnsi="Times New Roman" w:cs="Times New Roman"/>
        </w:rPr>
      </w:pPr>
      <w:r w:rsidRPr="003C6DFC">
        <w:rPr>
          <w:rFonts w:ascii="Times New Roman" w:hAnsi="Times New Roman" w:cs="Times New Roman"/>
        </w:rPr>
        <w:tab/>
        <w:t xml:space="preserve"> This of course changed following the introduction of the </w:t>
      </w:r>
      <w:r w:rsidR="004C3818">
        <w:rPr>
          <w:rFonts w:ascii="Times New Roman" w:hAnsi="Times New Roman" w:cs="Times New Roman"/>
        </w:rPr>
        <w:t>Servicem</w:t>
      </w:r>
      <w:r w:rsidRPr="003C6DFC">
        <w:rPr>
          <w:rFonts w:ascii="Times New Roman" w:hAnsi="Times New Roman" w:cs="Times New Roman"/>
        </w:rPr>
        <w:t xml:space="preserve">an’s Readjustment Act of 1942 and the subsequent Baby Boom of the 1950s/60s that drove increased enrollments and federal grant/loan investments in higher education and its students. At this time, state policy favored spending funds so that all students wishing to pursue higher education were subsidized by low costs insured through state </w:t>
      </w:r>
      <w:r w:rsidRPr="003C6DFC">
        <w:rPr>
          <w:rFonts w:ascii="Times New Roman" w:hAnsi="Times New Roman" w:cs="Times New Roman"/>
        </w:rPr>
        <w:lastRenderedPageBreak/>
        <w:t xml:space="preserve">appropriations </w:t>
      </w:r>
      <w:sdt>
        <w:sdtPr>
          <w:rPr>
            <w:rFonts w:ascii="Times New Roman" w:hAnsi="Times New Roman" w:cs="Times New Roman"/>
          </w:rPr>
          <w:id w:val="-414242920"/>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Ful14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(Fuller, 2014)</w:t>
          </w:r>
          <w:r w:rsidRPr="003C6DFC">
            <w:rPr>
              <w:rFonts w:ascii="Times New Roman" w:hAnsi="Times New Roman" w:cs="Times New Roman"/>
            </w:rPr>
            <w:fldChar w:fldCharType="end"/>
          </w:r>
        </w:sdtContent>
      </w:sdt>
      <w:r w:rsidRPr="003C6DFC">
        <w:rPr>
          <w:rFonts w:ascii="Times New Roman" w:hAnsi="Times New Roman" w:cs="Times New Roman"/>
        </w:rPr>
        <w:t xml:space="preserve">. However, this was followed by what Heller </w:t>
      </w:r>
      <w:sdt>
        <w:sdtPr>
          <w:rPr>
            <w:rFonts w:ascii="Times New Roman" w:hAnsi="Times New Roman" w:cs="Times New Roman"/>
          </w:rPr>
          <w:id w:val="-191762135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Hel06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(2006)</w:t>
          </w:r>
          <w:r w:rsidRPr="003C6DFC">
            <w:rPr>
              <w:rFonts w:ascii="Times New Roman" w:hAnsi="Times New Roman" w:cs="Times New Roman"/>
            </w:rPr>
            <w:fldChar w:fldCharType="end"/>
          </w:r>
        </w:sdtContent>
      </w:sdt>
      <w:r w:rsidRPr="003C6DFC">
        <w:rPr>
          <w:rFonts w:ascii="Times New Roman" w:hAnsi="Times New Roman" w:cs="Times New Roman"/>
        </w:rPr>
        <w:t xml:space="preserve"> describes as a boom or bust cycle between 1966 and 1996 where state appropriations per student fluctuated, falling from a high-water mark between $4,750 and $5,000 per student in 1974 to between $4,250 and $4,500 in 1996. More recently, this downward trend was exacerbated by an economic recession in 2008 that resulted in a 23% decrease in state appropriations per full-time equivalent student </w:t>
      </w:r>
      <w:sdt>
        <w:sdtPr>
          <w:rPr>
            <w:rFonts w:ascii="Times New Roman" w:hAnsi="Times New Roman" w:cs="Times New Roman"/>
          </w:rPr>
          <w:id w:val="-46196451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Mit14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(Mitchell, Palacious, &amp; Leachman, 2014)</w:t>
          </w:r>
          <w:r w:rsidRPr="003C6DFC">
            <w:rPr>
              <w:rFonts w:ascii="Times New Roman" w:hAnsi="Times New Roman" w:cs="Times New Roman"/>
            </w:rPr>
            <w:fldChar w:fldCharType="end"/>
          </w:r>
        </w:sdtContent>
      </w:sdt>
      <w:r w:rsidRPr="003C6DFC">
        <w:rPr>
          <w:rFonts w:ascii="Times New Roman" w:hAnsi="Times New Roman" w:cs="Times New Roman"/>
        </w:rPr>
        <w:t xml:space="preserve">. </w:t>
      </w:r>
    </w:p>
    <w:p w14:paraId="229C623F" w14:textId="6EEFDBA0"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The 2008 Recession stagnated state spending on postsecondary education appropriations per full-time equivalent (FTE) student. While the State Higher Education Executive Officers Association found that educational appropriations increased by 4.9 percent beyond inflation in 2022, they simultaneously reported this is the first time that per-FTE spending was higher than pre-recession appropriations </w:t>
      </w:r>
      <w:sdt>
        <w:sdtPr>
          <w:rPr>
            <w:rFonts w:ascii="Times New Roman" w:hAnsi="Times New Roman" w:cs="Times New Roman"/>
          </w:rPr>
          <w:id w:val="193062833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Kun23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(Kunkle &amp; Laderman, 2023)</w:t>
          </w:r>
          <w:r w:rsidRPr="003C6DFC">
            <w:rPr>
              <w:rFonts w:ascii="Times New Roman" w:hAnsi="Times New Roman" w:cs="Times New Roman"/>
            </w:rPr>
            <w:fldChar w:fldCharType="end"/>
          </w:r>
        </w:sdtContent>
      </w:sdt>
      <w:r w:rsidRPr="003C6DFC">
        <w:rPr>
          <w:rFonts w:ascii="Times New Roman" w:hAnsi="Times New Roman" w:cs="Times New Roman"/>
        </w:rPr>
        <w:t>. The reduction and stagnation in state spending on higher education was long standing with 10 year</w:t>
      </w:r>
      <w:r w:rsidR="00816F1C">
        <w:rPr>
          <w:rFonts w:ascii="Times New Roman" w:hAnsi="Times New Roman" w:cs="Times New Roman"/>
        </w:rPr>
        <w:t>s</w:t>
      </w:r>
      <w:r w:rsidRPr="003C6DFC">
        <w:rPr>
          <w:rFonts w:ascii="Times New Roman" w:hAnsi="Times New Roman" w:cs="Times New Roman"/>
        </w:rPr>
        <w:t xml:space="preserve"> later the average state per-FTE spending being $8,686 in 2017 compared to $9,752 in 2007 </w:t>
      </w:r>
      <w:sdt>
        <w:sdtPr>
          <w:rPr>
            <w:rFonts w:ascii="Times New Roman" w:hAnsi="Times New Roman" w:cs="Times New Roman"/>
          </w:rPr>
          <w:id w:val="-105616256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Kun23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(Kunkle &amp; Laderman, 2023)</w:t>
          </w:r>
          <w:r w:rsidRPr="003C6DFC">
            <w:rPr>
              <w:rFonts w:ascii="Times New Roman" w:hAnsi="Times New Roman" w:cs="Times New Roman"/>
            </w:rPr>
            <w:fldChar w:fldCharType="end"/>
          </w:r>
        </w:sdtContent>
      </w:sdt>
      <w:r w:rsidRPr="003C6DFC">
        <w:rPr>
          <w:rFonts w:ascii="Times New Roman" w:hAnsi="Times New Roman" w:cs="Times New Roman"/>
        </w:rPr>
        <w:t xml:space="preserve">. Compared to the pre-2008 recession levels, postsecondary education appropriations in 2022 were on average approximately $304 more per FTE student </w:t>
      </w:r>
      <w:sdt>
        <w:sdtPr>
          <w:rPr>
            <w:rFonts w:ascii="Times New Roman" w:hAnsi="Times New Roman" w:cs="Times New Roman"/>
          </w:rPr>
          <w:id w:val="-188987887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Kun23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(Kunkle &amp; Laderman, 2023)</w:t>
          </w:r>
          <w:r w:rsidRPr="003C6DFC">
            <w:rPr>
              <w:rFonts w:ascii="Times New Roman" w:hAnsi="Times New Roman" w:cs="Times New Roman"/>
            </w:rPr>
            <w:fldChar w:fldCharType="end"/>
          </w:r>
        </w:sdtContent>
      </w:sdt>
      <w:r w:rsidRPr="003C6DFC">
        <w:rPr>
          <w:rFonts w:ascii="Times New Roman" w:hAnsi="Times New Roman" w:cs="Times New Roman"/>
        </w:rPr>
        <w:t xml:space="preserve">. However, more than half of the states have not recovered from recession era cuts with 28 states still spending less on educational appropriations per FTE than before the Great Recession </w:t>
      </w:r>
      <w:sdt>
        <w:sdtPr>
          <w:rPr>
            <w:rFonts w:ascii="Times New Roman" w:hAnsi="Times New Roman" w:cs="Times New Roman"/>
          </w:rPr>
          <w:id w:val="149160294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Kun23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(Kunkle &amp; Laderman, 2023)</w:t>
          </w:r>
          <w:r w:rsidRPr="003C6DFC">
            <w:rPr>
              <w:rFonts w:ascii="Times New Roman" w:hAnsi="Times New Roman" w:cs="Times New Roman"/>
            </w:rPr>
            <w:fldChar w:fldCharType="end"/>
          </w:r>
        </w:sdtContent>
      </w:sdt>
      <w:r w:rsidRPr="003C6DFC">
        <w:rPr>
          <w:rFonts w:ascii="Times New Roman" w:hAnsi="Times New Roman" w:cs="Times New Roman"/>
        </w:rPr>
        <w:t>.</w:t>
      </w:r>
    </w:p>
    <w:p w14:paraId="7C7B7DD9" w14:textId="0FB34C3C" w:rsidR="00B30763"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These inconsistent levels of per-student state spending dovetail with the federal government's transition to primarily fund portable student aid, resulting in the foundations of a postsecondary education system that is primarily funded by students as </w:t>
      </w:r>
      <w:r w:rsidRPr="003C6DFC">
        <w:rPr>
          <w:rFonts w:ascii="Times New Roman" w:hAnsi="Times New Roman" w:cs="Times New Roman"/>
        </w:rPr>
        <w:lastRenderedPageBreak/>
        <w:t>consumers of education rather than a government-provided service. As of fiscal year 2022, the national average of educational appropriations was $10,141 for 2-year colleges and $9,596 for 4-year colleges while the national average for state-level student aid spending was $562 and $1,216 for</w:t>
      </w:r>
      <w:r w:rsidR="00D9671E">
        <w:rPr>
          <w:rFonts w:ascii="Times New Roman" w:hAnsi="Times New Roman" w:cs="Times New Roman"/>
        </w:rPr>
        <w:t xml:space="preserve"> two</w:t>
      </w:r>
      <w:r w:rsidRPr="003C6DFC">
        <w:rPr>
          <w:rFonts w:ascii="Times New Roman" w:hAnsi="Times New Roman" w:cs="Times New Roman"/>
        </w:rPr>
        <w:t xml:space="preserve">-year and </w:t>
      </w:r>
      <w:r w:rsidR="00D9671E">
        <w:rPr>
          <w:rFonts w:ascii="Times New Roman" w:hAnsi="Times New Roman" w:cs="Times New Roman"/>
        </w:rPr>
        <w:t>four</w:t>
      </w:r>
      <w:r w:rsidRPr="003C6DFC">
        <w:rPr>
          <w:rFonts w:ascii="Times New Roman" w:hAnsi="Times New Roman" w:cs="Times New Roman"/>
        </w:rPr>
        <w:t>-year colleges respectively</w:t>
      </w:r>
      <w:r w:rsidR="008D455E" w:rsidRPr="008D455E">
        <w:rPr>
          <w:rFonts w:ascii="Times New Roman" w:hAnsi="Times New Roman" w:cs="Times New Roman"/>
        </w:rPr>
        <w:t xml:space="preserve"> </w:t>
      </w:r>
      <w:sdt>
        <w:sdtPr>
          <w:rPr>
            <w:rFonts w:ascii="Times New Roman" w:hAnsi="Times New Roman" w:cs="Times New Roman"/>
          </w:rPr>
          <w:id w:val="-1681349102"/>
          <w:citation/>
        </w:sdtPr>
        <w:sdtContent>
          <w:r w:rsidR="008D455E" w:rsidRPr="003C6DFC">
            <w:rPr>
              <w:rFonts w:ascii="Times New Roman" w:hAnsi="Times New Roman" w:cs="Times New Roman"/>
            </w:rPr>
            <w:fldChar w:fldCharType="begin"/>
          </w:r>
          <w:r w:rsidR="008D455E" w:rsidRPr="003C6DFC">
            <w:rPr>
              <w:rFonts w:ascii="Times New Roman" w:hAnsi="Times New Roman" w:cs="Times New Roman"/>
            </w:rPr>
            <w:instrText xml:space="preserve"> CITATION Kun23 \l 1033 </w:instrText>
          </w:r>
          <w:r w:rsidR="008D455E" w:rsidRPr="003C6DFC">
            <w:rPr>
              <w:rFonts w:ascii="Times New Roman" w:hAnsi="Times New Roman" w:cs="Times New Roman"/>
            </w:rPr>
            <w:fldChar w:fldCharType="separate"/>
          </w:r>
          <w:r w:rsidR="00A10468" w:rsidRPr="00A10468">
            <w:rPr>
              <w:rFonts w:ascii="Times New Roman" w:hAnsi="Times New Roman" w:cs="Times New Roman"/>
              <w:noProof/>
            </w:rPr>
            <w:t>(Kunkle &amp; Laderman, 2023)</w:t>
          </w:r>
          <w:r w:rsidR="008D455E" w:rsidRPr="003C6DFC">
            <w:rPr>
              <w:rFonts w:ascii="Times New Roman" w:hAnsi="Times New Roman" w:cs="Times New Roman"/>
            </w:rPr>
            <w:fldChar w:fldCharType="end"/>
          </w:r>
        </w:sdtContent>
      </w:sdt>
      <w:r w:rsidR="008D455E" w:rsidRPr="003C6DFC">
        <w:rPr>
          <w:rFonts w:ascii="Times New Roman" w:hAnsi="Times New Roman" w:cs="Times New Roman"/>
        </w:rPr>
        <w:t>.</w:t>
      </w:r>
      <w:r w:rsidRPr="003C6DFC">
        <w:rPr>
          <w:rFonts w:ascii="Times New Roman" w:hAnsi="Times New Roman" w:cs="Times New Roman"/>
        </w:rPr>
        <w:t xml:space="preserve"> Growth in state spending on financial aid per full time equivalent student increased by 79.3 percent since 2001 from an average of $552 to $990</w:t>
      </w:r>
      <w:r w:rsidR="008D455E">
        <w:rPr>
          <w:rFonts w:ascii="Times New Roman" w:hAnsi="Times New Roman" w:cs="Times New Roman"/>
        </w:rPr>
        <w:t xml:space="preserve"> </w:t>
      </w:r>
      <w:sdt>
        <w:sdtPr>
          <w:rPr>
            <w:rFonts w:ascii="Times New Roman" w:hAnsi="Times New Roman" w:cs="Times New Roman"/>
          </w:rPr>
          <w:id w:val="-1406759005"/>
          <w:citation/>
        </w:sdtPr>
        <w:sdtContent>
          <w:r w:rsidR="008D455E" w:rsidRPr="003C6DFC">
            <w:rPr>
              <w:rFonts w:ascii="Times New Roman" w:hAnsi="Times New Roman" w:cs="Times New Roman"/>
            </w:rPr>
            <w:fldChar w:fldCharType="begin"/>
          </w:r>
          <w:r w:rsidR="008D455E" w:rsidRPr="003C6DFC">
            <w:rPr>
              <w:rFonts w:ascii="Times New Roman" w:hAnsi="Times New Roman" w:cs="Times New Roman"/>
            </w:rPr>
            <w:instrText xml:space="preserve"> CITATION Kun23 \l 1033 </w:instrText>
          </w:r>
          <w:r w:rsidR="008D455E" w:rsidRPr="003C6DFC">
            <w:rPr>
              <w:rFonts w:ascii="Times New Roman" w:hAnsi="Times New Roman" w:cs="Times New Roman"/>
            </w:rPr>
            <w:fldChar w:fldCharType="separate"/>
          </w:r>
          <w:r w:rsidR="00A10468" w:rsidRPr="00A10468">
            <w:rPr>
              <w:rFonts w:ascii="Times New Roman" w:hAnsi="Times New Roman" w:cs="Times New Roman"/>
              <w:noProof/>
            </w:rPr>
            <w:t>(Kunkle &amp; Laderman, 2023)</w:t>
          </w:r>
          <w:r w:rsidR="008D455E" w:rsidRPr="003C6DFC">
            <w:rPr>
              <w:rFonts w:ascii="Times New Roman" w:hAnsi="Times New Roman" w:cs="Times New Roman"/>
            </w:rPr>
            <w:fldChar w:fldCharType="end"/>
          </w:r>
        </w:sdtContent>
      </w:sdt>
      <w:r w:rsidR="008D455E" w:rsidRPr="003C6DFC">
        <w:rPr>
          <w:rFonts w:ascii="Times New Roman" w:hAnsi="Times New Roman" w:cs="Times New Roman"/>
        </w:rPr>
        <w:t>.</w:t>
      </w:r>
      <w:r w:rsidRPr="003C6DFC">
        <w:rPr>
          <w:rFonts w:ascii="Times New Roman" w:hAnsi="Times New Roman" w:cs="Times New Roman"/>
        </w:rPr>
        <w:t xml:space="preserve"> </w:t>
      </w:r>
    </w:p>
    <w:p w14:paraId="6471D9EF" w14:textId="0D98D98C"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However, average educational appropriations per full time equivalent student experienced a 6.4 percent decrease from $10,983 per full time equivalent student in 2001 to $10,237 per full time equivalent student in 2022</w:t>
      </w:r>
      <w:r w:rsidR="008D455E" w:rsidRPr="008D455E">
        <w:rPr>
          <w:rFonts w:ascii="Times New Roman" w:hAnsi="Times New Roman" w:cs="Times New Roman"/>
        </w:rPr>
        <w:t xml:space="preserve"> </w:t>
      </w:r>
      <w:sdt>
        <w:sdtPr>
          <w:rPr>
            <w:rFonts w:ascii="Times New Roman" w:hAnsi="Times New Roman" w:cs="Times New Roman"/>
          </w:rPr>
          <w:id w:val="-465585496"/>
          <w:citation/>
        </w:sdtPr>
        <w:sdtContent>
          <w:r w:rsidR="008D455E" w:rsidRPr="003C6DFC">
            <w:rPr>
              <w:rFonts w:ascii="Times New Roman" w:hAnsi="Times New Roman" w:cs="Times New Roman"/>
            </w:rPr>
            <w:fldChar w:fldCharType="begin"/>
          </w:r>
          <w:r w:rsidR="008D455E" w:rsidRPr="003C6DFC">
            <w:rPr>
              <w:rFonts w:ascii="Times New Roman" w:hAnsi="Times New Roman" w:cs="Times New Roman"/>
            </w:rPr>
            <w:instrText xml:space="preserve"> CITATION Kun23 \l 1033 </w:instrText>
          </w:r>
          <w:r w:rsidR="008D455E" w:rsidRPr="003C6DFC">
            <w:rPr>
              <w:rFonts w:ascii="Times New Roman" w:hAnsi="Times New Roman" w:cs="Times New Roman"/>
            </w:rPr>
            <w:fldChar w:fldCharType="separate"/>
          </w:r>
          <w:r w:rsidR="00A10468" w:rsidRPr="00A10468">
            <w:rPr>
              <w:rFonts w:ascii="Times New Roman" w:hAnsi="Times New Roman" w:cs="Times New Roman"/>
              <w:noProof/>
            </w:rPr>
            <w:t>(Kunkle &amp; Laderman, 2023)</w:t>
          </w:r>
          <w:r w:rsidR="008D455E" w:rsidRPr="003C6DFC">
            <w:rPr>
              <w:rFonts w:ascii="Times New Roman" w:hAnsi="Times New Roman" w:cs="Times New Roman"/>
            </w:rPr>
            <w:fldChar w:fldCharType="end"/>
          </w:r>
        </w:sdtContent>
      </w:sdt>
      <w:r w:rsidRPr="003C6DFC">
        <w:rPr>
          <w:rFonts w:ascii="Times New Roman" w:hAnsi="Times New Roman" w:cs="Times New Roman"/>
        </w:rPr>
        <w:t>. Simultaneously, the average net tuition revenue obtained from students grew by 62.9 percent since 2001 from $4,447 to $7,244</w:t>
      </w:r>
      <w:r w:rsidR="008D455E">
        <w:rPr>
          <w:rFonts w:ascii="Times New Roman" w:hAnsi="Times New Roman" w:cs="Times New Roman"/>
        </w:rPr>
        <w:t xml:space="preserve"> </w:t>
      </w:r>
      <w:sdt>
        <w:sdtPr>
          <w:rPr>
            <w:rFonts w:ascii="Times New Roman" w:hAnsi="Times New Roman" w:cs="Times New Roman"/>
          </w:rPr>
          <w:id w:val="1238903070"/>
          <w:citation/>
        </w:sdtPr>
        <w:sdtContent>
          <w:r w:rsidR="008D455E" w:rsidRPr="003C6DFC">
            <w:rPr>
              <w:rFonts w:ascii="Times New Roman" w:hAnsi="Times New Roman" w:cs="Times New Roman"/>
            </w:rPr>
            <w:fldChar w:fldCharType="begin"/>
          </w:r>
          <w:r w:rsidR="008D455E" w:rsidRPr="003C6DFC">
            <w:rPr>
              <w:rFonts w:ascii="Times New Roman" w:hAnsi="Times New Roman" w:cs="Times New Roman"/>
            </w:rPr>
            <w:instrText xml:space="preserve"> CITATION Kun23 \l 1033 </w:instrText>
          </w:r>
          <w:r w:rsidR="008D455E" w:rsidRPr="003C6DFC">
            <w:rPr>
              <w:rFonts w:ascii="Times New Roman" w:hAnsi="Times New Roman" w:cs="Times New Roman"/>
            </w:rPr>
            <w:fldChar w:fldCharType="separate"/>
          </w:r>
          <w:r w:rsidR="00A10468" w:rsidRPr="00A10468">
            <w:rPr>
              <w:rFonts w:ascii="Times New Roman" w:hAnsi="Times New Roman" w:cs="Times New Roman"/>
              <w:noProof/>
            </w:rPr>
            <w:t>(Kunkle &amp; Laderman, 2023)</w:t>
          </w:r>
          <w:r w:rsidR="008D455E" w:rsidRPr="003C6DFC">
            <w:rPr>
              <w:rFonts w:ascii="Times New Roman" w:hAnsi="Times New Roman" w:cs="Times New Roman"/>
            </w:rPr>
            <w:fldChar w:fldCharType="end"/>
          </w:r>
        </w:sdtContent>
      </w:sdt>
      <w:r w:rsidRPr="003C6DFC">
        <w:rPr>
          <w:rFonts w:ascii="Times New Roman" w:hAnsi="Times New Roman" w:cs="Times New Roman"/>
        </w:rPr>
        <w:t>. In sum, as the cost of higher education increased, state spending did not keep pace with growing cost during and after the Great Recession until this most recent, past fiscal year. In the meantime, the cost of higher education has been passed onto students and their families through cost of attendance.</w:t>
      </w:r>
    </w:p>
    <w:p w14:paraId="0A48E4A9" w14:textId="23BE6B80"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State policy has also shaped this branch of financial aid significantly. During this time, most states maintained affordable postsecondary education primarily through a combination of low tuition rates and need-based scholarships </w:t>
      </w:r>
      <w:r w:rsidRPr="003C6DFC">
        <w:rPr>
          <w:rFonts w:ascii="Times New Roman" w:hAnsi="Times New Roman" w:cs="Times New Roman"/>
          <w:noProof/>
        </w:rPr>
        <w:t>(Dynarski, 20</w:t>
      </w:r>
      <w:r w:rsidR="000924AB">
        <w:rPr>
          <w:rFonts w:ascii="Times New Roman" w:hAnsi="Times New Roman" w:cs="Times New Roman"/>
          <w:noProof/>
        </w:rPr>
        <w:t>0</w:t>
      </w:r>
      <w:r w:rsidRPr="003C6DFC">
        <w:rPr>
          <w:rFonts w:ascii="Times New Roman" w:hAnsi="Times New Roman" w:cs="Times New Roman"/>
          <w:noProof/>
        </w:rPr>
        <w:t>4; Heller &amp; Marin, 2002)</w:t>
      </w:r>
      <w:r w:rsidRPr="003C6DFC">
        <w:rPr>
          <w:rFonts w:ascii="Times New Roman" w:hAnsi="Times New Roman" w:cs="Times New Roman"/>
        </w:rPr>
        <w:t xml:space="preserve">. Also, state financial aid programs were incentivized to be need-based due to the State Student Incentive Grant Program, a federal matching program that offered additional funds to states that operated locally focused, need based aid </w:t>
      </w:r>
      <w:r w:rsidR="00D9671E">
        <w:rPr>
          <w:rFonts w:ascii="Times New Roman" w:hAnsi="Times New Roman" w:cs="Times New Roman"/>
        </w:rPr>
        <w:t xml:space="preserve">programs </w:t>
      </w:r>
      <w:r w:rsidRPr="003C6DFC">
        <w:rPr>
          <w:rFonts w:ascii="Times New Roman" w:hAnsi="Times New Roman" w:cs="Times New Roman"/>
        </w:rPr>
        <w:lastRenderedPageBreak/>
        <w:t>(Archibald, 2002; Fuller, 2014)</w:t>
      </w:r>
      <w:r w:rsidR="007C2FB2">
        <w:rPr>
          <w:rFonts w:ascii="Times New Roman" w:hAnsi="Times New Roman" w:cs="Times New Roman"/>
        </w:rPr>
        <w:t>.</w:t>
      </w:r>
      <w:r w:rsidRPr="00F473D0">
        <w:rPr>
          <w:rFonts w:ascii="Times New Roman" w:hAnsi="Times New Roman" w:cs="Times New Roman"/>
          <w:color w:val="FF0000"/>
        </w:rPr>
        <w:t xml:space="preserve"> </w:t>
      </w:r>
      <w:r w:rsidRPr="003C6DFC">
        <w:rPr>
          <w:rFonts w:ascii="Times New Roman" w:hAnsi="Times New Roman" w:cs="Times New Roman"/>
        </w:rPr>
        <w:t xml:space="preserve">In 1993, Georgia changed this trend through the introduction of  a lottery-funded, merit scholarship for state residents to use at in-state institutions. By 2021, 16 other states had adopted this merit scholarship model which are often funded from sales for a state-run lottery, land leases, or taxes on substances such as tobacco </w:t>
      </w:r>
      <w:r w:rsidR="00524125" w:rsidRPr="00A10468">
        <w:rPr>
          <w:rFonts w:ascii="Times New Roman" w:hAnsi="Times New Roman" w:cs="Times New Roman"/>
          <w:noProof/>
        </w:rPr>
        <w:t>(</w:t>
      </w:r>
      <w:r w:rsidR="004F7EAC">
        <w:rPr>
          <w:rFonts w:ascii="Times New Roman" w:hAnsi="Times New Roman" w:cs="Times New Roman"/>
          <w:noProof/>
        </w:rPr>
        <w:t>Jamieson et al.</w:t>
      </w:r>
      <w:r w:rsidR="00524125" w:rsidRPr="00A10468">
        <w:rPr>
          <w:rFonts w:ascii="Times New Roman" w:hAnsi="Times New Roman" w:cs="Times New Roman"/>
          <w:noProof/>
        </w:rPr>
        <w:t>, 2021)</w:t>
      </w:r>
      <w:r w:rsidRPr="003C6DFC">
        <w:rPr>
          <w:rFonts w:ascii="Times New Roman" w:hAnsi="Times New Roman" w:cs="Times New Roman"/>
        </w:rPr>
        <w:t>. The Education Commission has identified 40 state financial aid programs with some type of merit component across 32 states which suggests that merit-aid has become increasingly popular following its adoption by Georgia in the 1990s. Further, the state investment in merit aid has outpaced need-based aid</w:t>
      </w:r>
      <w:r w:rsidR="001F5036">
        <w:rPr>
          <w:rFonts w:ascii="Times New Roman" w:hAnsi="Times New Roman" w:cs="Times New Roman"/>
        </w:rPr>
        <w:t xml:space="preserve"> in terms of growth</w:t>
      </w:r>
      <w:r w:rsidRPr="003C6DFC">
        <w:rPr>
          <w:rFonts w:ascii="Times New Roman" w:hAnsi="Times New Roman" w:cs="Times New Roman"/>
        </w:rPr>
        <w:t>.</w:t>
      </w:r>
      <w:r w:rsidR="004664D8">
        <w:rPr>
          <w:rFonts w:ascii="Times New Roman" w:hAnsi="Times New Roman" w:cs="Times New Roman"/>
        </w:rPr>
        <w:t xml:space="preserve"> Over the past decade, </w:t>
      </w:r>
      <w:r w:rsidR="00651A9C">
        <w:rPr>
          <w:rFonts w:ascii="Times New Roman" w:hAnsi="Times New Roman" w:cs="Times New Roman"/>
        </w:rPr>
        <w:t>need-based aid increased by 37.2% while non-need-based aid in the United States increased by 41.8%</w:t>
      </w:r>
      <w:r w:rsidRPr="003C6DFC">
        <w:rPr>
          <w:rFonts w:ascii="Times New Roman" w:hAnsi="Times New Roman" w:cs="Times New Roman"/>
        </w:rPr>
        <w:t xml:space="preserve">  </w:t>
      </w:r>
      <w:sdt>
        <w:sdtPr>
          <w:rPr>
            <w:rFonts w:ascii="Times New Roman" w:hAnsi="Times New Roman" w:cs="Times New Roman"/>
          </w:rPr>
          <w:id w:val="-754117770"/>
          <w:citation/>
        </w:sdtPr>
        <w:sdtContent>
          <w:r w:rsidRPr="003C6DFC">
            <w:rPr>
              <w:rFonts w:ascii="Times New Roman" w:hAnsi="Times New Roman" w:cs="Times New Roman"/>
            </w:rPr>
            <w:fldChar w:fldCharType="begin"/>
          </w:r>
          <w:r w:rsidR="000A06D3">
            <w:rPr>
              <w:rFonts w:ascii="Times New Roman" w:hAnsi="Times New Roman" w:cs="Times New Roman"/>
            </w:rPr>
            <w:instrText xml:space="preserve">CITATION Nat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(National Association for State Student Grant &amp; Aid Programs, 2023)</w:t>
          </w:r>
          <w:r w:rsidRPr="003C6DFC">
            <w:rPr>
              <w:rFonts w:ascii="Times New Roman" w:hAnsi="Times New Roman" w:cs="Times New Roman"/>
            </w:rPr>
            <w:fldChar w:fldCharType="end"/>
          </w:r>
        </w:sdtContent>
      </w:sdt>
      <w:r w:rsidRPr="003C6DFC">
        <w:rPr>
          <w:rFonts w:ascii="Times New Roman" w:hAnsi="Times New Roman" w:cs="Times New Roman"/>
        </w:rPr>
        <w:t xml:space="preserve">. </w:t>
      </w:r>
      <w:r w:rsidR="00B62934">
        <w:rPr>
          <w:rFonts w:ascii="Times New Roman" w:hAnsi="Times New Roman" w:cs="Times New Roman"/>
        </w:rPr>
        <w:t>Currently, non-</w:t>
      </w:r>
      <w:r w:rsidR="00973EC5">
        <w:rPr>
          <w:rFonts w:ascii="Times New Roman" w:hAnsi="Times New Roman" w:cs="Times New Roman"/>
        </w:rPr>
        <w:t>need-based</w:t>
      </w:r>
      <w:r w:rsidR="00B62934">
        <w:rPr>
          <w:rFonts w:ascii="Times New Roman" w:hAnsi="Times New Roman" w:cs="Times New Roman"/>
        </w:rPr>
        <w:t xml:space="preserve"> aid such as merit or lottery scholarships have grown to represent </w:t>
      </w:r>
      <w:r w:rsidR="00EF5595">
        <w:rPr>
          <w:rFonts w:ascii="Times New Roman" w:hAnsi="Times New Roman" w:cs="Times New Roman"/>
        </w:rPr>
        <w:t>a little over a quarter of all aid funding at 26.</w:t>
      </w:r>
      <w:r w:rsidR="00B910CF">
        <w:rPr>
          <w:rFonts w:ascii="Times New Roman" w:hAnsi="Times New Roman" w:cs="Times New Roman"/>
        </w:rPr>
        <w:t>6</w:t>
      </w:r>
      <w:r w:rsidR="00EF5595">
        <w:rPr>
          <w:rFonts w:ascii="Times New Roman" w:hAnsi="Times New Roman" w:cs="Times New Roman"/>
        </w:rPr>
        <w:t>% of all financial aid</w:t>
      </w:r>
      <w:r w:rsidR="00EF5595" w:rsidRPr="00EF5595">
        <w:rPr>
          <w:rFonts w:ascii="Times New Roman" w:hAnsi="Times New Roman" w:cs="Times New Roman"/>
        </w:rPr>
        <w:t xml:space="preserve"> </w:t>
      </w:r>
      <w:sdt>
        <w:sdtPr>
          <w:rPr>
            <w:rFonts w:ascii="Times New Roman" w:hAnsi="Times New Roman" w:cs="Times New Roman"/>
          </w:rPr>
          <w:id w:val="-586157001"/>
          <w:citation/>
        </w:sdtPr>
        <w:sdtContent>
          <w:r w:rsidR="00EF5595" w:rsidRPr="003C6DFC">
            <w:rPr>
              <w:rFonts w:ascii="Times New Roman" w:hAnsi="Times New Roman" w:cs="Times New Roman"/>
            </w:rPr>
            <w:fldChar w:fldCharType="begin"/>
          </w:r>
          <w:r w:rsidR="00EF5595">
            <w:rPr>
              <w:rFonts w:ascii="Times New Roman" w:hAnsi="Times New Roman" w:cs="Times New Roman"/>
            </w:rPr>
            <w:instrText xml:space="preserve">CITATION Nat \t  \l 1033 </w:instrText>
          </w:r>
          <w:r w:rsidR="00EF5595" w:rsidRPr="003C6DFC">
            <w:rPr>
              <w:rFonts w:ascii="Times New Roman" w:hAnsi="Times New Roman" w:cs="Times New Roman"/>
            </w:rPr>
            <w:fldChar w:fldCharType="separate"/>
          </w:r>
          <w:r w:rsidR="00A10468" w:rsidRPr="00A10468">
            <w:rPr>
              <w:rFonts w:ascii="Times New Roman" w:hAnsi="Times New Roman" w:cs="Times New Roman"/>
              <w:noProof/>
            </w:rPr>
            <w:t>(National Association for State Student Grant &amp; Aid Programs, 2023)</w:t>
          </w:r>
          <w:r w:rsidR="00EF5595" w:rsidRPr="003C6DFC">
            <w:rPr>
              <w:rFonts w:ascii="Times New Roman" w:hAnsi="Times New Roman" w:cs="Times New Roman"/>
            </w:rPr>
            <w:fldChar w:fldCharType="end"/>
          </w:r>
        </w:sdtContent>
      </w:sdt>
      <w:r w:rsidR="00EF5595" w:rsidRPr="003C6DFC">
        <w:rPr>
          <w:rFonts w:ascii="Times New Roman" w:hAnsi="Times New Roman" w:cs="Times New Roman"/>
        </w:rPr>
        <w:t>.</w:t>
      </w:r>
      <w:r w:rsidR="00EF5595">
        <w:rPr>
          <w:rFonts w:ascii="Times New Roman" w:hAnsi="Times New Roman" w:cs="Times New Roman"/>
        </w:rPr>
        <w:t xml:space="preserve"> </w:t>
      </w:r>
    </w:p>
    <w:p w14:paraId="2978E61C" w14:textId="7D36D2E4" w:rsidR="002E752C" w:rsidRPr="003C6DFC" w:rsidRDefault="008D3150" w:rsidP="00CD45D6">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2E752C" w:rsidRPr="003C6DFC">
        <w:rPr>
          <w:rFonts w:ascii="Times New Roman" w:hAnsi="Times New Roman" w:cs="Times New Roman"/>
        </w:rPr>
        <w:t xml:space="preserve">Heller and Marin </w:t>
      </w:r>
      <w:sdt>
        <w:sdtPr>
          <w:rPr>
            <w:rFonts w:ascii="Times New Roman" w:hAnsi="Times New Roman" w:cs="Times New Roman"/>
          </w:rPr>
          <w:id w:val="41794630"/>
          <w:citation/>
        </w:sdtPr>
        <w:sdtContent>
          <w:r w:rsidR="002E752C" w:rsidRPr="003C6DFC">
            <w:rPr>
              <w:rFonts w:ascii="Times New Roman" w:hAnsi="Times New Roman" w:cs="Times New Roman"/>
            </w:rPr>
            <w:fldChar w:fldCharType="begin"/>
          </w:r>
          <w:r w:rsidR="002E752C" w:rsidRPr="003C6DFC">
            <w:rPr>
              <w:rFonts w:ascii="Times New Roman" w:hAnsi="Times New Roman" w:cs="Times New Roman"/>
            </w:rPr>
            <w:instrText xml:space="preserve">CITATION Hel02 \n  \t  \l 1033 </w:instrText>
          </w:r>
          <w:r w:rsidR="002E752C" w:rsidRPr="003C6DFC">
            <w:rPr>
              <w:rFonts w:ascii="Times New Roman" w:hAnsi="Times New Roman" w:cs="Times New Roman"/>
            </w:rPr>
            <w:fldChar w:fldCharType="separate"/>
          </w:r>
          <w:r w:rsidR="00A10468" w:rsidRPr="00A10468">
            <w:rPr>
              <w:rFonts w:ascii="Times New Roman" w:hAnsi="Times New Roman" w:cs="Times New Roman"/>
              <w:noProof/>
            </w:rPr>
            <w:t>(2002)</w:t>
          </w:r>
          <w:r w:rsidR="002E752C" w:rsidRPr="003C6DFC">
            <w:rPr>
              <w:rFonts w:ascii="Times New Roman" w:hAnsi="Times New Roman" w:cs="Times New Roman"/>
            </w:rPr>
            <w:fldChar w:fldCharType="end"/>
          </w:r>
        </w:sdtContent>
      </w:sdt>
      <w:r w:rsidR="002E752C" w:rsidRPr="003C6DFC">
        <w:rPr>
          <w:rFonts w:ascii="Times New Roman" w:hAnsi="Times New Roman" w:cs="Times New Roman"/>
        </w:rPr>
        <w:t xml:space="preserve"> stated that this shifting from need-based to merit aid represents a “shifting [of] funds from Blacks, Latinos, and Native Americans to Whites and Asians, from city and rural residents to suburban residents, from children from one-parent families to those who have two parents”</w:t>
      </w:r>
      <w:r w:rsidR="00773FA0">
        <w:rPr>
          <w:rFonts w:ascii="Times New Roman" w:hAnsi="Times New Roman" w:cs="Times New Roman"/>
        </w:rPr>
        <w:t xml:space="preserve"> (p. </w:t>
      </w:r>
      <w:r w:rsidR="00DB6399">
        <w:rPr>
          <w:rFonts w:ascii="Times New Roman" w:hAnsi="Times New Roman" w:cs="Times New Roman"/>
        </w:rPr>
        <w:t>xiii).</w:t>
      </w:r>
      <w:r w:rsidR="002E752C" w:rsidRPr="003C6DFC">
        <w:rPr>
          <w:rFonts w:ascii="Times New Roman" w:hAnsi="Times New Roman" w:cs="Times New Roman"/>
        </w:rPr>
        <w:t xml:space="preserve"> Arguably, this represents a socially regressive reallocation of state managed student portable aid. Under the rise of merit-aid during the late 1990s and 2000s, state aid was directed toward better resourced students who had the means and support to readily meet merit aid scholarship requirements.</w:t>
      </w:r>
    </w:p>
    <w:p w14:paraId="1E209B49" w14:textId="77777777" w:rsidR="002E752C" w:rsidRPr="003C6DFC" w:rsidRDefault="002E752C" w:rsidP="00CD45D6">
      <w:pPr>
        <w:pStyle w:val="Heading3"/>
        <w:spacing w:before="0" w:after="0"/>
      </w:pPr>
      <w:bookmarkStart w:id="25" w:name="_Toc183282259"/>
      <w:r w:rsidRPr="003C6DFC">
        <w:lastRenderedPageBreak/>
        <w:t>The Current Reality of Postsecondary Affordability</w:t>
      </w:r>
      <w:bookmarkEnd w:id="25"/>
    </w:p>
    <w:p w14:paraId="63F21490" w14:textId="3AB59138" w:rsidR="002E752C" w:rsidRPr="003C6DFC" w:rsidRDefault="002E752C" w:rsidP="00CD45D6">
      <w:pPr>
        <w:spacing w:line="480" w:lineRule="auto"/>
        <w:rPr>
          <w:rFonts w:ascii="Times New Roman" w:hAnsi="Times New Roman" w:cs="Times New Roman"/>
        </w:rPr>
      </w:pPr>
      <w:r w:rsidRPr="003C6DFC">
        <w:rPr>
          <w:rFonts w:ascii="Times New Roman" w:hAnsi="Times New Roman" w:cs="Times New Roman"/>
        </w:rPr>
        <w:tab/>
        <w:t xml:space="preserve">This consumer-centric model for affording postsecondary education places </w:t>
      </w:r>
      <w:r w:rsidR="000D1FC7">
        <w:rPr>
          <w:rFonts w:ascii="Times New Roman" w:hAnsi="Times New Roman" w:cs="Times New Roman"/>
        </w:rPr>
        <w:t xml:space="preserve">an </w:t>
      </w:r>
      <w:r w:rsidRPr="003C6DFC">
        <w:rPr>
          <w:rFonts w:ascii="Times New Roman" w:hAnsi="Times New Roman" w:cs="Times New Roman"/>
        </w:rPr>
        <w:t xml:space="preserve">increased importance on financial aid as public institutions increase prices in response to lower levels of per-student state support and rising operating costs </w:t>
      </w:r>
      <w:sdt>
        <w:sdtPr>
          <w:rPr>
            <w:rFonts w:ascii="Times New Roman" w:hAnsi="Times New Roman" w:cs="Times New Roman"/>
          </w:rPr>
          <w:id w:val="1204667565"/>
          <w:citation/>
        </w:sdtPr>
        <w:sdtContent>
          <w:r w:rsidRPr="003C6DFC">
            <w:rPr>
              <w:rFonts w:ascii="Times New Roman" w:hAnsi="Times New Roman" w:cs="Times New Roman"/>
            </w:rPr>
            <w:fldChar w:fldCharType="begin"/>
          </w:r>
          <w:r w:rsidR="009A60F0">
            <w:rPr>
              <w:rFonts w:ascii="Times New Roman" w:hAnsi="Times New Roman" w:cs="Times New Roman"/>
            </w:rPr>
            <w:instrText xml:space="preserve">CITATION Nat1 \m Wee06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(National Center for Education Statistics, 2024c; Weerts &amp; Ronca, 2006)</w:t>
          </w:r>
          <w:r w:rsidRPr="003C6DFC">
            <w:rPr>
              <w:rFonts w:ascii="Times New Roman" w:hAnsi="Times New Roman" w:cs="Times New Roman"/>
            </w:rPr>
            <w:fldChar w:fldCharType="end"/>
          </w:r>
        </w:sdtContent>
      </w:sdt>
      <w:r w:rsidRPr="003C6DFC">
        <w:rPr>
          <w:rFonts w:ascii="Times New Roman" w:hAnsi="Times New Roman" w:cs="Times New Roman"/>
        </w:rPr>
        <w:t xml:space="preserve">. While students from higher-income families will continue to access postsecondary education without issue, lower- and middle-income families experience intensified pressure to close the gap between institutional costs and their provided aid packages. This affordability issue impacts students in two critical ways. First, it can affect who decides to attend postsecondary education in the United States. Second, it affects the ability of students to persist to a degree while enrolled. In the following sections on different aid types, I review how this first factor affects enrollment for each aid type and close this section out by briefly outlining the issues related to persistence, completion, and other post-graduation outcomes.  </w:t>
      </w:r>
    </w:p>
    <w:p w14:paraId="504F819E" w14:textId="0AD38EB3" w:rsidR="00A81CE6"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Many low-income students, particularly those enrolled in community college, attempt to address this gap by balancing employment on top of academics to offset costs of living and enrollment </w:t>
      </w:r>
      <w:sdt>
        <w:sdtPr>
          <w:rPr>
            <w:rFonts w:ascii="Times New Roman" w:hAnsi="Times New Roman" w:cs="Times New Roman"/>
          </w:rPr>
          <w:id w:val="1215168781"/>
          <w:citation/>
        </w:sdtPr>
        <w:sdtContent>
          <w:r w:rsidR="005F54B3">
            <w:rPr>
              <w:rFonts w:ascii="Times New Roman" w:hAnsi="Times New Roman" w:cs="Times New Roman"/>
            </w:rPr>
            <w:fldChar w:fldCharType="begin"/>
          </w:r>
          <w:r w:rsidR="005F54B3">
            <w:rPr>
              <w:rFonts w:ascii="Times New Roman" w:hAnsi="Times New Roman" w:cs="Times New Roman"/>
            </w:rPr>
            <w:instrText xml:space="preserve"> CITATION McC101 \l 1033 </w:instrText>
          </w:r>
          <w:r w:rsidR="005F54B3">
            <w:rPr>
              <w:rFonts w:ascii="Times New Roman" w:hAnsi="Times New Roman" w:cs="Times New Roman"/>
            </w:rPr>
            <w:fldChar w:fldCharType="separate"/>
          </w:r>
          <w:r w:rsidR="00A10468" w:rsidRPr="00A10468">
            <w:rPr>
              <w:rFonts w:ascii="Times New Roman" w:hAnsi="Times New Roman" w:cs="Times New Roman"/>
              <w:noProof/>
            </w:rPr>
            <w:t>(McCormick, Moore, &amp; Kuh, 2010)</w:t>
          </w:r>
          <w:r w:rsidR="005F54B3">
            <w:rPr>
              <w:rFonts w:ascii="Times New Roman" w:hAnsi="Times New Roman" w:cs="Times New Roman"/>
            </w:rPr>
            <w:fldChar w:fldCharType="end"/>
          </w:r>
        </w:sdtContent>
      </w:sdt>
      <w:r w:rsidRPr="003C6DFC">
        <w:rPr>
          <w:rFonts w:ascii="Times New Roman" w:hAnsi="Times New Roman" w:cs="Times New Roman"/>
        </w:rPr>
        <w:t xml:space="preserve">. Student responses to the National Postsecondary Student Aid Study </w:t>
      </w:r>
      <w:sdt>
        <w:sdtPr>
          <w:rPr>
            <w:rFonts w:ascii="Times New Roman" w:hAnsi="Times New Roman" w:cs="Times New Roman"/>
          </w:rPr>
          <w:id w:val="-145285331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Nat20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indicate that </w:t>
      </w:r>
      <w:r w:rsidR="001D0290">
        <w:rPr>
          <w:rFonts w:ascii="Times New Roman" w:hAnsi="Times New Roman" w:cs="Times New Roman"/>
        </w:rPr>
        <w:t>69.5</w:t>
      </w:r>
      <w:r w:rsidRPr="003C6DFC">
        <w:rPr>
          <w:rFonts w:ascii="Times New Roman" w:hAnsi="Times New Roman" w:cs="Times New Roman"/>
        </w:rPr>
        <w:t xml:space="preserve">% of undergraduate students that enrolled mostly full-time as students at public, </w:t>
      </w:r>
      <w:r w:rsidR="001D0290">
        <w:rPr>
          <w:rFonts w:ascii="Times New Roman" w:hAnsi="Times New Roman" w:cs="Times New Roman"/>
        </w:rPr>
        <w:t>two-year or less</w:t>
      </w:r>
      <w:r w:rsidRPr="003C6DFC">
        <w:rPr>
          <w:rFonts w:ascii="Times New Roman" w:hAnsi="Times New Roman" w:cs="Times New Roman"/>
        </w:rPr>
        <w:t xml:space="preserve"> institutions had some form of employment, excluding work-study or fellowships. Horn et al. </w:t>
      </w:r>
      <w:sdt>
        <w:sdtPr>
          <w:rPr>
            <w:rFonts w:ascii="Times New Roman" w:hAnsi="Times New Roman" w:cs="Times New Roman"/>
          </w:rPr>
          <w:id w:val="-146496116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Hor06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(2006)</w:t>
          </w:r>
          <w:r w:rsidRPr="003C6DFC">
            <w:rPr>
              <w:rFonts w:ascii="Times New Roman" w:hAnsi="Times New Roman" w:cs="Times New Roman"/>
            </w:rPr>
            <w:fldChar w:fldCharType="end"/>
          </w:r>
        </w:sdtContent>
      </w:sdt>
      <w:r w:rsidRPr="003C6DFC">
        <w:rPr>
          <w:rFonts w:ascii="Times New Roman" w:hAnsi="Times New Roman" w:cs="Times New Roman"/>
        </w:rPr>
        <w:t xml:space="preserve"> found over half of working undergraduates express their employment as a necessity, suggesting that many students cannot afford these costs without funds generated from </w:t>
      </w:r>
      <w:r w:rsidRPr="003C6DFC">
        <w:rPr>
          <w:rFonts w:ascii="Times New Roman" w:hAnsi="Times New Roman" w:cs="Times New Roman"/>
        </w:rPr>
        <w:lastRenderedPageBreak/>
        <w:t xml:space="preserve">extracurricular employment. Horn et al. </w:t>
      </w:r>
      <w:sdt>
        <w:sdtPr>
          <w:rPr>
            <w:rFonts w:ascii="Times New Roman" w:hAnsi="Times New Roman" w:cs="Times New Roman"/>
          </w:rPr>
          <w:id w:val="-2114119659"/>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Hor06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(2006)</w:t>
          </w:r>
          <w:r w:rsidRPr="003C6DFC">
            <w:rPr>
              <w:rFonts w:ascii="Times New Roman" w:hAnsi="Times New Roman" w:cs="Times New Roman"/>
            </w:rPr>
            <w:fldChar w:fldCharType="end"/>
          </w:r>
        </w:sdtContent>
      </w:sdt>
      <w:r w:rsidRPr="003C6DFC">
        <w:rPr>
          <w:rFonts w:ascii="Times New Roman" w:hAnsi="Times New Roman" w:cs="Times New Roman"/>
        </w:rPr>
        <w:t xml:space="preserve"> also found that a quarter of students </w:t>
      </w:r>
      <w:r w:rsidR="00A81CE6">
        <w:rPr>
          <w:rFonts w:ascii="Times New Roman" w:hAnsi="Times New Roman" w:cs="Times New Roman"/>
        </w:rPr>
        <w:t xml:space="preserve">in their study </w:t>
      </w:r>
      <w:r w:rsidRPr="003C6DFC">
        <w:rPr>
          <w:rFonts w:ascii="Times New Roman" w:hAnsi="Times New Roman" w:cs="Times New Roman"/>
        </w:rPr>
        <w:t xml:space="preserve">describe themselves as employees first and students second. </w:t>
      </w:r>
    </w:p>
    <w:p w14:paraId="590BB85F" w14:textId="4D331D29" w:rsidR="002E752C" w:rsidRPr="003C6DFC" w:rsidRDefault="00A81CE6" w:rsidP="00CD45D6">
      <w:pPr>
        <w:spacing w:line="480" w:lineRule="auto"/>
        <w:ind w:firstLine="720"/>
        <w:rPr>
          <w:rFonts w:ascii="Times New Roman" w:hAnsi="Times New Roman" w:cs="Times New Roman"/>
        </w:rPr>
      </w:pPr>
      <w:r>
        <w:rPr>
          <w:rFonts w:ascii="Times New Roman" w:hAnsi="Times New Roman" w:cs="Times New Roman"/>
        </w:rPr>
        <w:t>Further, h</w:t>
      </w:r>
      <w:r w:rsidR="002E752C" w:rsidRPr="003C6DFC">
        <w:rPr>
          <w:rFonts w:ascii="Times New Roman" w:hAnsi="Times New Roman" w:cs="Times New Roman"/>
        </w:rPr>
        <w:t>igh</w:t>
      </w:r>
      <w:r>
        <w:rPr>
          <w:rFonts w:ascii="Times New Roman" w:hAnsi="Times New Roman" w:cs="Times New Roman"/>
        </w:rPr>
        <w:t>er i</w:t>
      </w:r>
      <w:r w:rsidR="002E752C" w:rsidRPr="003C6DFC">
        <w:rPr>
          <w:rFonts w:ascii="Times New Roman" w:hAnsi="Times New Roman" w:cs="Times New Roman"/>
        </w:rPr>
        <w:t>ncome students struggle less than their low- and middle-income peers to absorb these increased costs. In a Brookings Institution report</w:t>
      </w:r>
      <w:r w:rsidR="003504A7">
        <w:rPr>
          <w:rFonts w:ascii="Times New Roman" w:hAnsi="Times New Roman" w:cs="Times New Roman"/>
        </w:rPr>
        <w:t>, Whitmore</w:t>
      </w:r>
      <w:r w:rsidR="002E752C" w:rsidRPr="003C6DFC">
        <w:rPr>
          <w:rFonts w:ascii="Times New Roman" w:hAnsi="Times New Roman" w:cs="Times New Roman"/>
        </w:rPr>
        <w:t xml:space="preserve"> Schanzenbach et al. </w:t>
      </w:r>
      <w:sdt>
        <w:sdtPr>
          <w:rPr>
            <w:rFonts w:ascii="Times New Roman" w:hAnsi="Times New Roman" w:cs="Times New Roman"/>
          </w:rPr>
          <w:id w:val="1418362356"/>
          <w:citation/>
        </w:sdtPr>
        <w:sdtContent>
          <w:r w:rsidR="002E752C" w:rsidRPr="003C6DFC">
            <w:rPr>
              <w:rFonts w:ascii="Times New Roman" w:hAnsi="Times New Roman" w:cs="Times New Roman"/>
            </w:rPr>
            <w:fldChar w:fldCharType="begin"/>
          </w:r>
          <w:r w:rsidR="002E752C" w:rsidRPr="003C6DFC">
            <w:rPr>
              <w:rFonts w:ascii="Times New Roman" w:hAnsi="Times New Roman" w:cs="Times New Roman"/>
            </w:rPr>
            <w:instrText xml:space="preserve">CITATION Sch17 \n  \t  \l 1033 </w:instrText>
          </w:r>
          <w:r w:rsidR="002E752C" w:rsidRPr="003C6DFC">
            <w:rPr>
              <w:rFonts w:ascii="Times New Roman" w:hAnsi="Times New Roman" w:cs="Times New Roman"/>
            </w:rPr>
            <w:fldChar w:fldCharType="separate"/>
          </w:r>
          <w:r w:rsidR="00A10468" w:rsidRPr="00A10468">
            <w:rPr>
              <w:rFonts w:ascii="Times New Roman" w:hAnsi="Times New Roman" w:cs="Times New Roman"/>
              <w:noProof/>
            </w:rPr>
            <w:t>(2017)</w:t>
          </w:r>
          <w:r w:rsidR="002E752C" w:rsidRPr="003C6DFC">
            <w:rPr>
              <w:rFonts w:ascii="Times New Roman" w:hAnsi="Times New Roman" w:cs="Times New Roman"/>
            </w:rPr>
            <w:fldChar w:fldCharType="end"/>
          </w:r>
        </w:sdtContent>
      </w:sdt>
      <w:r w:rsidR="002E752C" w:rsidRPr="003C6DFC">
        <w:rPr>
          <w:rFonts w:ascii="Times New Roman" w:hAnsi="Times New Roman" w:cs="Times New Roman"/>
        </w:rPr>
        <w:t xml:space="preserve"> identified that nearly a quarter of low-income students at four-year institutions stop-out by the end of their second year. </w:t>
      </w:r>
      <w:r w:rsidR="00CC2222">
        <w:rPr>
          <w:rFonts w:ascii="Times New Roman" w:hAnsi="Times New Roman" w:cs="Times New Roman"/>
        </w:rPr>
        <w:t xml:space="preserve">These findings were </w:t>
      </w:r>
      <w:r w:rsidR="00B11BB7">
        <w:rPr>
          <w:rFonts w:ascii="Times New Roman" w:hAnsi="Times New Roman" w:cs="Times New Roman"/>
        </w:rPr>
        <w:t>more ubiquitous at community colleges, with 49% of students who stopped out in 2023 citing a need to work as the leading reason they discontinued enrollment</w:t>
      </w:r>
      <w:sdt>
        <w:sdtPr>
          <w:rPr>
            <w:rFonts w:ascii="Times New Roman" w:hAnsi="Times New Roman" w:cs="Times New Roman"/>
          </w:rPr>
          <w:id w:val="380370053"/>
          <w:citation/>
        </w:sdtPr>
        <w:sdtContent>
          <w:r w:rsidR="00D451F8">
            <w:rPr>
              <w:rFonts w:ascii="Times New Roman" w:hAnsi="Times New Roman" w:cs="Times New Roman"/>
            </w:rPr>
            <w:fldChar w:fldCharType="begin"/>
          </w:r>
          <w:r w:rsidR="00D451F8">
            <w:rPr>
              <w:rFonts w:ascii="Times New Roman" w:hAnsi="Times New Roman" w:cs="Times New Roman"/>
            </w:rPr>
            <w:instrText xml:space="preserve"> CITATION Ngu24 \l 1033 </w:instrText>
          </w:r>
          <w:r w:rsidR="00D451F8">
            <w:rPr>
              <w:rFonts w:ascii="Times New Roman" w:hAnsi="Times New Roman" w:cs="Times New Roman"/>
            </w:rPr>
            <w:fldChar w:fldCharType="separate"/>
          </w:r>
          <w:r w:rsidR="00A10468">
            <w:rPr>
              <w:rFonts w:ascii="Times New Roman" w:hAnsi="Times New Roman" w:cs="Times New Roman"/>
              <w:noProof/>
            </w:rPr>
            <w:t xml:space="preserve"> </w:t>
          </w:r>
          <w:r w:rsidR="00A10468" w:rsidRPr="00A10468">
            <w:rPr>
              <w:rFonts w:ascii="Times New Roman" w:hAnsi="Times New Roman" w:cs="Times New Roman"/>
              <w:noProof/>
            </w:rPr>
            <w:t>(Nguyen &amp; Cheche, 2024)</w:t>
          </w:r>
          <w:r w:rsidR="00D451F8">
            <w:rPr>
              <w:rFonts w:ascii="Times New Roman" w:hAnsi="Times New Roman" w:cs="Times New Roman"/>
            </w:rPr>
            <w:fldChar w:fldCharType="end"/>
          </w:r>
        </w:sdtContent>
      </w:sdt>
      <w:r w:rsidR="00B11BB7">
        <w:rPr>
          <w:rFonts w:ascii="Times New Roman" w:hAnsi="Times New Roman" w:cs="Times New Roman"/>
        </w:rPr>
        <w:t xml:space="preserve">. </w:t>
      </w:r>
      <w:r w:rsidR="002E752C" w:rsidRPr="003C6DFC">
        <w:rPr>
          <w:rFonts w:ascii="Times New Roman" w:hAnsi="Times New Roman" w:cs="Times New Roman"/>
        </w:rPr>
        <w:t xml:space="preserve">This aligns with existing research that higher education students who work less than 20 hours per week earn significantly better grades than students who work more than 20 hours per week </w:t>
      </w:r>
      <w:sdt>
        <w:sdtPr>
          <w:rPr>
            <w:rFonts w:ascii="Times New Roman" w:hAnsi="Times New Roman" w:cs="Times New Roman"/>
          </w:rPr>
          <w:id w:val="338902561"/>
          <w:citation/>
        </w:sdtPr>
        <w:sdtContent>
          <w:r w:rsidR="00C20BF2">
            <w:rPr>
              <w:rFonts w:ascii="Times New Roman" w:hAnsi="Times New Roman" w:cs="Times New Roman"/>
            </w:rPr>
            <w:fldChar w:fldCharType="begin"/>
          </w:r>
          <w:r w:rsidR="00C20BF2">
            <w:rPr>
              <w:rFonts w:ascii="Times New Roman" w:hAnsi="Times New Roman" w:cs="Times New Roman"/>
            </w:rPr>
            <w:instrText xml:space="preserve"> CITATION Pik091 \l 1033 </w:instrText>
          </w:r>
          <w:r w:rsidR="00C20BF2">
            <w:rPr>
              <w:rFonts w:ascii="Times New Roman" w:hAnsi="Times New Roman" w:cs="Times New Roman"/>
            </w:rPr>
            <w:fldChar w:fldCharType="separate"/>
          </w:r>
          <w:r w:rsidR="00A10468" w:rsidRPr="00A10468">
            <w:rPr>
              <w:rFonts w:ascii="Times New Roman" w:hAnsi="Times New Roman" w:cs="Times New Roman"/>
              <w:noProof/>
            </w:rPr>
            <w:t>(Pike, Kuh, &amp; Massa-McKinley, 2009)</w:t>
          </w:r>
          <w:r w:rsidR="00C20BF2">
            <w:rPr>
              <w:rFonts w:ascii="Times New Roman" w:hAnsi="Times New Roman" w:cs="Times New Roman"/>
            </w:rPr>
            <w:fldChar w:fldCharType="end"/>
          </w:r>
        </w:sdtContent>
      </w:sdt>
      <w:r w:rsidR="002E752C" w:rsidRPr="003C6DFC">
        <w:rPr>
          <w:rFonts w:ascii="Times New Roman" w:hAnsi="Times New Roman" w:cs="Times New Roman"/>
        </w:rPr>
        <w:t xml:space="preserve">. </w:t>
      </w:r>
    </w:p>
    <w:p w14:paraId="31ACE91B" w14:textId="5D00DCC4"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These costs burden students and families, placing them in precarious financial situations. The Hope Center for College, Community, and Justice </w:t>
      </w:r>
      <w:sdt>
        <w:sdtPr>
          <w:rPr>
            <w:rFonts w:ascii="Times New Roman" w:hAnsi="Times New Roman" w:cs="Times New Roman"/>
          </w:rPr>
          <w:id w:val="-56387862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The21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found that 3 in 5 students from a 2020 sample of 195,000 experienced a basic needs insecurity (i.e., lack of access to food, housing, utilities, clothing, etc. due to a lack of funds). This sample consisted of students who were actively enrolled and responded to the survey invitation at 130 two-year colleges and 72 four-year colleges and primarily measured access to food, access to housing, and homelessness. Of these sampled students, 39% and 29% were affected by food insecurity at two-year and four-year colleges</w:t>
      </w:r>
      <w:r w:rsidR="00AD073D">
        <w:rPr>
          <w:rFonts w:ascii="Times New Roman" w:hAnsi="Times New Roman" w:cs="Times New Roman"/>
        </w:rPr>
        <w:t xml:space="preserve"> respectively</w:t>
      </w:r>
      <w:r w:rsidRPr="003C6DFC">
        <w:rPr>
          <w:rFonts w:ascii="Times New Roman" w:hAnsi="Times New Roman" w:cs="Times New Roman"/>
        </w:rPr>
        <w:t xml:space="preserve">. Regarding housing, 48% were affected by housing insecurity and 14% were experiencing homelessness. </w:t>
      </w:r>
    </w:p>
    <w:p w14:paraId="51778D6B" w14:textId="7605EF31"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lastRenderedPageBreak/>
        <w:t xml:space="preserve">In addition to the Hope Center’s basic needs survey results, the National Postsecondary Student Aid Study </w:t>
      </w:r>
      <w:r w:rsidR="006E74AD">
        <w:rPr>
          <w:rFonts w:ascii="Times New Roman" w:hAnsi="Times New Roman" w:cs="Times New Roman"/>
        </w:rPr>
        <w:t>provides a national level data set on</w:t>
      </w:r>
      <w:r w:rsidRPr="003C6DFC">
        <w:rPr>
          <w:rFonts w:ascii="Times New Roman" w:hAnsi="Times New Roman" w:cs="Times New Roman"/>
        </w:rPr>
        <w:t xml:space="preserve"> student basic needs. The National Postsecondary Student Aid Study </w:t>
      </w:r>
      <w:sdt>
        <w:sdtPr>
          <w:rPr>
            <w:rFonts w:ascii="Times New Roman" w:hAnsi="Times New Roman" w:cs="Times New Roman"/>
          </w:rPr>
          <w:id w:val="-71188456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Nat2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estimates </w:t>
      </w:r>
      <w:r w:rsidR="0064370F">
        <w:rPr>
          <w:rFonts w:ascii="Times New Roman" w:hAnsi="Times New Roman" w:cs="Times New Roman"/>
        </w:rPr>
        <w:t>23% of all postsecondary students</w:t>
      </w:r>
      <w:r w:rsidRPr="003C6DFC">
        <w:rPr>
          <w:rFonts w:ascii="Times New Roman" w:hAnsi="Times New Roman" w:cs="Times New Roman"/>
        </w:rPr>
        <w:t xml:space="preserve"> </w:t>
      </w:r>
      <w:r w:rsidR="0064370F">
        <w:rPr>
          <w:rFonts w:ascii="Times New Roman" w:hAnsi="Times New Roman" w:cs="Times New Roman"/>
        </w:rPr>
        <w:t>experienced</w:t>
      </w:r>
      <w:r w:rsidRPr="003C6DFC">
        <w:rPr>
          <w:rFonts w:ascii="Times New Roman" w:hAnsi="Times New Roman" w:cs="Times New Roman"/>
        </w:rPr>
        <w:t xml:space="preserve"> food insecurity respectively within 30 days of survey. This survey also found that 7.3 percent reported experiencing homelessness within 30 days of being surveyed </w:t>
      </w:r>
      <w:sdt>
        <w:sdtPr>
          <w:rPr>
            <w:rFonts w:ascii="Times New Roman" w:hAnsi="Times New Roman" w:cs="Times New Roman"/>
          </w:rPr>
          <w:id w:val="-73493635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Nat201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(National Postsecondary Student Aid Study, 2020)</w:t>
          </w:r>
          <w:r w:rsidRPr="003C6DFC">
            <w:rPr>
              <w:rFonts w:ascii="Times New Roman" w:hAnsi="Times New Roman" w:cs="Times New Roman"/>
            </w:rPr>
            <w:fldChar w:fldCharType="end"/>
          </w:r>
        </w:sdtContent>
      </w:sdt>
      <w:r w:rsidRPr="003C6DFC">
        <w:rPr>
          <w:rFonts w:ascii="Times New Roman" w:hAnsi="Times New Roman" w:cs="Times New Roman"/>
        </w:rPr>
        <w:t>.</w:t>
      </w:r>
    </w:p>
    <w:p w14:paraId="72792F30" w14:textId="6A12F8A9"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This reflects the reality of a consumer-centric model of higher education in a country where better-paying jobs often require a postsecondary credential</w:t>
      </w:r>
      <w:r w:rsidR="001B37F1">
        <w:rPr>
          <w:rFonts w:ascii="Times New Roman" w:hAnsi="Times New Roman" w:cs="Times New Roman"/>
        </w:rPr>
        <w:t xml:space="preserve"> or </w:t>
      </w:r>
      <w:r w:rsidRPr="003C6DFC">
        <w:rPr>
          <w:rFonts w:ascii="Times New Roman" w:hAnsi="Times New Roman" w:cs="Times New Roman"/>
        </w:rPr>
        <w:t>degree</w:t>
      </w:r>
      <w:r w:rsidR="00FD563A">
        <w:rPr>
          <w:rFonts w:ascii="Times New Roman" w:hAnsi="Times New Roman" w:cs="Times New Roman"/>
        </w:rPr>
        <w:t>.</w:t>
      </w:r>
      <w:r w:rsidRPr="003C6DFC">
        <w:rPr>
          <w:rFonts w:ascii="Times New Roman" w:hAnsi="Times New Roman" w:cs="Times New Roman"/>
        </w:rPr>
        <w:t xml:space="preserve"> </w:t>
      </w:r>
      <w:r w:rsidR="00FD563A">
        <w:rPr>
          <w:rFonts w:ascii="Times New Roman" w:hAnsi="Times New Roman" w:cs="Times New Roman"/>
        </w:rPr>
        <w:t>W</w:t>
      </w:r>
      <w:r w:rsidRPr="003C6DFC">
        <w:rPr>
          <w:rFonts w:ascii="Times New Roman" w:hAnsi="Times New Roman" w:cs="Times New Roman"/>
        </w:rPr>
        <w:t>hen costs increase</w:t>
      </w:r>
      <w:r w:rsidR="00FD563A">
        <w:rPr>
          <w:rFonts w:ascii="Times New Roman" w:hAnsi="Times New Roman" w:cs="Times New Roman"/>
        </w:rPr>
        <w:t xml:space="preserve"> in this system</w:t>
      </w:r>
      <w:r w:rsidRPr="003C6DFC">
        <w:rPr>
          <w:rFonts w:ascii="Times New Roman" w:hAnsi="Times New Roman" w:cs="Times New Roman"/>
        </w:rPr>
        <w:t xml:space="preserve">, they are passed onto lower-income students who must make difficult choices about whether to pursue </w:t>
      </w:r>
      <w:r w:rsidR="00371559">
        <w:rPr>
          <w:rFonts w:ascii="Times New Roman" w:hAnsi="Times New Roman" w:cs="Times New Roman"/>
        </w:rPr>
        <w:t xml:space="preserve">or continue </w:t>
      </w:r>
      <w:r w:rsidR="001745DE">
        <w:rPr>
          <w:rFonts w:ascii="Times New Roman" w:hAnsi="Times New Roman" w:cs="Times New Roman"/>
        </w:rPr>
        <w:t>pursuing</w:t>
      </w:r>
      <w:r w:rsidR="00371559">
        <w:rPr>
          <w:rFonts w:ascii="Times New Roman" w:hAnsi="Times New Roman" w:cs="Times New Roman"/>
        </w:rPr>
        <w:t xml:space="preserve"> </w:t>
      </w:r>
      <w:r w:rsidRPr="003C6DFC">
        <w:rPr>
          <w:rFonts w:ascii="Times New Roman" w:hAnsi="Times New Roman" w:cs="Times New Roman"/>
        </w:rPr>
        <w:t>higher education. Through access to families’ financial resources, middle-income and higher-income students likely experience less of a need to work while attending school or basic needs insecurities than their lower-income peers. Further, it is important to note the looming student loan crisis still affects over 43 million Americans with over $1.7 trillion in debt</w:t>
      </w:r>
      <w:r w:rsidR="002B017A">
        <w:rPr>
          <w:rFonts w:ascii="Times New Roman" w:hAnsi="Times New Roman" w:cs="Times New Roman"/>
        </w:rPr>
        <w:t xml:space="preserve"> </w:t>
      </w:r>
      <w:r w:rsidR="00E827E5">
        <w:rPr>
          <w:rFonts w:ascii="Times New Roman" w:hAnsi="Times New Roman" w:cs="Times New Roman"/>
        </w:rPr>
        <w:t>(</w:t>
      </w:r>
      <w:r w:rsidR="00E827E5" w:rsidRPr="00627DE4">
        <w:rPr>
          <w:rFonts w:ascii="Times New Roman" w:hAnsi="Times New Roman" w:cs="Times New Roman"/>
        </w:rPr>
        <w:t xml:space="preserve">Board of </w:t>
      </w:r>
      <w:r w:rsidR="00E827E5">
        <w:rPr>
          <w:rFonts w:ascii="Times New Roman" w:hAnsi="Times New Roman" w:cs="Times New Roman"/>
        </w:rPr>
        <w:t>G</w:t>
      </w:r>
      <w:r w:rsidR="00E827E5" w:rsidRPr="00627DE4">
        <w:rPr>
          <w:rFonts w:ascii="Times New Roman" w:hAnsi="Times New Roman" w:cs="Times New Roman"/>
        </w:rPr>
        <w:t xml:space="preserve">overnors of the </w:t>
      </w:r>
      <w:r w:rsidR="00E827E5">
        <w:rPr>
          <w:rFonts w:ascii="Times New Roman" w:hAnsi="Times New Roman" w:cs="Times New Roman"/>
        </w:rPr>
        <w:t>F</w:t>
      </w:r>
      <w:r w:rsidR="00E827E5" w:rsidRPr="00627DE4">
        <w:rPr>
          <w:rFonts w:ascii="Times New Roman" w:hAnsi="Times New Roman" w:cs="Times New Roman"/>
        </w:rPr>
        <w:t xml:space="preserve">ederal </w:t>
      </w:r>
      <w:r w:rsidR="00E827E5">
        <w:rPr>
          <w:rFonts w:ascii="Times New Roman" w:hAnsi="Times New Roman" w:cs="Times New Roman"/>
        </w:rPr>
        <w:t>R</w:t>
      </w:r>
      <w:r w:rsidR="00E827E5" w:rsidRPr="00627DE4">
        <w:rPr>
          <w:rFonts w:ascii="Times New Roman" w:hAnsi="Times New Roman" w:cs="Times New Roman"/>
        </w:rPr>
        <w:t xml:space="preserve">eserve </w:t>
      </w:r>
      <w:r w:rsidR="00E827E5">
        <w:rPr>
          <w:rFonts w:ascii="Times New Roman" w:hAnsi="Times New Roman" w:cs="Times New Roman"/>
        </w:rPr>
        <w:t>S</w:t>
      </w:r>
      <w:r w:rsidR="00E827E5" w:rsidRPr="00627DE4">
        <w:rPr>
          <w:rFonts w:ascii="Times New Roman" w:hAnsi="Times New Roman" w:cs="Times New Roman"/>
        </w:rPr>
        <w:t>ystem</w:t>
      </w:r>
      <w:r w:rsidR="00E827E5">
        <w:rPr>
          <w:rFonts w:ascii="Times New Roman" w:hAnsi="Times New Roman" w:cs="Times New Roman"/>
        </w:rPr>
        <w:t>, 2024)</w:t>
      </w:r>
      <w:r w:rsidRPr="003C6DFC">
        <w:rPr>
          <w:rFonts w:ascii="Times New Roman" w:hAnsi="Times New Roman" w:cs="Times New Roman"/>
        </w:rPr>
        <w:t xml:space="preserve">. These symptoms of higher education’s affordability crisis such as basic needs insecurity and loan debt, are outcomes of the policies used to finance public higher education in the United States and contribute to an increased importance for in-kind financial aid such as the Pell Grant and promise programs </w:t>
      </w:r>
      <w:r w:rsidR="006F7E1B">
        <w:rPr>
          <w:rFonts w:ascii="Times New Roman" w:hAnsi="Times New Roman" w:cs="Times New Roman"/>
        </w:rPr>
        <w:t>such as those studied in my study</w:t>
      </w:r>
      <w:r w:rsidRPr="003C6DFC">
        <w:rPr>
          <w:rFonts w:ascii="Times New Roman" w:hAnsi="Times New Roman" w:cs="Times New Roman"/>
        </w:rPr>
        <w:t>.</w:t>
      </w:r>
    </w:p>
    <w:p w14:paraId="2E14452A" w14:textId="77777777" w:rsidR="002E752C" w:rsidRPr="00576000" w:rsidRDefault="002E752C" w:rsidP="00CD45D6">
      <w:pPr>
        <w:pStyle w:val="Heading2"/>
        <w:spacing w:before="0" w:after="0"/>
      </w:pPr>
      <w:bookmarkStart w:id="26" w:name="_Toc183282260"/>
      <w:r w:rsidRPr="00576000">
        <w:t>Empirical Research Examining Financial Aid and Student Outcomes</w:t>
      </w:r>
      <w:bookmarkEnd w:id="26"/>
    </w:p>
    <w:p w14:paraId="5AAE387E" w14:textId="77777777"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In this section, I provide a review of empirical research for financial aid and the student outcomes such as enrollment and degree completion. While my study does not </w:t>
      </w:r>
      <w:r w:rsidRPr="003C6DFC">
        <w:rPr>
          <w:rFonts w:ascii="Times New Roman" w:hAnsi="Times New Roman" w:cs="Times New Roman"/>
        </w:rPr>
        <w:lastRenderedPageBreak/>
        <w:t>consider enrollment as an outcome of interest, I include it in this review to communicate how financial aid shapes the whole of the postsecondary student experience from the decision to enroll through persisting to degree completion. Following this section, I examine promise programs separately as a more recent evolution in the landscape of financial aid.</w:t>
      </w:r>
    </w:p>
    <w:p w14:paraId="78654E38" w14:textId="6FCE1FA3" w:rsidR="00396787" w:rsidRDefault="002E752C" w:rsidP="00CD45D6">
      <w:pPr>
        <w:spacing w:line="480" w:lineRule="auto"/>
        <w:rPr>
          <w:rFonts w:ascii="Times New Roman" w:hAnsi="Times New Roman" w:cs="Times New Roman"/>
        </w:rPr>
      </w:pPr>
      <w:r w:rsidRPr="003C6DFC">
        <w:rPr>
          <w:rFonts w:ascii="Times New Roman" w:hAnsi="Times New Roman" w:cs="Times New Roman"/>
        </w:rPr>
        <w:tab/>
        <w:t xml:space="preserve">I have included research on grant, merit, and loan-based financial aid in this review of student outcomes. I choose to do this </w:t>
      </w:r>
      <w:r w:rsidR="007621C4">
        <w:rPr>
          <w:rFonts w:ascii="Times New Roman" w:hAnsi="Times New Roman" w:cs="Times New Roman"/>
        </w:rPr>
        <w:t xml:space="preserve">because promise program students may still </w:t>
      </w:r>
      <w:r w:rsidR="00EC79D5">
        <w:rPr>
          <w:rFonts w:ascii="Times New Roman" w:hAnsi="Times New Roman" w:cs="Times New Roman"/>
        </w:rPr>
        <w:t xml:space="preserve">receive other non-promise funds. </w:t>
      </w:r>
      <w:r w:rsidRPr="003C6DFC">
        <w:rPr>
          <w:rFonts w:ascii="Times New Roman" w:hAnsi="Times New Roman" w:cs="Times New Roman"/>
        </w:rPr>
        <w:t xml:space="preserve">Because students </w:t>
      </w:r>
      <w:r w:rsidR="00396787">
        <w:rPr>
          <w:rFonts w:ascii="Times New Roman" w:hAnsi="Times New Roman" w:cs="Times New Roman"/>
        </w:rPr>
        <w:t xml:space="preserve">represented </w:t>
      </w:r>
      <w:r w:rsidRPr="003C6DFC">
        <w:rPr>
          <w:rFonts w:ascii="Times New Roman" w:hAnsi="Times New Roman" w:cs="Times New Roman"/>
        </w:rPr>
        <w:t xml:space="preserve">in my sample </w:t>
      </w:r>
      <w:r w:rsidR="00396787">
        <w:rPr>
          <w:rFonts w:ascii="Times New Roman" w:hAnsi="Times New Roman" w:cs="Times New Roman"/>
        </w:rPr>
        <w:t xml:space="preserve">by institutional completion counts </w:t>
      </w:r>
      <w:r w:rsidR="00F17D24">
        <w:rPr>
          <w:rFonts w:ascii="Times New Roman" w:hAnsi="Times New Roman" w:cs="Times New Roman"/>
        </w:rPr>
        <w:t>have</w:t>
      </w:r>
      <w:r w:rsidRPr="003C6DFC">
        <w:rPr>
          <w:rFonts w:ascii="Times New Roman" w:hAnsi="Times New Roman" w:cs="Times New Roman"/>
        </w:rPr>
        <w:t xml:space="preserve"> receive</w:t>
      </w:r>
      <w:r w:rsidR="00396787">
        <w:rPr>
          <w:rFonts w:ascii="Times New Roman" w:hAnsi="Times New Roman" w:cs="Times New Roman"/>
        </w:rPr>
        <w:t>d</w:t>
      </w:r>
      <w:r w:rsidRPr="003C6DFC">
        <w:rPr>
          <w:rFonts w:ascii="Times New Roman" w:hAnsi="Times New Roman" w:cs="Times New Roman"/>
        </w:rPr>
        <w:t xml:space="preserve"> varying types of aid</w:t>
      </w:r>
      <w:r w:rsidR="00396787">
        <w:rPr>
          <w:rFonts w:ascii="Times New Roman" w:hAnsi="Times New Roman" w:cs="Times New Roman"/>
        </w:rPr>
        <w:t xml:space="preserve">, this addition </w:t>
      </w:r>
      <w:r w:rsidR="00A85673">
        <w:rPr>
          <w:rFonts w:ascii="Times New Roman" w:hAnsi="Times New Roman" w:cs="Times New Roman"/>
        </w:rPr>
        <w:t xml:space="preserve">helps to more </w:t>
      </w:r>
      <w:r w:rsidR="00C96C22">
        <w:rPr>
          <w:rFonts w:ascii="Times New Roman" w:hAnsi="Times New Roman" w:cs="Times New Roman"/>
        </w:rPr>
        <w:t>holistic</w:t>
      </w:r>
      <w:r w:rsidR="00A85673">
        <w:rPr>
          <w:rFonts w:ascii="Times New Roman" w:hAnsi="Times New Roman" w:cs="Times New Roman"/>
        </w:rPr>
        <w:t xml:space="preserve">ally understand the effect student aid has on student outcomes. </w:t>
      </w:r>
    </w:p>
    <w:p w14:paraId="61FCD893" w14:textId="77777777" w:rsidR="002E752C" w:rsidRPr="003C6DFC" w:rsidRDefault="002E752C" w:rsidP="00CD45D6">
      <w:pPr>
        <w:pStyle w:val="Heading3"/>
        <w:spacing w:before="0" w:after="0"/>
      </w:pPr>
      <w:bookmarkStart w:id="27" w:name="_Toc183282261"/>
      <w:r w:rsidRPr="003C6DFC">
        <w:t>Financial Aid and Enrollment</w:t>
      </w:r>
      <w:bookmarkEnd w:id="27"/>
      <w:r w:rsidRPr="003C6DFC">
        <w:t xml:space="preserve"> </w:t>
      </w:r>
    </w:p>
    <w:p w14:paraId="6B24C327" w14:textId="07B11EAB"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Efforts to research the relationship between postsecondary enrollment, cost of attendance, and financial aid have been long-standing for over 40 years across a variety of different aid types with early research lacking </w:t>
      </w:r>
      <w:r w:rsidR="008C469E">
        <w:rPr>
          <w:rFonts w:ascii="Times New Roman" w:hAnsi="Times New Roman" w:cs="Times New Roman"/>
        </w:rPr>
        <w:t>the experimental</w:t>
      </w:r>
      <w:r w:rsidRPr="003C6DFC">
        <w:rPr>
          <w:rFonts w:ascii="Times New Roman" w:hAnsi="Times New Roman" w:cs="Times New Roman"/>
        </w:rPr>
        <w:t xml:space="preserve"> design </w:t>
      </w:r>
      <w:r w:rsidR="008C469E">
        <w:rPr>
          <w:rFonts w:ascii="Times New Roman" w:hAnsi="Times New Roman" w:cs="Times New Roman"/>
        </w:rPr>
        <w:t xml:space="preserve">necessary </w:t>
      </w:r>
      <w:r w:rsidRPr="003C6DFC">
        <w:rPr>
          <w:rFonts w:ascii="Times New Roman" w:hAnsi="Times New Roman" w:cs="Times New Roman"/>
        </w:rPr>
        <w:t xml:space="preserve">to address omitted variable bias or reverse causation </w:t>
      </w:r>
      <w:r w:rsidRPr="003C6DFC">
        <w:rPr>
          <w:rFonts w:ascii="Times New Roman" w:hAnsi="Times New Roman" w:cs="Times New Roman"/>
          <w:noProof/>
        </w:rPr>
        <w:t>(Dynarski, 2002; Leslie &amp; Brinkman, 1988)</w:t>
      </w:r>
      <w:r w:rsidR="007C2FB2">
        <w:rPr>
          <w:rFonts w:ascii="Times New Roman" w:hAnsi="Times New Roman" w:cs="Times New Roman"/>
          <w:noProof/>
        </w:rPr>
        <w:t xml:space="preserve">. </w:t>
      </w:r>
      <w:r w:rsidRPr="003C6DFC">
        <w:rPr>
          <w:rFonts w:ascii="Times New Roman" w:hAnsi="Times New Roman" w:cs="Times New Roman"/>
        </w:rPr>
        <w:t xml:space="preserve">Dynarski et al. </w:t>
      </w:r>
      <w:sdt>
        <w:sdtPr>
          <w:rPr>
            <w:rFonts w:ascii="Times New Roman" w:hAnsi="Times New Roman" w:cs="Times New Roman"/>
          </w:rPr>
          <w:id w:val="-207178865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Dyn23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(2023)</w:t>
          </w:r>
          <w:r w:rsidRPr="003C6DFC">
            <w:rPr>
              <w:rFonts w:ascii="Times New Roman" w:hAnsi="Times New Roman" w:cs="Times New Roman"/>
            </w:rPr>
            <w:fldChar w:fldCharType="end"/>
          </w:r>
        </w:sdtContent>
      </w:sdt>
      <w:r w:rsidRPr="003C6DFC">
        <w:rPr>
          <w:rFonts w:ascii="Times New Roman" w:hAnsi="Times New Roman" w:cs="Times New Roman"/>
        </w:rPr>
        <w:t xml:space="preserve"> notes that more recent methodological approaches using experimental and quasi-experimental methods offer findings that are more sound than past research regarding the effects of financial aid on student outcomes. In this review, I center these studies as the best evidence to date </w:t>
      </w:r>
      <w:r w:rsidR="00D91AFF">
        <w:rPr>
          <w:rFonts w:ascii="Times New Roman" w:hAnsi="Times New Roman" w:cs="Times New Roman"/>
        </w:rPr>
        <w:t xml:space="preserve">that informed my </w:t>
      </w:r>
      <w:r w:rsidRPr="003C6DFC">
        <w:rPr>
          <w:rFonts w:ascii="Times New Roman" w:hAnsi="Times New Roman" w:cs="Times New Roman"/>
        </w:rPr>
        <w:t xml:space="preserve">study. </w:t>
      </w:r>
    </w:p>
    <w:p w14:paraId="7C5FA5A0" w14:textId="77777777" w:rsidR="002E752C" w:rsidRPr="003C6DFC" w:rsidRDefault="002E752C" w:rsidP="00CD45D6">
      <w:pPr>
        <w:spacing w:line="480" w:lineRule="auto"/>
        <w:rPr>
          <w:rFonts w:ascii="Times New Roman" w:hAnsi="Times New Roman" w:cs="Times New Roman"/>
          <w:b/>
          <w:bCs/>
          <w:i/>
          <w:iCs/>
        </w:rPr>
      </w:pPr>
      <w:r w:rsidRPr="003C6DFC">
        <w:rPr>
          <w:rFonts w:ascii="Times New Roman" w:hAnsi="Times New Roman" w:cs="Times New Roman"/>
          <w:b/>
          <w:bCs/>
          <w:i/>
          <w:iCs/>
        </w:rPr>
        <w:t>Grant-Based Aid (Enrollment)</w:t>
      </w:r>
    </w:p>
    <w:p w14:paraId="7C61F211" w14:textId="60CF3CCE"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Using difference-in-difference analysis of the now-canceled Social Security Student Benefit Program, Dynarski </w:t>
      </w:r>
      <w:sdt>
        <w:sdtPr>
          <w:rPr>
            <w:rFonts w:ascii="Times New Roman" w:hAnsi="Times New Roman" w:cs="Times New Roman"/>
          </w:rPr>
          <w:id w:val="29819966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Dyn03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(2003)</w:t>
          </w:r>
          <w:r w:rsidRPr="003C6DFC">
            <w:rPr>
              <w:rFonts w:ascii="Times New Roman" w:hAnsi="Times New Roman" w:cs="Times New Roman"/>
            </w:rPr>
            <w:fldChar w:fldCharType="end"/>
          </w:r>
        </w:sdtContent>
      </w:sdt>
      <w:r w:rsidRPr="003C6DFC">
        <w:rPr>
          <w:rFonts w:ascii="Times New Roman" w:hAnsi="Times New Roman" w:cs="Times New Roman"/>
        </w:rPr>
        <w:t xml:space="preserve"> estimated that an increase of $1,000 in grant </w:t>
      </w:r>
      <w:r w:rsidRPr="003C6DFC">
        <w:rPr>
          <w:rFonts w:ascii="Times New Roman" w:hAnsi="Times New Roman" w:cs="Times New Roman"/>
        </w:rPr>
        <w:lastRenderedPageBreak/>
        <w:t xml:space="preserve">aid can correspond to a 3.6% increase in the probability of a student attending college. To examine the loss of $6,700 received annually by students of deceased, disabled, or retired Social Security beneficiaries while enrolled full-time in college, Dynarski utilized the death of a parent during childhood as a proxy for program participation before its closure in 1982. This allowed Dynarski to compare students’ decisions to enroll in postsecondary education based on eligibility (i.e., intent to treat) before </w:t>
      </w:r>
      <w:r w:rsidR="001745DE">
        <w:rPr>
          <w:rFonts w:ascii="Times New Roman" w:hAnsi="Times New Roman" w:cs="Times New Roman"/>
        </w:rPr>
        <w:t>and</w:t>
      </w:r>
      <w:r w:rsidRPr="003C6DFC">
        <w:rPr>
          <w:rFonts w:ascii="Times New Roman" w:hAnsi="Times New Roman" w:cs="Times New Roman"/>
        </w:rPr>
        <w:t xml:space="preserve"> after program closure while examining the proxy as an indicator for program eligibility. </w:t>
      </w:r>
    </w:p>
    <w:p w14:paraId="54907B9F" w14:textId="0B026775"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Using difference-in-difference, Abraham and Clark </w:t>
      </w:r>
      <w:sdt>
        <w:sdtPr>
          <w:rPr>
            <w:rFonts w:ascii="Times New Roman" w:hAnsi="Times New Roman" w:cs="Times New Roman"/>
          </w:rPr>
          <w:id w:val="-163571793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Abr06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(2006)</w:t>
          </w:r>
          <w:r w:rsidRPr="003C6DFC">
            <w:rPr>
              <w:rFonts w:ascii="Times New Roman" w:hAnsi="Times New Roman" w:cs="Times New Roman"/>
            </w:rPr>
            <w:fldChar w:fldCharType="end"/>
          </w:r>
        </w:sdtContent>
      </w:sdt>
      <w:r w:rsidRPr="003C6DFC">
        <w:rPr>
          <w:rFonts w:ascii="Times New Roman" w:hAnsi="Times New Roman" w:cs="Times New Roman"/>
        </w:rPr>
        <w:t xml:space="preserve"> as well as Kane </w:t>
      </w:r>
      <w:sdt>
        <w:sdtPr>
          <w:rPr>
            <w:rFonts w:ascii="Times New Roman" w:hAnsi="Times New Roman" w:cs="Times New Roman"/>
          </w:rPr>
          <w:id w:val="-171325953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Kan07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(2007)</w:t>
          </w:r>
          <w:r w:rsidRPr="003C6DFC">
            <w:rPr>
              <w:rFonts w:ascii="Times New Roman" w:hAnsi="Times New Roman" w:cs="Times New Roman"/>
            </w:rPr>
            <w:fldChar w:fldCharType="end"/>
          </w:r>
        </w:sdtContent>
      </w:sdt>
      <w:r w:rsidRPr="003C6DFC">
        <w:rPr>
          <w:rFonts w:ascii="Times New Roman" w:hAnsi="Times New Roman" w:cs="Times New Roman"/>
        </w:rPr>
        <w:t xml:space="preserve"> studied Washington, D.C.’s Tuition Assistance Grant which covers the difference between out-of-state and in-state tuition at primarily public institutions. D.C. has three public institutions with a combined enrollment of less than 6,000, two of which are limited in enrollment to a special focus such as national security. This means that without this program, most D.C. residents would need to pay a higher out-of-state tuition to access public postsecondary education. Both of these D.C. Tuition Assistance Grant studies take advantage of the start of this program for D.C. students and compare them with students from the bordering states of Virginia or Maryland </w:t>
      </w:r>
      <w:sdt>
        <w:sdtPr>
          <w:rPr>
            <w:rFonts w:ascii="Times New Roman" w:hAnsi="Times New Roman" w:cs="Times New Roman"/>
          </w:rPr>
          <w:id w:val="152744414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Kan07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(Kane T. , 2007)</w:t>
          </w:r>
          <w:r w:rsidRPr="003C6DFC">
            <w:rPr>
              <w:rFonts w:ascii="Times New Roman" w:hAnsi="Times New Roman" w:cs="Times New Roman"/>
            </w:rPr>
            <w:fldChar w:fldCharType="end"/>
          </w:r>
        </w:sdtContent>
      </w:sdt>
      <w:r w:rsidRPr="003C6DFC">
        <w:rPr>
          <w:rFonts w:ascii="Times New Roman" w:hAnsi="Times New Roman" w:cs="Times New Roman"/>
        </w:rPr>
        <w:t xml:space="preserve"> and of similar cities </w:t>
      </w:r>
      <w:sdt>
        <w:sdtPr>
          <w:rPr>
            <w:rFonts w:ascii="Times New Roman" w:hAnsi="Times New Roman" w:cs="Times New Roman"/>
          </w:rPr>
          <w:id w:val="90032677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Abr06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(Abraham &amp; Clark, 2006)</w:t>
          </w:r>
          <w:r w:rsidRPr="003C6DFC">
            <w:rPr>
              <w:rFonts w:ascii="Times New Roman" w:hAnsi="Times New Roman" w:cs="Times New Roman"/>
            </w:rPr>
            <w:fldChar w:fldCharType="end"/>
          </w:r>
        </w:sdtContent>
      </w:sdt>
      <w:r w:rsidRPr="003C6DFC">
        <w:rPr>
          <w:rFonts w:ascii="Times New Roman" w:hAnsi="Times New Roman" w:cs="Times New Roman"/>
        </w:rPr>
        <w:t xml:space="preserve">. These studies found that each $1,000 of increased aid increased enrollment by between 5 and 6 percentage points for D.C. residents when compared to Maryland or Virginia </w:t>
      </w:r>
      <w:sdt>
        <w:sdtPr>
          <w:rPr>
            <w:rFonts w:ascii="Times New Roman" w:hAnsi="Times New Roman" w:cs="Times New Roman"/>
          </w:rPr>
          <w:id w:val="288105420"/>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Kan07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(Kane T. , 2007)</w:t>
          </w:r>
          <w:r w:rsidRPr="003C6DFC">
            <w:rPr>
              <w:rFonts w:ascii="Times New Roman" w:hAnsi="Times New Roman" w:cs="Times New Roman"/>
            </w:rPr>
            <w:fldChar w:fldCharType="end"/>
          </w:r>
        </w:sdtContent>
      </w:sdt>
      <w:r w:rsidRPr="003C6DFC">
        <w:rPr>
          <w:rFonts w:ascii="Times New Roman" w:hAnsi="Times New Roman" w:cs="Times New Roman"/>
        </w:rPr>
        <w:t xml:space="preserve"> and approximately 3.6 percentage points for D.C. residents when compared to similar cities </w:t>
      </w:r>
      <w:sdt>
        <w:sdtPr>
          <w:rPr>
            <w:rFonts w:ascii="Times New Roman" w:hAnsi="Times New Roman" w:cs="Times New Roman"/>
          </w:rPr>
          <w:id w:val="131730360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Abr06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(Abraham &amp; Clark, 2006)</w:t>
          </w:r>
          <w:r w:rsidRPr="003C6DFC">
            <w:rPr>
              <w:rFonts w:ascii="Times New Roman" w:hAnsi="Times New Roman" w:cs="Times New Roman"/>
            </w:rPr>
            <w:fldChar w:fldCharType="end"/>
          </w:r>
        </w:sdtContent>
      </w:sdt>
      <w:r w:rsidRPr="003C6DFC">
        <w:rPr>
          <w:rFonts w:ascii="Times New Roman" w:hAnsi="Times New Roman" w:cs="Times New Roman"/>
        </w:rPr>
        <w:t>.</w:t>
      </w:r>
    </w:p>
    <w:p w14:paraId="45E36FEF" w14:textId="3622BD52"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lastRenderedPageBreak/>
        <w:t xml:space="preserve">However, findings from the literature on studies on the country’s largest financial aid grant program are more mixed </w:t>
      </w:r>
      <w:sdt>
        <w:sdtPr>
          <w:rPr>
            <w:rFonts w:ascii="Times New Roman" w:hAnsi="Times New Roman" w:cs="Times New Roman"/>
          </w:rPr>
          <w:id w:val="1325859593"/>
          <w:citation/>
        </w:sdtPr>
        <w:sdtContent>
          <w:r w:rsidR="00A8280E">
            <w:rPr>
              <w:rFonts w:ascii="Times New Roman" w:hAnsi="Times New Roman" w:cs="Times New Roman"/>
            </w:rPr>
            <w:fldChar w:fldCharType="begin"/>
          </w:r>
          <w:r w:rsidR="00A8280E">
            <w:rPr>
              <w:rFonts w:ascii="Times New Roman" w:hAnsi="Times New Roman" w:cs="Times New Roman"/>
            </w:rPr>
            <w:instrText xml:space="preserve"> CITATION Ngu19 \l 1033 </w:instrText>
          </w:r>
          <w:r w:rsidR="00A8280E">
            <w:rPr>
              <w:rFonts w:ascii="Times New Roman" w:hAnsi="Times New Roman" w:cs="Times New Roman"/>
            </w:rPr>
            <w:fldChar w:fldCharType="separate"/>
          </w:r>
          <w:r w:rsidR="00A10468" w:rsidRPr="00A10468">
            <w:rPr>
              <w:rFonts w:ascii="Times New Roman" w:hAnsi="Times New Roman" w:cs="Times New Roman"/>
              <w:noProof/>
            </w:rPr>
            <w:t>(Nguyen, Kramer, &amp; Evans, 2019)</w:t>
          </w:r>
          <w:r w:rsidR="00A8280E">
            <w:rPr>
              <w:rFonts w:ascii="Times New Roman" w:hAnsi="Times New Roman" w:cs="Times New Roman"/>
            </w:rPr>
            <w:fldChar w:fldCharType="end"/>
          </w:r>
        </w:sdtContent>
      </w:sdt>
      <w:r w:rsidRPr="003C6DFC">
        <w:rPr>
          <w:rFonts w:ascii="Times New Roman" w:hAnsi="Times New Roman" w:cs="Times New Roman"/>
        </w:rPr>
        <w:t xml:space="preserve">. Researchers experience some difficulty in teasing out the </w:t>
      </w:r>
      <w:r w:rsidR="00124BA3">
        <w:rPr>
          <w:rFonts w:ascii="Times New Roman" w:hAnsi="Times New Roman" w:cs="Times New Roman"/>
        </w:rPr>
        <w:t>causal</w:t>
      </w:r>
      <w:r w:rsidRPr="003C6DFC">
        <w:rPr>
          <w:rFonts w:ascii="Times New Roman" w:hAnsi="Times New Roman" w:cs="Times New Roman"/>
        </w:rPr>
        <w:t xml:space="preserve"> effects of the Pell grant because studies have utilized relatively small changes in potential award amounts, approximately $600 according to Nguyen et al.’s </w:t>
      </w:r>
      <w:sdt>
        <w:sdtPr>
          <w:rPr>
            <w:rFonts w:ascii="Times New Roman" w:hAnsi="Times New Roman" w:cs="Times New Roman"/>
          </w:rPr>
          <w:id w:val="455601382"/>
          <w:citation/>
        </w:sdtPr>
        <w:sdtContent>
          <w:r w:rsidR="00A32F3C">
            <w:rPr>
              <w:rFonts w:ascii="Times New Roman" w:hAnsi="Times New Roman" w:cs="Times New Roman"/>
            </w:rPr>
            <w:fldChar w:fldCharType="begin"/>
          </w:r>
          <w:r w:rsidR="00A32F3C">
            <w:rPr>
              <w:rFonts w:ascii="Times New Roman" w:hAnsi="Times New Roman" w:cs="Times New Roman"/>
            </w:rPr>
            <w:instrText xml:space="preserve">CITATION Ngu19 \n  \t  \l 1033 </w:instrText>
          </w:r>
          <w:r w:rsidR="00A32F3C">
            <w:rPr>
              <w:rFonts w:ascii="Times New Roman" w:hAnsi="Times New Roman" w:cs="Times New Roman"/>
            </w:rPr>
            <w:fldChar w:fldCharType="separate"/>
          </w:r>
          <w:r w:rsidR="00A10468" w:rsidRPr="00A10468">
            <w:rPr>
              <w:rFonts w:ascii="Times New Roman" w:hAnsi="Times New Roman" w:cs="Times New Roman"/>
              <w:noProof/>
            </w:rPr>
            <w:t>(2019)</w:t>
          </w:r>
          <w:r w:rsidR="00A32F3C">
            <w:rPr>
              <w:rFonts w:ascii="Times New Roman" w:hAnsi="Times New Roman" w:cs="Times New Roman"/>
            </w:rPr>
            <w:fldChar w:fldCharType="end"/>
          </w:r>
        </w:sdtContent>
      </w:sdt>
      <w:r w:rsidRPr="003C6DFC">
        <w:rPr>
          <w:rFonts w:ascii="Times New Roman" w:hAnsi="Times New Roman" w:cs="Times New Roman"/>
        </w:rPr>
        <w:t xml:space="preserve"> meta-analysis, as the treatment variable. As of the 2023-2024 academic year, the Department of Education awarded a maximum Pell grant of $7,395. With researchers often measuring the impact of Pell grant awards in percent change per $1,000 received in Pell grant aid, observational data does not provide a complete picture for the potential impact of increasing Pell grant aid. Further, the tendency for students to substitute away other forms of aid such as loans or reduce their work hours further complicates empirical research on this topic </w:t>
      </w:r>
      <w:sdt>
        <w:sdtPr>
          <w:rPr>
            <w:rFonts w:ascii="Times New Roman" w:hAnsi="Times New Roman" w:cs="Times New Roman"/>
          </w:rPr>
          <w:id w:val="-162746860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Eva19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(Evans B. J., 2019)</w:t>
          </w:r>
          <w:r w:rsidRPr="003C6DFC">
            <w:rPr>
              <w:rFonts w:ascii="Times New Roman" w:hAnsi="Times New Roman" w:cs="Times New Roman"/>
            </w:rPr>
            <w:fldChar w:fldCharType="end"/>
          </w:r>
        </w:sdtContent>
      </w:sdt>
      <w:r w:rsidRPr="003C6DFC">
        <w:rPr>
          <w:rFonts w:ascii="Times New Roman" w:hAnsi="Times New Roman" w:cs="Times New Roman"/>
        </w:rPr>
        <w:t xml:space="preserve">. </w:t>
      </w:r>
    </w:p>
    <w:p w14:paraId="4149F040" w14:textId="72AD6F30"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Early research on the Pell </w:t>
      </w:r>
      <w:r w:rsidR="001745DE">
        <w:rPr>
          <w:rFonts w:ascii="Times New Roman" w:hAnsi="Times New Roman" w:cs="Times New Roman"/>
        </w:rPr>
        <w:t>g</w:t>
      </w:r>
      <w:r w:rsidRPr="003C6DFC">
        <w:rPr>
          <w:rFonts w:ascii="Times New Roman" w:hAnsi="Times New Roman" w:cs="Times New Roman"/>
        </w:rPr>
        <w:t>rant could not identify a clear effect on enrollment by studying trends in family income before and after the program introduction</w:t>
      </w:r>
      <w:r w:rsidR="007451E1">
        <w:rPr>
          <w:rFonts w:ascii="Times New Roman" w:hAnsi="Times New Roman" w:cs="Times New Roman"/>
        </w:rPr>
        <w:t xml:space="preserve"> </w:t>
      </w:r>
      <w:r w:rsidRPr="003C6DFC">
        <w:rPr>
          <w:rFonts w:ascii="Times New Roman" w:hAnsi="Times New Roman" w:cs="Times New Roman"/>
          <w:noProof/>
        </w:rPr>
        <w:t>(Hansen, 1983; Kane, 1996)</w:t>
      </w:r>
      <w:r w:rsidRPr="003C6DFC">
        <w:rPr>
          <w:rFonts w:ascii="Times New Roman" w:hAnsi="Times New Roman" w:cs="Times New Roman"/>
        </w:rPr>
        <w:t xml:space="preserve">. Carruthers and Welch </w:t>
      </w:r>
      <w:sdt>
        <w:sdtPr>
          <w:rPr>
            <w:rFonts w:ascii="Times New Roman" w:hAnsi="Times New Roman" w:cs="Times New Roman"/>
          </w:rPr>
          <w:id w:val="-103064055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Car19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utilized regression discontinuity to identify that Pell </w:t>
      </w:r>
      <w:r w:rsidR="001745DE">
        <w:rPr>
          <w:rFonts w:ascii="Times New Roman" w:hAnsi="Times New Roman" w:cs="Times New Roman"/>
        </w:rPr>
        <w:t>g</w:t>
      </w:r>
      <w:r w:rsidRPr="003C6DFC">
        <w:rPr>
          <w:rFonts w:ascii="Times New Roman" w:hAnsi="Times New Roman" w:cs="Times New Roman"/>
        </w:rPr>
        <w:t xml:space="preserve">rants did not produce a significant effect on postsecondary enrollment but rather influenced student decisions on where they would enroll. Carruthers and Welch found that compared to similar students that were not Pell eligible that Pell eligible students on average attended institutions that charged $116 more tuition per $1,000 in Pell grant received. </w:t>
      </w:r>
    </w:p>
    <w:p w14:paraId="4C92AB94" w14:textId="1CF07CF3" w:rsidR="002E752C" w:rsidRPr="003C6DFC" w:rsidRDefault="002E752C" w:rsidP="00CD45D6">
      <w:pPr>
        <w:spacing w:line="480" w:lineRule="auto"/>
        <w:ind w:firstLine="720"/>
        <w:rPr>
          <w:rFonts w:ascii="Times New Roman" w:hAnsi="Times New Roman" w:cs="Times New Roman"/>
          <w:b/>
          <w:bCs/>
          <w:i/>
          <w:iCs/>
        </w:rPr>
      </w:pPr>
      <w:r w:rsidRPr="003C6DFC">
        <w:rPr>
          <w:rFonts w:ascii="Times New Roman" w:hAnsi="Times New Roman" w:cs="Times New Roman"/>
        </w:rPr>
        <w:t xml:space="preserve">Another study using regression discontinuity found that students who receive the Pell Grant are 4 to 7 percentage points more likely to enroll full-time in college than peers that are close to the Expected Family Contribution cut-off for the award but did not </w:t>
      </w:r>
      <w:r w:rsidRPr="003C6DFC">
        <w:rPr>
          <w:rFonts w:ascii="Times New Roman" w:hAnsi="Times New Roman" w:cs="Times New Roman"/>
        </w:rPr>
        <w:lastRenderedPageBreak/>
        <w:t xml:space="preserve">receive the Pell grant award </w:t>
      </w:r>
      <w:sdt>
        <w:sdtPr>
          <w:rPr>
            <w:rFonts w:ascii="Times New Roman" w:hAnsi="Times New Roman" w:cs="Times New Roman"/>
          </w:rPr>
          <w:id w:val="100263673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Par181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(Park &amp; Scott-Clayton, 2018)</w:t>
          </w:r>
          <w:r w:rsidRPr="003C6DFC">
            <w:rPr>
              <w:rFonts w:ascii="Times New Roman" w:hAnsi="Times New Roman" w:cs="Times New Roman"/>
            </w:rPr>
            <w:fldChar w:fldCharType="end"/>
          </w:r>
        </w:sdtContent>
      </w:sdt>
      <w:r w:rsidRPr="003C6DFC">
        <w:rPr>
          <w:rFonts w:ascii="Times New Roman" w:hAnsi="Times New Roman" w:cs="Times New Roman"/>
        </w:rPr>
        <w:t>. Both the comparison group and treatment group for this study were within $2,000 of the EFC cut-off. The treated group received an average award of $1,261 from Pell funds. While limited to a single, undisclosed state, Park and Scott-Clayton were able to find this effect by isolating students who had Expected Family Contributions that were within $2,000 of that year’s cutoff for Pell Grant eligibility. This then provided Park and Scott-Clayton with financially similar students for analysis from which they could control for the influence of other observable characteristics such as race/ethnicity, gender, age, dependency status, and academic preparedness.</w:t>
      </w:r>
    </w:p>
    <w:p w14:paraId="31CD2EEC" w14:textId="77777777" w:rsidR="002E752C" w:rsidRPr="003C6DFC" w:rsidRDefault="002E752C" w:rsidP="00CD45D6">
      <w:pPr>
        <w:spacing w:line="480" w:lineRule="auto"/>
        <w:rPr>
          <w:rFonts w:ascii="Times New Roman" w:hAnsi="Times New Roman" w:cs="Times New Roman"/>
          <w:b/>
          <w:bCs/>
          <w:i/>
          <w:iCs/>
        </w:rPr>
      </w:pPr>
      <w:r w:rsidRPr="003C6DFC">
        <w:rPr>
          <w:rFonts w:ascii="Times New Roman" w:hAnsi="Times New Roman" w:cs="Times New Roman"/>
          <w:b/>
          <w:bCs/>
          <w:i/>
          <w:iCs/>
        </w:rPr>
        <w:t>Merit-Based Aid (Enrollment)</w:t>
      </w:r>
    </w:p>
    <w:p w14:paraId="278DEBA1" w14:textId="44DB20A9"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While older programs such as the Pell </w:t>
      </w:r>
      <w:r w:rsidR="00C72CFB">
        <w:rPr>
          <w:rFonts w:ascii="Times New Roman" w:hAnsi="Times New Roman" w:cs="Times New Roman"/>
        </w:rPr>
        <w:t>g</w:t>
      </w:r>
      <w:r w:rsidRPr="003C6DFC">
        <w:rPr>
          <w:rFonts w:ascii="Times New Roman" w:hAnsi="Times New Roman" w:cs="Times New Roman"/>
        </w:rPr>
        <w:t xml:space="preserve">rant utilize estimated student need in their award structures, many newer programs focus more heavily on merit. These aid programs center the higher education affordability concerns for middle-income and higher-income families. These merit-aid policies have in effect directed state funds toward middle-income students and families that may not qualify for federally provided need-based awards. </w:t>
      </w:r>
    </w:p>
    <w:p w14:paraId="0A953571" w14:textId="5C5C5FE8" w:rsidR="002E752C" w:rsidRPr="003C6DFC" w:rsidRDefault="002E752C" w:rsidP="00CD45D6">
      <w:pPr>
        <w:spacing w:line="480" w:lineRule="auto"/>
        <w:rPr>
          <w:rFonts w:ascii="Times New Roman" w:hAnsi="Times New Roman" w:cs="Times New Roman"/>
        </w:rPr>
      </w:pPr>
      <w:r w:rsidRPr="003C6DFC">
        <w:rPr>
          <w:rFonts w:ascii="Times New Roman" w:hAnsi="Times New Roman" w:cs="Times New Roman"/>
        </w:rPr>
        <w:tab/>
        <w:t xml:space="preserve">Since the early 2000s, researchers have studied merit aid programs such as Georgia’s HOPE scholarship using rigorous methods. An early study by Dynarski </w:t>
      </w:r>
      <w:sdt>
        <w:sdtPr>
          <w:rPr>
            <w:rFonts w:ascii="Times New Roman" w:hAnsi="Times New Roman" w:cs="Times New Roman"/>
          </w:rPr>
          <w:id w:val="-203858038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Dyn00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(2000)</w:t>
          </w:r>
          <w:r w:rsidRPr="003C6DFC">
            <w:rPr>
              <w:rFonts w:ascii="Times New Roman" w:hAnsi="Times New Roman" w:cs="Times New Roman"/>
            </w:rPr>
            <w:fldChar w:fldCharType="end"/>
          </w:r>
        </w:sdtContent>
      </w:sdt>
      <w:r w:rsidRPr="003C6DFC">
        <w:rPr>
          <w:rFonts w:ascii="Times New Roman" w:hAnsi="Times New Roman" w:cs="Times New Roman"/>
        </w:rPr>
        <w:t xml:space="preserve"> found that each $1,000 in merit aid received through the Georgia HOPE scholarship in the 1990s increased college attendance rates by 3.7 to 4.2 percentage points. Within these findings, these increases in enrollment were most concentrated among students from upper- and middle-income families. Dynarski </w:t>
      </w:r>
      <w:sdt>
        <w:sdtPr>
          <w:rPr>
            <w:rFonts w:ascii="Times New Roman" w:hAnsi="Times New Roman" w:cs="Times New Roman"/>
          </w:rPr>
          <w:id w:val="1495908070"/>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Dyn00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(2000)</w:t>
          </w:r>
          <w:r w:rsidRPr="003C6DFC">
            <w:rPr>
              <w:rFonts w:ascii="Times New Roman" w:hAnsi="Times New Roman" w:cs="Times New Roman"/>
            </w:rPr>
            <w:fldChar w:fldCharType="end"/>
          </w:r>
        </w:sdtContent>
      </w:sdt>
      <w:r w:rsidRPr="003C6DFC">
        <w:rPr>
          <w:rFonts w:ascii="Times New Roman" w:hAnsi="Times New Roman" w:cs="Times New Roman"/>
        </w:rPr>
        <w:t xml:space="preserve"> also concluded that the introduction </w:t>
      </w:r>
      <w:r w:rsidRPr="003C6DFC">
        <w:rPr>
          <w:rFonts w:ascii="Times New Roman" w:hAnsi="Times New Roman" w:cs="Times New Roman"/>
        </w:rPr>
        <w:lastRenderedPageBreak/>
        <w:t xml:space="preserve">of this merit aid program widened enrollment gaps for Black and White students from low- and high-income families. </w:t>
      </w:r>
      <w:r w:rsidR="00030397">
        <w:rPr>
          <w:rFonts w:ascii="Times New Roman" w:hAnsi="Times New Roman" w:cs="Times New Roman"/>
        </w:rPr>
        <w:t>D</w:t>
      </w:r>
      <w:r w:rsidRPr="003C6DFC">
        <w:rPr>
          <w:rFonts w:ascii="Times New Roman" w:hAnsi="Times New Roman" w:cs="Times New Roman"/>
        </w:rPr>
        <w:t>espite this</w:t>
      </w:r>
      <w:r w:rsidR="00030397">
        <w:rPr>
          <w:rFonts w:ascii="Times New Roman" w:hAnsi="Times New Roman" w:cs="Times New Roman"/>
        </w:rPr>
        <w:t>,</w:t>
      </w:r>
      <w:r w:rsidRPr="003C6DFC">
        <w:rPr>
          <w:rFonts w:ascii="Times New Roman" w:hAnsi="Times New Roman" w:cs="Times New Roman"/>
        </w:rPr>
        <w:t xml:space="preserve"> other states adopted similar programs through the policy diffusion process </w:t>
      </w:r>
      <w:r w:rsidRPr="003C6DFC">
        <w:rPr>
          <w:rFonts w:ascii="Times New Roman" w:hAnsi="Times New Roman" w:cs="Times New Roman"/>
          <w:noProof/>
        </w:rPr>
        <w:t>(Baum &amp; Schwartz, 1988; Dynarski, 2004)</w:t>
      </w:r>
      <w:r w:rsidRPr="003C6DFC">
        <w:rPr>
          <w:rFonts w:ascii="Times New Roman" w:hAnsi="Times New Roman" w:cs="Times New Roman"/>
        </w:rPr>
        <w:t>.</w:t>
      </w:r>
    </w:p>
    <w:p w14:paraId="192FDB23" w14:textId="6703176E" w:rsidR="002E752C" w:rsidRPr="003C6DFC" w:rsidRDefault="002E752C" w:rsidP="00CD45D6">
      <w:pPr>
        <w:spacing w:line="480" w:lineRule="auto"/>
        <w:rPr>
          <w:rFonts w:ascii="Times New Roman" w:hAnsi="Times New Roman" w:cs="Times New Roman"/>
          <w:b/>
          <w:bCs/>
          <w:i/>
          <w:iCs/>
        </w:rPr>
      </w:pPr>
      <w:r w:rsidRPr="003C6DFC">
        <w:rPr>
          <w:rFonts w:ascii="Times New Roman" w:hAnsi="Times New Roman" w:cs="Times New Roman"/>
        </w:rPr>
        <w:tab/>
        <w:t xml:space="preserve">Bruce and Caruthers </w:t>
      </w:r>
      <w:sdt>
        <w:sdtPr>
          <w:rPr>
            <w:rFonts w:ascii="Times New Roman" w:hAnsi="Times New Roman" w:cs="Times New Roman"/>
          </w:rPr>
          <w:id w:val="61125552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Bru14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(2014)</w:t>
          </w:r>
          <w:r w:rsidRPr="003C6DFC">
            <w:rPr>
              <w:rFonts w:ascii="Times New Roman" w:hAnsi="Times New Roman" w:cs="Times New Roman"/>
            </w:rPr>
            <w:fldChar w:fldCharType="end"/>
          </w:r>
        </w:sdtContent>
      </w:sdt>
      <w:r w:rsidRPr="003C6DFC">
        <w:rPr>
          <w:rFonts w:ascii="Times New Roman" w:hAnsi="Times New Roman" w:cs="Times New Roman"/>
        </w:rPr>
        <w:t xml:space="preserve"> later studied Tennessee’s iteration of the HOPE scholarship using a Regression Discontinuity. They found no evidence that Tennessee’s HOPE scholarship affected the college-going of those who barely qualified for the scholarship with those who barely did not. However, Bruce and Carruthers did find evidence that students who just qualified for the HOPE scholarship utilize that aid to attend four-year colleges at a higher rate than their non-eligible peers who enroll at higher rates in more affordable community colleges. This echoes previously established findings with the Georgia HOPE Scholarship, that merit aid largely did not generate new enrollments from increasing affordability but rather altered the enrollment patterns of students who were already likely to enroll in higher education </w:t>
      </w:r>
      <w:sdt>
        <w:sdtPr>
          <w:rPr>
            <w:rFonts w:ascii="Times New Roman" w:hAnsi="Times New Roman" w:cs="Times New Roman"/>
          </w:rPr>
          <w:id w:val="-1494182178"/>
          <w:citation/>
        </w:sdtPr>
        <w:sdtContent>
          <w:r w:rsidR="002249CE">
            <w:rPr>
              <w:rFonts w:ascii="Times New Roman" w:hAnsi="Times New Roman" w:cs="Times New Roman"/>
            </w:rPr>
            <w:fldChar w:fldCharType="begin"/>
          </w:r>
          <w:r w:rsidR="002249CE">
            <w:rPr>
              <w:rFonts w:ascii="Times New Roman" w:hAnsi="Times New Roman" w:cs="Times New Roman"/>
            </w:rPr>
            <w:instrText xml:space="preserve"> CITATION Cor061 \l 1033 </w:instrText>
          </w:r>
          <w:r w:rsidR="002249CE">
            <w:rPr>
              <w:rFonts w:ascii="Times New Roman" w:hAnsi="Times New Roman" w:cs="Times New Roman"/>
            </w:rPr>
            <w:fldChar w:fldCharType="separate"/>
          </w:r>
          <w:r w:rsidR="00A10468" w:rsidRPr="00A10468">
            <w:rPr>
              <w:rFonts w:ascii="Times New Roman" w:hAnsi="Times New Roman" w:cs="Times New Roman"/>
              <w:noProof/>
            </w:rPr>
            <w:t>(Cornwell, Mustard, &amp; Sridhar, 2006)</w:t>
          </w:r>
          <w:r w:rsidR="002249CE">
            <w:rPr>
              <w:rFonts w:ascii="Times New Roman" w:hAnsi="Times New Roman" w:cs="Times New Roman"/>
            </w:rPr>
            <w:fldChar w:fldCharType="end"/>
          </w:r>
        </w:sdtContent>
      </w:sdt>
      <w:r w:rsidRPr="003C6DFC">
        <w:rPr>
          <w:rFonts w:ascii="Times New Roman" w:hAnsi="Times New Roman" w:cs="Times New Roman"/>
        </w:rPr>
        <w:t>.</w:t>
      </w:r>
    </w:p>
    <w:p w14:paraId="5BF69233" w14:textId="77777777" w:rsidR="002E752C" w:rsidRPr="003C6DFC" w:rsidRDefault="002E752C" w:rsidP="00CD45D6">
      <w:pPr>
        <w:spacing w:line="480" w:lineRule="auto"/>
        <w:rPr>
          <w:rFonts w:ascii="Times New Roman" w:hAnsi="Times New Roman" w:cs="Times New Roman"/>
          <w:b/>
          <w:bCs/>
          <w:i/>
          <w:iCs/>
        </w:rPr>
      </w:pPr>
      <w:r w:rsidRPr="003C6DFC">
        <w:rPr>
          <w:rFonts w:ascii="Times New Roman" w:hAnsi="Times New Roman" w:cs="Times New Roman"/>
          <w:b/>
          <w:bCs/>
          <w:i/>
          <w:iCs/>
        </w:rPr>
        <w:t>Loan-Based Aid (Enrollment)</w:t>
      </w:r>
    </w:p>
    <w:p w14:paraId="1D53891E" w14:textId="1D509A1E"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Researchers investigating loans and college enrollment largely study the effect of student access to credit on college enrollment. Further, this access to credit does not need to be restricted to a traditional student loan in order to affect enrollment. For example, Lovenheim </w:t>
      </w:r>
      <w:sdt>
        <w:sdtPr>
          <w:rPr>
            <w:rFonts w:ascii="Times New Roman" w:hAnsi="Times New Roman" w:cs="Times New Roman"/>
          </w:rPr>
          <w:id w:val="262350559"/>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Lov11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(2011)</w:t>
          </w:r>
          <w:r w:rsidRPr="003C6DFC">
            <w:rPr>
              <w:rFonts w:ascii="Times New Roman" w:hAnsi="Times New Roman" w:cs="Times New Roman"/>
            </w:rPr>
            <w:fldChar w:fldCharType="end"/>
          </w:r>
        </w:sdtContent>
      </w:sdt>
      <w:r w:rsidRPr="003C6DFC">
        <w:rPr>
          <w:rFonts w:ascii="Times New Roman" w:hAnsi="Times New Roman" w:cs="Times New Roman"/>
        </w:rPr>
        <w:t xml:space="preserve"> found that students from families with access to liquid housing equity enrolled in college at a rate 0.7 percentage points higher for each $10,000 available in liquid equity on average than others without access to this credit. Lovenh</w:t>
      </w:r>
      <w:r w:rsidR="00D412CD">
        <w:rPr>
          <w:rFonts w:ascii="Times New Roman" w:hAnsi="Times New Roman" w:cs="Times New Roman"/>
        </w:rPr>
        <w:t>ei</w:t>
      </w:r>
      <w:r w:rsidRPr="003C6DFC">
        <w:rPr>
          <w:rFonts w:ascii="Times New Roman" w:hAnsi="Times New Roman" w:cs="Times New Roman"/>
        </w:rPr>
        <w:t xml:space="preserve">m also found enrollment increased by 5.7 percentage points per $10,000 increase among students from </w:t>
      </w:r>
      <w:r w:rsidRPr="003C6DFC">
        <w:rPr>
          <w:rFonts w:ascii="Times New Roman" w:hAnsi="Times New Roman" w:cs="Times New Roman"/>
        </w:rPr>
        <w:lastRenderedPageBreak/>
        <w:t xml:space="preserve">low- and medium-income families. This difference between the overall average and low- and middle-income effects reflects the reality that access to credit is an issue that most heavily influences the enrollment decisions of students who are not higher-income. </w:t>
      </w:r>
    </w:p>
    <w:p w14:paraId="28C00E87" w14:textId="75A7B56B" w:rsidR="002E752C" w:rsidRPr="003C6DFC" w:rsidRDefault="002E752C" w:rsidP="00CD45D6">
      <w:pPr>
        <w:spacing w:line="480" w:lineRule="auto"/>
        <w:rPr>
          <w:rFonts w:ascii="Times New Roman" w:hAnsi="Times New Roman" w:cs="Times New Roman"/>
        </w:rPr>
      </w:pPr>
      <w:r w:rsidRPr="003C6DFC">
        <w:rPr>
          <w:rFonts w:ascii="Times New Roman" w:hAnsi="Times New Roman" w:cs="Times New Roman"/>
        </w:rPr>
        <w:tab/>
        <w:t xml:space="preserve">Regarding student loans specifically, access to loan credit has been found to influence enrollment decisions. In 1992, a reauthorization of the Higher Education Act created the Stafford Unsubsidized Loan Program to expand loan access to students and families that were previously ineligible to federal student loans. Long </w:t>
      </w:r>
      <w:sdt>
        <w:sdtPr>
          <w:rPr>
            <w:rFonts w:ascii="Times New Roman" w:hAnsi="Times New Roman" w:cs="Times New Roman"/>
          </w:rPr>
          <w:id w:val="2086342873"/>
          <w:citation/>
        </w:sdtPr>
        <w:sdtContent>
          <w:r w:rsidR="001B569F" w:rsidRPr="003C6DFC">
            <w:rPr>
              <w:rFonts w:ascii="Times New Roman" w:hAnsi="Times New Roman" w:cs="Times New Roman"/>
            </w:rPr>
            <w:fldChar w:fldCharType="begin"/>
          </w:r>
          <w:r w:rsidR="001B569F" w:rsidRPr="003C6DFC">
            <w:rPr>
              <w:rFonts w:ascii="Times New Roman" w:hAnsi="Times New Roman" w:cs="Times New Roman"/>
            </w:rPr>
            <w:instrText xml:space="preserve">CITATION Lon07 \n  \t  \l 1033 </w:instrText>
          </w:r>
          <w:r w:rsidR="001B569F" w:rsidRPr="003C6DFC">
            <w:rPr>
              <w:rFonts w:ascii="Times New Roman" w:hAnsi="Times New Roman" w:cs="Times New Roman"/>
            </w:rPr>
            <w:fldChar w:fldCharType="separate"/>
          </w:r>
          <w:r w:rsidR="00A10468" w:rsidRPr="00A10468">
            <w:rPr>
              <w:rFonts w:ascii="Times New Roman" w:hAnsi="Times New Roman" w:cs="Times New Roman"/>
              <w:noProof/>
            </w:rPr>
            <w:t>(2007)</w:t>
          </w:r>
          <w:r w:rsidR="001B569F" w:rsidRPr="003C6DFC">
            <w:rPr>
              <w:rFonts w:ascii="Times New Roman" w:hAnsi="Times New Roman" w:cs="Times New Roman"/>
            </w:rPr>
            <w:fldChar w:fldCharType="end"/>
          </w:r>
        </w:sdtContent>
      </w:sdt>
      <w:r w:rsidR="001B569F" w:rsidRPr="003C6DFC">
        <w:rPr>
          <w:rFonts w:ascii="Times New Roman" w:hAnsi="Times New Roman" w:cs="Times New Roman"/>
        </w:rPr>
        <w:t xml:space="preserve"> </w:t>
      </w:r>
      <w:r w:rsidRPr="003C6DFC">
        <w:rPr>
          <w:rFonts w:ascii="Times New Roman" w:hAnsi="Times New Roman" w:cs="Times New Roman"/>
        </w:rPr>
        <w:t xml:space="preserve">utilized a difference-in-difference approach to examine the effect of this increase in credit access. Long utilized home values as a proxy for the degrees of which families were previously and currently eligible for federal aid before the policy change in 1992. Long </w:t>
      </w:r>
      <w:sdt>
        <w:sdtPr>
          <w:rPr>
            <w:rFonts w:ascii="Times New Roman" w:hAnsi="Times New Roman" w:cs="Times New Roman"/>
          </w:rPr>
          <w:id w:val="20190675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Lon07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(2007)</w:t>
          </w:r>
          <w:r w:rsidRPr="003C6DFC">
            <w:rPr>
              <w:rFonts w:ascii="Times New Roman" w:hAnsi="Times New Roman" w:cs="Times New Roman"/>
            </w:rPr>
            <w:fldChar w:fldCharType="end"/>
          </w:r>
        </w:sdtContent>
      </w:sdt>
      <w:r w:rsidRPr="003C6DFC">
        <w:rPr>
          <w:rFonts w:ascii="Times New Roman" w:hAnsi="Times New Roman" w:cs="Times New Roman"/>
        </w:rPr>
        <w:t xml:space="preserve"> found that per $10,000 in home value, enrollment rates increased 1.4 percentage points following increased loan access that was no longer constricted to lower-income students. Long’s </w:t>
      </w:r>
      <w:sdt>
        <w:sdtPr>
          <w:rPr>
            <w:rFonts w:ascii="Times New Roman" w:hAnsi="Times New Roman" w:cs="Times New Roman"/>
          </w:rPr>
          <w:id w:val="273525150"/>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Lon07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(2007)</w:t>
          </w:r>
          <w:r w:rsidRPr="003C6DFC">
            <w:rPr>
              <w:rFonts w:ascii="Times New Roman" w:hAnsi="Times New Roman" w:cs="Times New Roman"/>
            </w:rPr>
            <w:fldChar w:fldCharType="end"/>
          </w:r>
        </w:sdtContent>
      </w:sdt>
      <w:r w:rsidRPr="003C6DFC">
        <w:rPr>
          <w:rFonts w:ascii="Times New Roman" w:hAnsi="Times New Roman" w:cs="Times New Roman"/>
        </w:rPr>
        <w:t xml:space="preserve"> findings also align with earlier research on the same policy change where Dynarski </w:t>
      </w:r>
      <w:sdt>
        <w:sdtPr>
          <w:rPr>
            <w:rFonts w:ascii="Times New Roman" w:hAnsi="Times New Roman" w:cs="Times New Roman"/>
          </w:rPr>
          <w:id w:val="-1103183090"/>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Dyn03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(2003)</w:t>
          </w:r>
          <w:r w:rsidRPr="003C6DFC">
            <w:rPr>
              <w:rFonts w:ascii="Times New Roman" w:hAnsi="Times New Roman" w:cs="Times New Roman"/>
            </w:rPr>
            <w:fldChar w:fldCharType="end"/>
          </w:r>
        </w:sdtContent>
      </w:sdt>
      <w:r w:rsidRPr="003C6DFC">
        <w:rPr>
          <w:rFonts w:ascii="Times New Roman" w:hAnsi="Times New Roman" w:cs="Times New Roman"/>
        </w:rPr>
        <w:t xml:space="preserve"> found that this increase in loan access may have shifted higher-income students toward private, four-year colleges.  </w:t>
      </w:r>
    </w:p>
    <w:p w14:paraId="6AFA2795" w14:textId="7600B6C5"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This shift also appears to have encouraged additional full-time enrollment with a 2.24 percentage point increase per $10,000 in increased home value following the policy change. Wiederspan </w:t>
      </w:r>
      <w:sdt>
        <w:sdtPr>
          <w:rPr>
            <w:rFonts w:ascii="Times New Roman" w:hAnsi="Times New Roman" w:cs="Times New Roman"/>
          </w:rPr>
          <w:id w:val="194949734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Wie16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(2016)</w:t>
          </w:r>
          <w:r w:rsidRPr="003C6DFC">
            <w:rPr>
              <w:rFonts w:ascii="Times New Roman" w:hAnsi="Times New Roman" w:cs="Times New Roman"/>
            </w:rPr>
            <w:fldChar w:fldCharType="end"/>
          </w:r>
        </w:sdtContent>
      </w:sdt>
      <w:r w:rsidRPr="003C6DFC">
        <w:rPr>
          <w:rFonts w:ascii="Times New Roman" w:hAnsi="Times New Roman" w:cs="Times New Roman"/>
        </w:rPr>
        <w:t xml:space="preserve"> studied the decision of community colleges to opt out of the Stafford Loan program using administrative records from more than 50 community colleges in an instrumental variable design. In this study, the decision to participate in the Stafford Loan program was used as an instrument for predicting the probability of a student accepting a Stafford Loan. Wiederspan </w:t>
      </w:r>
      <w:sdt>
        <w:sdtPr>
          <w:rPr>
            <w:rFonts w:ascii="Times New Roman" w:hAnsi="Times New Roman" w:cs="Times New Roman"/>
          </w:rPr>
          <w:id w:val="-171226636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Wie16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(2016)</w:t>
          </w:r>
          <w:r w:rsidRPr="003C6DFC">
            <w:rPr>
              <w:rFonts w:ascii="Times New Roman" w:hAnsi="Times New Roman" w:cs="Times New Roman"/>
            </w:rPr>
            <w:fldChar w:fldCharType="end"/>
          </w:r>
        </w:sdtContent>
      </w:sdt>
      <w:r w:rsidRPr="003C6DFC">
        <w:rPr>
          <w:rFonts w:ascii="Times New Roman" w:hAnsi="Times New Roman" w:cs="Times New Roman"/>
        </w:rPr>
        <w:t xml:space="preserve"> found that Pell-eligible students at </w:t>
      </w:r>
      <w:r w:rsidRPr="003C6DFC">
        <w:rPr>
          <w:rFonts w:ascii="Times New Roman" w:hAnsi="Times New Roman" w:cs="Times New Roman"/>
        </w:rPr>
        <w:lastRenderedPageBreak/>
        <w:t xml:space="preserve">community colleges that offered Stafford Loans were 7.6 percentage points more likely to borrow than the same population of students at community colleges that did not have access to the Stafford Loan. These students with access to Stafford Loans earned 1.4 more credits than peers without access to Stafford Loans. </w:t>
      </w:r>
    </w:p>
    <w:p w14:paraId="19CD7777" w14:textId="717D1D63"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Overall, research shows that access to </w:t>
      </w:r>
      <w:r w:rsidR="00BB466B">
        <w:rPr>
          <w:rFonts w:ascii="Times New Roman" w:hAnsi="Times New Roman" w:cs="Times New Roman"/>
        </w:rPr>
        <w:t>student aid funding</w:t>
      </w:r>
      <w:r w:rsidRPr="003C6DFC">
        <w:rPr>
          <w:rFonts w:ascii="Times New Roman" w:hAnsi="Times New Roman" w:cs="Times New Roman"/>
        </w:rPr>
        <w:t xml:space="preserve"> can positively </w:t>
      </w:r>
      <w:r w:rsidR="00F04C99">
        <w:rPr>
          <w:rFonts w:ascii="Times New Roman" w:hAnsi="Times New Roman" w:cs="Times New Roman"/>
        </w:rPr>
        <w:t>affect</w:t>
      </w:r>
      <w:r w:rsidRPr="003C6DFC">
        <w:rPr>
          <w:rFonts w:ascii="Times New Roman" w:hAnsi="Times New Roman" w:cs="Times New Roman"/>
        </w:rPr>
        <w:t xml:space="preserve"> enrollment regarding the effect of student loans on enrollment intensity and credits earned. However, it is also important to highlight two examples where researchers found no effect on the decision to enroll when access to loans were considered. Marx and Turner </w:t>
      </w:r>
      <w:sdt>
        <w:sdtPr>
          <w:rPr>
            <w:rFonts w:ascii="Times New Roman" w:hAnsi="Times New Roman" w:cs="Times New Roman"/>
          </w:rPr>
          <w:id w:val="-1180506619"/>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Mar19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studied the effect of including student loans in a student’s award letter for a large US community college. While Marx and Turner found that increased access to loan awards were linked to a 30 percent increase in student GPA and number of credits earned, there was no effect on enrollment. After randomly assigning students between groups that received a loan offer and a control group with no loan offer, Marx and Turner found that the inclusion of the loan offer did not affect the enrollment rates of new or returning students. </w:t>
      </w:r>
    </w:p>
    <w:p w14:paraId="3DBE98D6" w14:textId="3EF78782" w:rsidR="002E752C" w:rsidRPr="00170516"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Additionally, Denning and Turner </w:t>
      </w:r>
      <w:sdt>
        <w:sdtPr>
          <w:rPr>
            <w:rFonts w:ascii="Times New Roman" w:hAnsi="Times New Roman" w:cs="Times New Roman"/>
          </w:rPr>
          <w:id w:val="430092218"/>
          <w:citation/>
        </w:sdtPr>
        <w:sdtContent>
          <w:r w:rsidR="00246A11">
            <w:rPr>
              <w:rFonts w:ascii="Times New Roman" w:hAnsi="Times New Roman" w:cs="Times New Roman"/>
            </w:rPr>
            <w:fldChar w:fldCharType="begin"/>
          </w:r>
          <w:r w:rsidR="00246A11">
            <w:rPr>
              <w:rFonts w:ascii="Times New Roman" w:hAnsi="Times New Roman" w:cs="Times New Roman"/>
            </w:rPr>
            <w:instrText xml:space="preserve">CITATION Den191 \n  \t  \l 1033 </w:instrText>
          </w:r>
          <w:r w:rsidR="00246A11">
            <w:rPr>
              <w:rFonts w:ascii="Times New Roman" w:hAnsi="Times New Roman" w:cs="Times New Roman"/>
            </w:rPr>
            <w:fldChar w:fldCharType="separate"/>
          </w:r>
          <w:r w:rsidR="00A10468" w:rsidRPr="00A10468">
            <w:rPr>
              <w:rFonts w:ascii="Times New Roman" w:hAnsi="Times New Roman" w:cs="Times New Roman"/>
              <w:noProof/>
            </w:rPr>
            <w:t>(2019)</w:t>
          </w:r>
          <w:r w:rsidR="00246A11">
            <w:rPr>
              <w:rFonts w:ascii="Times New Roman" w:hAnsi="Times New Roman" w:cs="Times New Roman"/>
            </w:rPr>
            <w:fldChar w:fldCharType="end"/>
          </w:r>
        </w:sdtContent>
      </w:sdt>
      <w:r w:rsidRPr="003C6DFC">
        <w:rPr>
          <w:rFonts w:ascii="Times New Roman" w:hAnsi="Times New Roman" w:cs="Times New Roman"/>
        </w:rPr>
        <w:t xml:space="preserve"> utilized difference-in-difference design to examine the effect of the Graduate PLUS Student Loan program on access to high-earnings graduate programs in Texas and found that access to additional loan awards did not affect the enrollment of students overall or in underrepresented groups to academic programs associated with high-earnings. These studies which examine the effect of loan program expansion on generating new enrollments are important to note here as they suggest that other studies here inadvertently found changes in existing patterns of </w:t>
      </w:r>
      <w:r w:rsidRPr="003C6DFC">
        <w:rPr>
          <w:rFonts w:ascii="Times New Roman" w:hAnsi="Times New Roman" w:cs="Times New Roman"/>
        </w:rPr>
        <w:lastRenderedPageBreak/>
        <w:t>enrollment rather than the generation of additional, new student enrollment due to loan access.</w:t>
      </w:r>
    </w:p>
    <w:p w14:paraId="53FA0EE6" w14:textId="56D02C64" w:rsidR="002E752C" w:rsidRPr="003C6DFC" w:rsidRDefault="002E752C" w:rsidP="00CD45D6">
      <w:pPr>
        <w:pStyle w:val="Heading3"/>
        <w:spacing w:before="0" w:after="0"/>
      </w:pPr>
      <w:bookmarkStart w:id="28" w:name="_Toc183282262"/>
      <w:r w:rsidRPr="003C6DFC">
        <w:t>Financial Aid</w:t>
      </w:r>
      <w:r w:rsidR="0059161D">
        <w:t xml:space="preserve">, Graduation, </w:t>
      </w:r>
      <w:r w:rsidRPr="003C6DFC">
        <w:t>and Other Outcomes</w:t>
      </w:r>
      <w:bookmarkEnd w:id="28"/>
    </w:p>
    <w:p w14:paraId="2764DD8C" w14:textId="7B3C6F1E"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While the effects of financial aid on enrollment are noteworthy, its effects on post enrollment outcomes such as graduation rates and credit attainment are also important as prerequisites to access the benefits associated with postsecondary credential/degree attainment. More recently, these post-enrollment outcomes have been grouped together under the label of student success with institutions increasingly tracking the metrics related to these outcomes such as on-time graduation, retention to degree attainment, and credit accumulation. </w:t>
      </w:r>
      <w:r w:rsidR="003B7CCF" w:rsidRPr="003C6DFC">
        <w:rPr>
          <w:rFonts w:ascii="Times New Roman" w:hAnsi="Times New Roman" w:cs="Times New Roman"/>
        </w:rPr>
        <w:t>Like</w:t>
      </w:r>
      <w:r w:rsidRPr="003C6DFC">
        <w:rPr>
          <w:rFonts w:ascii="Times New Roman" w:hAnsi="Times New Roman" w:cs="Times New Roman"/>
        </w:rPr>
        <w:t xml:space="preserve"> enrollment, researchers studying postsecondary education have conducted numerous rigorous, quasi-experimental studies to examine not only for the relationship between aid and these outcomes but also for the estimated effect of dollars spent on graduation.  </w:t>
      </w:r>
    </w:p>
    <w:p w14:paraId="63941C80" w14:textId="23772955" w:rsidR="002E752C" w:rsidRPr="003C6DFC" w:rsidRDefault="002E752C" w:rsidP="00CD45D6">
      <w:pPr>
        <w:spacing w:line="480" w:lineRule="auto"/>
        <w:rPr>
          <w:rFonts w:ascii="Times New Roman" w:hAnsi="Times New Roman" w:cs="Times New Roman"/>
          <w:b/>
          <w:bCs/>
          <w:i/>
          <w:iCs/>
        </w:rPr>
      </w:pPr>
      <w:r w:rsidRPr="003C6DFC">
        <w:rPr>
          <w:rFonts w:ascii="Times New Roman" w:hAnsi="Times New Roman" w:cs="Times New Roman"/>
          <w:b/>
          <w:bCs/>
          <w:i/>
          <w:iCs/>
        </w:rPr>
        <w:t>Grant-Based Aid (</w:t>
      </w:r>
      <w:r w:rsidR="00FB07BA">
        <w:rPr>
          <w:rFonts w:ascii="Times New Roman" w:hAnsi="Times New Roman" w:cs="Times New Roman"/>
          <w:b/>
          <w:bCs/>
          <w:i/>
          <w:iCs/>
        </w:rPr>
        <w:t>Graduation and</w:t>
      </w:r>
      <w:r w:rsidR="00FB07BA" w:rsidRPr="003C6DFC">
        <w:rPr>
          <w:rFonts w:ascii="Times New Roman" w:hAnsi="Times New Roman" w:cs="Times New Roman"/>
          <w:b/>
          <w:bCs/>
          <w:i/>
          <w:iCs/>
        </w:rPr>
        <w:t xml:space="preserve"> </w:t>
      </w:r>
      <w:r w:rsidRPr="003C6DFC">
        <w:rPr>
          <w:rFonts w:ascii="Times New Roman" w:hAnsi="Times New Roman" w:cs="Times New Roman"/>
          <w:b/>
          <w:bCs/>
          <w:i/>
          <w:iCs/>
        </w:rPr>
        <w:t>Other Outcomes)</w:t>
      </w:r>
    </w:p>
    <w:p w14:paraId="441646C5" w14:textId="6179D34C"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Focusing on grant-based aid, the positive effects of this type of student aid are well documented. </w:t>
      </w:r>
      <w:r w:rsidR="00D412CD" w:rsidRPr="003C6DFC">
        <w:rPr>
          <w:rFonts w:ascii="Times New Roman" w:hAnsi="Times New Roman" w:cs="Times New Roman"/>
        </w:rPr>
        <w:t>Nguyen</w:t>
      </w:r>
      <w:r w:rsidRPr="003C6DFC">
        <w:rPr>
          <w:rFonts w:ascii="Times New Roman" w:hAnsi="Times New Roman" w:cs="Times New Roman"/>
        </w:rPr>
        <w:t xml:space="preserve"> et al. </w:t>
      </w:r>
      <w:sdt>
        <w:sdtPr>
          <w:rPr>
            <w:rFonts w:ascii="Times New Roman" w:hAnsi="Times New Roman" w:cs="Times New Roman"/>
          </w:rPr>
          <w:id w:val="165764729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Ngu23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(2023)</w:t>
          </w:r>
          <w:r w:rsidRPr="003C6DFC">
            <w:rPr>
              <w:rFonts w:ascii="Times New Roman" w:hAnsi="Times New Roman" w:cs="Times New Roman"/>
            </w:rPr>
            <w:fldChar w:fldCharType="end"/>
          </w:r>
        </w:sdtContent>
      </w:sdt>
      <w:r w:rsidRPr="003C6DFC">
        <w:rPr>
          <w:rFonts w:ascii="Times New Roman" w:hAnsi="Times New Roman" w:cs="Times New Roman"/>
        </w:rPr>
        <w:t xml:space="preserve"> conducted a meta-analysis of 43 studies using causal inference methods to identify an increase between 1.5 and 2 percentage points in likelihood for student persistence to degree completion per $1,000 awarded under an assumed linear relationship. This relationship represents a viable policy lever to increase degree completion as Nguyen et al.’s model estimated that spending an additional $50,000 - $67,000 in aid spent can produce an additional graduate. As costs for higher </w:t>
      </w:r>
      <w:r w:rsidRPr="003C6DFC">
        <w:rPr>
          <w:rFonts w:ascii="Times New Roman" w:hAnsi="Times New Roman" w:cs="Times New Roman"/>
        </w:rPr>
        <w:lastRenderedPageBreak/>
        <w:t>education continue to grow, increases in grant-based aid represent a potential strategy to maintain socio-economic diversity and by extension racial diversity in high</w:t>
      </w:r>
      <w:r w:rsidR="00DA35B3">
        <w:rPr>
          <w:rFonts w:ascii="Times New Roman" w:hAnsi="Times New Roman" w:cs="Times New Roman"/>
        </w:rPr>
        <w:t>er</w:t>
      </w:r>
      <w:r w:rsidRPr="003C6DFC">
        <w:rPr>
          <w:rFonts w:ascii="Times New Roman" w:hAnsi="Times New Roman" w:cs="Times New Roman"/>
        </w:rPr>
        <w:t xml:space="preserve"> education. </w:t>
      </w:r>
    </w:p>
    <w:p w14:paraId="25A5DF77" w14:textId="3F313696"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While the return on investment in increased degree production may appear low at a 2 percentage point increase</w:t>
      </w:r>
      <w:r w:rsidR="005C6C3D">
        <w:rPr>
          <w:rFonts w:ascii="Times New Roman" w:hAnsi="Times New Roman" w:cs="Times New Roman"/>
        </w:rPr>
        <w:t>, t</w:t>
      </w:r>
      <w:r w:rsidRPr="003C6DFC">
        <w:rPr>
          <w:rFonts w:ascii="Times New Roman" w:hAnsi="Times New Roman" w:cs="Times New Roman"/>
        </w:rPr>
        <w:t xml:space="preserve">he government’s return on investment for the use of tax dollars on grant aid money has been documented to produce $85,000 in post-graduation savings per graduate which is greater than the expenditures on higher education, roughly $74,500 per graduate </w:t>
      </w:r>
      <w:sdt>
        <w:sdtPr>
          <w:rPr>
            <w:rFonts w:ascii="Times New Roman" w:hAnsi="Times New Roman" w:cs="Times New Roman"/>
          </w:rPr>
          <w:id w:val="142523095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Tro10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(Trostel, 2010)</w:t>
          </w:r>
          <w:r w:rsidRPr="003C6DFC">
            <w:rPr>
              <w:rFonts w:ascii="Times New Roman" w:hAnsi="Times New Roman" w:cs="Times New Roman"/>
            </w:rPr>
            <w:fldChar w:fldCharType="end"/>
          </w:r>
        </w:sdtContent>
      </w:sdt>
      <w:r w:rsidRPr="003C6DFC">
        <w:rPr>
          <w:rFonts w:ascii="Times New Roman" w:hAnsi="Times New Roman" w:cs="Times New Roman"/>
        </w:rPr>
        <w:t xml:space="preserve">. Further, Trostel </w:t>
      </w:r>
      <w:sdt>
        <w:sdtPr>
          <w:rPr>
            <w:rFonts w:ascii="Times New Roman" w:hAnsi="Times New Roman" w:cs="Times New Roman"/>
          </w:rPr>
          <w:id w:val="-161119042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Tro10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(2010)</w:t>
          </w:r>
          <w:r w:rsidRPr="003C6DFC">
            <w:rPr>
              <w:rFonts w:ascii="Times New Roman" w:hAnsi="Times New Roman" w:cs="Times New Roman"/>
            </w:rPr>
            <w:fldChar w:fldCharType="end"/>
          </w:r>
        </w:sdtContent>
      </w:sdt>
      <w:r w:rsidRPr="003C6DFC">
        <w:rPr>
          <w:rFonts w:ascii="Times New Roman" w:hAnsi="Times New Roman" w:cs="Times New Roman"/>
        </w:rPr>
        <w:t xml:space="preserve"> estimated that a weighted average of graduates by degree type generated an extra $470,000 in income, payroll, property, and sales-tax revenue over their lifetime as compared to non-graduates. In summary, need-based grant aid represents an investment in students that returns a consistent albeit modest return in degree production, but produces strong financial returns per degree produced in saved spending and future potential tax revenue. </w:t>
      </w:r>
    </w:p>
    <w:p w14:paraId="147CE2C5" w14:textId="3019F889" w:rsidR="00276AF2"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Regarding the Pell Grant specifically, researchers have repeatedly identified positive effects for receiving this aid on outcomes leading to graduation. Bettinger </w:t>
      </w:r>
      <w:sdt>
        <w:sdtPr>
          <w:rPr>
            <w:rFonts w:ascii="Times New Roman" w:hAnsi="Times New Roman" w:cs="Times New Roman"/>
          </w:rPr>
          <w:id w:val="-74734285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Bet04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(2004)</w:t>
          </w:r>
          <w:r w:rsidRPr="003C6DFC">
            <w:rPr>
              <w:rFonts w:ascii="Times New Roman" w:hAnsi="Times New Roman" w:cs="Times New Roman"/>
            </w:rPr>
            <w:fldChar w:fldCharType="end"/>
          </w:r>
        </w:sdtContent>
      </w:sdt>
      <w:r w:rsidRPr="003C6DFC">
        <w:rPr>
          <w:rFonts w:ascii="Times New Roman" w:hAnsi="Times New Roman" w:cs="Times New Roman"/>
        </w:rPr>
        <w:t xml:space="preserve"> studied student persistence in returning Pell Grant recipients using discontinuities in awards. Bettinger found that a $1,000 increase in Pell grants is associated with a </w:t>
      </w:r>
      <w:r w:rsidR="00623135">
        <w:rPr>
          <w:rFonts w:ascii="Times New Roman" w:hAnsi="Times New Roman" w:cs="Times New Roman"/>
        </w:rPr>
        <w:t>3-percentage</w:t>
      </w:r>
      <w:r w:rsidRPr="003C6DFC">
        <w:rPr>
          <w:rFonts w:ascii="Times New Roman" w:hAnsi="Times New Roman" w:cs="Times New Roman"/>
        </w:rPr>
        <w:t xml:space="preserve"> point reduction in the likelihood a student would stop-out and </w:t>
      </w:r>
      <w:r w:rsidR="00EB09F3">
        <w:rPr>
          <w:rFonts w:ascii="Times New Roman" w:hAnsi="Times New Roman" w:cs="Times New Roman"/>
        </w:rPr>
        <w:t>4</w:t>
      </w:r>
      <w:r w:rsidR="00792C82">
        <w:rPr>
          <w:rFonts w:ascii="Times New Roman" w:hAnsi="Times New Roman" w:cs="Times New Roman"/>
        </w:rPr>
        <w:t xml:space="preserve"> </w:t>
      </w:r>
      <w:r w:rsidR="003507A3">
        <w:rPr>
          <w:rFonts w:ascii="Times New Roman" w:hAnsi="Times New Roman" w:cs="Times New Roman"/>
        </w:rPr>
        <w:t>percentage</w:t>
      </w:r>
      <w:r w:rsidRPr="003C6DFC">
        <w:rPr>
          <w:rFonts w:ascii="Times New Roman" w:hAnsi="Times New Roman" w:cs="Times New Roman"/>
        </w:rPr>
        <w:t xml:space="preserve"> point reduction in the likelihood a student would formally withdraw from the university. </w:t>
      </w:r>
    </w:p>
    <w:p w14:paraId="677AA149" w14:textId="12528967"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Later, both Park and Scott-Clayton </w:t>
      </w:r>
      <w:sdt>
        <w:sdtPr>
          <w:rPr>
            <w:rFonts w:ascii="Times New Roman" w:hAnsi="Times New Roman" w:cs="Times New Roman"/>
          </w:rPr>
          <w:id w:val="-21265461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Par181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(2018)</w:t>
          </w:r>
          <w:r w:rsidRPr="003C6DFC">
            <w:rPr>
              <w:rFonts w:ascii="Times New Roman" w:hAnsi="Times New Roman" w:cs="Times New Roman"/>
            </w:rPr>
            <w:fldChar w:fldCharType="end"/>
          </w:r>
        </w:sdtContent>
      </w:sdt>
      <w:r w:rsidRPr="003C6DFC">
        <w:rPr>
          <w:rFonts w:ascii="Times New Roman" w:hAnsi="Times New Roman" w:cs="Times New Roman"/>
        </w:rPr>
        <w:t xml:space="preserve"> and Denning et al. </w:t>
      </w:r>
      <w:sdt>
        <w:sdtPr>
          <w:rPr>
            <w:rFonts w:ascii="Times New Roman" w:hAnsi="Times New Roman" w:cs="Times New Roman"/>
          </w:rPr>
          <w:id w:val="-1761588762"/>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Den19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utilized regression discontinuity based on the cut-off for Pell Grant eligibility. These studies both found that students receiving the grant compared to similar students that do not receive the scholarship decrease the hours worked each week while increasing their credit hour </w:t>
      </w:r>
      <w:r w:rsidRPr="003C6DFC">
        <w:rPr>
          <w:rFonts w:ascii="Times New Roman" w:hAnsi="Times New Roman" w:cs="Times New Roman"/>
        </w:rPr>
        <w:lastRenderedPageBreak/>
        <w:t xml:space="preserve">enrollment for that semester. In particular, Denning et al. </w:t>
      </w:r>
      <w:sdt>
        <w:sdtPr>
          <w:rPr>
            <w:rFonts w:ascii="Times New Roman" w:hAnsi="Times New Roman" w:cs="Times New Roman"/>
          </w:rPr>
          <w:id w:val="106028848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Den19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found within a sample of students from Texas public colleges that Pell </w:t>
      </w:r>
      <w:r w:rsidR="00452F52">
        <w:rPr>
          <w:rFonts w:ascii="Times New Roman" w:hAnsi="Times New Roman" w:cs="Times New Roman"/>
        </w:rPr>
        <w:t>g</w:t>
      </w:r>
      <w:r w:rsidRPr="003C6DFC">
        <w:rPr>
          <w:rFonts w:ascii="Times New Roman" w:hAnsi="Times New Roman" w:cs="Times New Roman"/>
        </w:rPr>
        <w:t xml:space="preserve">rant eligibility resulted in a 1.5 percentage point increase in on-time graduation rates and 3.3 percentage point increase for graduation rates within 150% of the estimated length of the program. </w:t>
      </w:r>
    </w:p>
    <w:p w14:paraId="668A4B2E" w14:textId="3BE1280B"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This study by Denning et al. </w:t>
      </w:r>
      <w:sdt>
        <w:sdtPr>
          <w:rPr>
            <w:rFonts w:ascii="Times New Roman" w:hAnsi="Times New Roman" w:cs="Times New Roman"/>
          </w:rPr>
          <w:id w:val="131691645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Den19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also shared similarities to another study by Eng and Matsudaira </w:t>
      </w:r>
      <w:sdt>
        <w:sdtPr>
          <w:rPr>
            <w:rFonts w:ascii="Times New Roman" w:hAnsi="Times New Roman" w:cs="Times New Roman"/>
          </w:rPr>
          <w:id w:val="-45556428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Eng21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which also utilized the same Pell </w:t>
      </w:r>
      <w:r w:rsidR="00452F52">
        <w:rPr>
          <w:rFonts w:ascii="Times New Roman" w:hAnsi="Times New Roman" w:cs="Times New Roman"/>
        </w:rPr>
        <w:t>g</w:t>
      </w:r>
      <w:r w:rsidRPr="003C6DFC">
        <w:rPr>
          <w:rFonts w:ascii="Times New Roman" w:hAnsi="Times New Roman" w:cs="Times New Roman"/>
        </w:rPr>
        <w:t xml:space="preserve">rant income cut-offs to establish similar effect sizes. Research teams found increases in both degree attainment and post-college earnings. In a sample limited to students enrolled in Texas public schools, Denning et al. </w:t>
      </w:r>
      <w:sdt>
        <w:sdtPr>
          <w:rPr>
            <w:rFonts w:ascii="Times New Roman" w:hAnsi="Times New Roman" w:cs="Times New Roman"/>
          </w:rPr>
          <w:id w:val="-386181630"/>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Den19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found that for each $1,000 in grant aid the probability of graduating increased 5 percentage points (a</w:t>
      </w:r>
      <w:r w:rsidR="00792C82">
        <w:rPr>
          <w:rFonts w:ascii="Times New Roman" w:hAnsi="Times New Roman" w:cs="Times New Roman"/>
        </w:rPr>
        <w:t xml:space="preserve"> </w:t>
      </w:r>
      <w:r w:rsidRPr="003C6DFC">
        <w:rPr>
          <w:rFonts w:ascii="Times New Roman" w:hAnsi="Times New Roman" w:cs="Times New Roman"/>
        </w:rPr>
        <w:t xml:space="preserve">15% increase) and that post-graduation earnings increased $1,000 in later-year earnings (a 4.8% increase). In a nationwide sample, Eng and </w:t>
      </w:r>
      <w:r w:rsidR="004A401E" w:rsidRPr="003C6DFC">
        <w:rPr>
          <w:rFonts w:ascii="Times New Roman" w:hAnsi="Times New Roman" w:cs="Times New Roman"/>
        </w:rPr>
        <w:t>Matsudaira</w:t>
      </w:r>
      <w:r w:rsidRPr="003C6DFC">
        <w:rPr>
          <w:rFonts w:ascii="Times New Roman" w:hAnsi="Times New Roman" w:cs="Times New Roman"/>
        </w:rPr>
        <w:t xml:space="preserve"> </w:t>
      </w:r>
      <w:sdt>
        <w:sdtPr>
          <w:rPr>
            <w:rFonts w:ascii="Times New Roman" w:hAnsi="Times New Roman" w:cs="Times New Roman"/>
          </w:rPr>
          <w:id w:val="-71912095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Eng21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found each $1,000 increase in grant aid resulted in a 1.5 percentage point increase in degree attainment (0.5% increase) and a decrease in earnings of 12.3 percent. However, Eng and </w:t>
      </w:r>
      <w:r w:rsidR="004A401E" w:rsidRPr="003C6DFC">
        <w:rPr>
          <w:rFonts w:ascii="Times New Roman" w:hAnsi="Times New Roman" w:cs="Times New Roman"/>
        </w:rPr>
        <w:t>Matsudaira</w:t>
      </w:r>
      <w:r w:rsidRPr="003C6DFC">
        <w:rPr>
          <w:rFonts w:ascii="Times New Roman" w:hAnsi="Times New Roman" w:cs="Times New Roman"/>
        </w:rPr>
        <w:t xml:space="preserve"> do note that state-to-state variation in the award systems of their nationwide sample as compared to Denning et al.’s </w:t>
      </w:r>
      <w:sdt>
        <w:sdtPr>
          <w:rPr>
            <w:rFonts w:ascii="Times New Roman" w:hAnsi="Times New Roman" w:cs="Times New Roman"/>
          </w:rPr>
          <w:id w:val="-595481299"/>
          <w:citation/>
        </w:sdtPr>
        <w:sdtContent>
          <w:r w:rsidR="00246A11">
            <w:rPr>
              <w:rFonts w:ascii="Times New Roman" w:hAnsi="Times New Roman" w:cs="Times New Roman"/>
            </w:rPr>
            <w:fldChar w:fldCharType="begin"/>
          </w:r>
          <w:r w:rsidR="00246A11">
            <w:rPr>
              <w:rFonts w:ascii="Times New Roman" w:hAnsi="Times New Roman" w:cs="Times New Roman"/>
            </w:rPr>
            <w:instrText xml:space="preserve">CITATION Den19 \n  \t  \l 1033 </w:instrText>
          </w:r>
          <w:r w:rsidR="00246A11">
            <w:rPr>
              <w:rFonts w:ascii="Times New Roman" w:hAnsi="Times New Roman" w:cs="Times New Roman"/>
            </w:rPr>
            <w:fldChar w:fldCharType="separate"/>
          </w:r>
          <w:r w:rsidR="00A10468" w:rsidRPr="00A10468">
            <w:rPr>
              <w:rFonts w:ascii="Times New Roman" w:hAnsi="Times New Roman" w:cs="Times New Roman"/>
              <w:noProof/>
            </w:rPr>
            <w:t>(2019)</w:t>
          </w:r>
          <w:r w:rsidR="00246A11">
            <w:rPr>
              <w:rFonts w:ascii="Times New Roman" w:hAnsi="Times New Roman" w:cs="Times New Roman"/>
            </w:rPr>
            <w:fldChar w:fldCharType="end"/>
          </w:r>
        </w:sdtContent>
      </w:sdt>
      <w:r w:rsidRPr="003C6DFC">
        <w:rPr>
          <w:rFonts w:ascii="Times New Roman" w:hAnsi="Times New Roman" w:cs="Times New Roman"/>
        </w:rPr>
        <w:t xml:space="preserve"> Texas-only sample may contribute to these differences. </w:t>
      </w:r>
    </w:p>
    <w:p w14:paraId="6272FF7F" w14:textId="0635F91B"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Also, of interest regarding Eng and </w:t>
      </w:r>
      <w:r w:rsidR="004A401E" w:rsidRPr="003C6DFC">
        <w:rPr>
          <w:rFonts w:ascii="Times New Roman" w:hAnsi="Times New Roman" w:cs="Times New Roman"/>
        </w:rPr>
        <w:t>Matsuba</w:t>
      </w:r>
      <w:r w:rsidR="004A401E">
        <w:rPr>
          <w:rFonts w:ascii="Times New Roman" w:hAnsi="Times New Roman" w:cs="Times New Roman"/>
        </w:rPr>
        <w:t>ir</w:t>
      </w:r>
      <w:r w:rsidR="004A401E" w:rsidRPr="003C6DFC">
        <w:rPr>
          <w:rFonts w:ascii="Times New Roman" w:hAnsi="Times New Roman" w:cs="Times New Roman"/>
        </w:rPr>
        <w:t>a’s</w:t>
      </w:r>
      <w:r w:rsidRPr="003C6DFC">
        <w:rPr>
          <w:rFonts w:ascii="Times New Roman" w:hAnsi="Times New Roman" w:cs="Times New Roman"/>
        </w:rPr>
        <w:t xml:space="preserve"> </w:t>
      </w:r>
      <w:sdt>
        <w:sdtPr>
          <w:rPr>
            <w:rFonts w:ascii="Times New Roman" w:hAnsi="Times New Roman" w:cs="Times New Roman"/>
          </w:rPr>
          <w:id w:val="908039652"/>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Eng21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nationwide study is the use of the 2002 through 2010 entry cohorts of postsecondary first time in college students to examine post-graduation income while not noting that the earliest graduates of this sample graduated in 2006 shortly before an economic recession began in 2007. While this recession was declared over in 2009, its impacts on unemployment and wages affected the labor market for years to come. It would be 7 years later, after many students within </w:t>
      </w:r>
      <w:r w:rsidRPr="003C6DFC">
        <w:rPr>
          <w:rFonts w:ascii="Times New Roman" w:hAnsi="Times New Roman" w:cs="Times New Roman"/>
        </w:rPr>
        <w:lastRenderedPageBreak/>
        <w:t xml:space="preserve">Eng and </w:t>
      </w:r>
      <w:r w:rsidR="00544388" w:rsidRPr="003C6DFC">
        <w:rPr>
          <w:rFonts w:ascii="Times New Roman" w:hAnsi="Times New Roman" w:cs="Times New Roman"/>
        </w:rPr>
        <w:t>Matsubaira’s</w:t>
      </w:r>
      <w:r w:rsidRPr="003C6DFC">
        <w:rPr>
          <w:rFonts w:ascii="Times New Roman" w:hAnsi="Times New Roman" w:cs="Times New Roman"/>
        </w:rPr>
        <w:t xml:space="preserve"> sample had entered the workforce before total employment would reach pre-recession levels in the US economy </w:t>
      </w:r>
      <w:sdt>
        <w:sdtPr>
          <w:rPr>
            <w:rFonts w:ascii="Times New Roman" w:hAnsi="Times New Roman" w:cs="Times New Roman"/>
          </w:rPr>
          <w:id w:val="41659788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USB23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(US Bureau of Labor Statistics, 2023)</w:t>
          </w:r>
          <w:r w:rsidRPr="003C6DFC">
            <w:rPr>
              <w:rFonts w:ascii="Times New Roman" w:hAnsi="Times New Roman" w:cs="Times New Roman"/>
            </w:rPr>
            <w:fldChar w:fldCharType="end"/>
          </w:r>
        </w:sdtContent>
      </w:sdt>
      <w:r w:rsidRPr="003C6DFC">
        <w:rPr>
          <w:rFonts w:ascii="Times New Roman" w:hAnsi="Times New Roman" w:cs="Times New Roman"/>
        </w:rPr>
        <w:t xml:space="preserve">. By comparison, Denning et al.’s </w:t>
      </w:r>
      <w:sdt>
        <w:sdtPr>
          <w:rPr>
            <w:rFonts w:ascii="Times New Roman" w:hAnsi="Times New Roman" w:cs="Times New Roman"/>
          </w:rPr>
          <w:id w:val="-189633822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Den19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sample utilized students from the 2008 through 2011 entry cohorts which mostly graduated into a recovering labor market. However, it was not until 2017 that enough new workers were able to re-enter the economy to account for retiring and laid off-workers to return the nation to pre-recession labor market-conditions </w:t>
      </w:r>
      <w:r w:rsidR="00171DBD" w:rsidRPr="00A10468">
        <w:rPr>
          <w:rFonts w:ascii="Times New Roman" w:hAnsi="Times New Roman" w:cs="Times New Roman"/>
          <w:noProof/>
        </w:rPr>
        <w:t>(</w:t>
      </w:r>
      <w:r w:rsidR="00171DBD">
        <w:rPr>
          <w:rFonts w:ascii="Times New Roman" w:hAnsi="Times New Roman" w:cs="Times New Roman"/>
          <w:noProof/>
        </w:rPr>
        <w:t xml:space="preserve">Whitmore </w:t>
      </w:r>
      <w:r w:rsidR="003504A7" w:rsidRPr="003504A7">
        <w:rPr>
          <w:rFonts w:ascii="Times New Roman" w:hAnsi="Times New Roman" w:cs="Times New Roman"/>
          <w:noProof/>
        </w:rPr>
        <w:t xml:space="preserve">Schanzenbach </w:t>
      </w:r>
      <w:r w:rsidR="00171DBD">
        <w:rPr>
          <w:rFonts w:ascii="Times New Roman" w:hAnsi="Times New Roman" w:cs="Times New Roman"/>
          <w:noProof/>
        </w:rPr>
        <w:t>et al.</w:t>
      </w:r>
      <w:r w:rsidR="00171DBD" w:rsidRPr="00A10468">
        <w:rPr>
          <w:rFonts w:ascii="Times New Roman" w:hAnsi="Times New Roman" w:cs="Times New Roman"/>
          <w:noProof/>
        </w:rPr>
        <w:t>, 2017)</w:t>
      </w:r>
      <w:r w:rsidRPr="003C6DFC">
        <w:rPr>
          <w:rFonts w:ascii="Times New Roman" w:hAnsi="Times New Roman" w:cs="Times New Roman"/>
        </w:rPr>
        <w:t xml:space="preserve">. This is an important and surprising caveat that goes unaddressed by Eng and </w:t>
      </w:r>
      <w:r w:rsidR="00544388" w:rsidRPr="003C6DFC">
        <w:rPr>
          <w:rFonts w:ascii="Times New Roman" w:hAnsi="Times New Roman" w:cs="Times New Roman"/>
        </w:rPr>
        <w:t>Matsudaira</w:t>
      </w:r>
      <w:r w:rsidRPr="003C6DFC">
        <w:rPr>
          <w:rFonts w:ascii="Times New Roman" w:hAnsi="Times New Roman" w:cs="Times New Roman"/>
        </w:rPr>
        <w:t xml:space="preserve"> </w:t>
      </w:r>
      <w:sdt>
        <w:sdtPr>
          <w:rPr>
            <w:rFonts w:ascii="Times New Roman" w:hAnsi="Times New Roman" w:cs="Times New Roman"/>
          </w:rPr>
          <w:id w:val="93679958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Eng21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where tough labor market conditions for workers could have biased earning data downward in their study. </w:t>
      </w:r>
    </w:p>
    <w:p w14:paraId="70C09888" w14:textId="31291F14" w:rsidR="002E752C" w:rsidRPr="003C6DFC" w:rsidRDefault="002E752C" w:rsidP="00CD45D6">
      <w:pPr>
        <w:spacing w:line="480" w:lineRule="auto"/>
        <w:rPr>
          <w:rFonts w:ascii="Times New Roman" w:hAnsi="Times New Roman" w:cs="Times New Roman"/>
        </w:rPr>
      </w:pPr>
      <w:r w:rsidRPr="003C6DFC">
        <w:rPr>
          <w:rFonts w:ascii="Times New Roman" w:hAnsi="Times New Roman" w:cs="Times New Roman"/>
          <w:b/>
          <w:bCs/>
          <w:i/>
          <w:iCs/>
        </w:rPr>
        <w:tab/>
      </w:r>
      <w:r w:rsidRPr="003C6DFC">
        <w:rPr>
          <w:rFonts w:ascii="Times New Roman" w:hAnsi="Times New Roman" w:cs="Times New Roman"/>
        </w:rPr>
        <w:t xml:space="preserve">Despite these promising results, Dynarski et al. </w:t>
      </w:r>
      <w:sdt>
        <w:sdtPr>
          <w:rPr>
            <w:rFonts w:ascii="Times New Roman" w:hAnsi="Times New Roman" w:cs="Times New Roman"/>
          </w:rPr>
          <w:id w:val="156607071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Dyn23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(2023)</w:t>
          </w:r>
          <w:r w:rsidRPr="003C6DFC">
            <w:rPr>
              <w:rFonts w:ascii="Times New Roman" w:hAnsi="Times New Roman" w:cs="Times New Roman"/>
            </w:rPr>
            <w:fldChar w:fldCharType="end"/>
          </w:r>
        </w:sdtContent>
      </w:sdt>
      <w:r w:rsidRPr="003C6DFC">
        <w:rPr>
          <w:rFonts w:ascii="Times New Roman" w:hAnsi="Times New Roman" w:cs="Times New Roman"/>
        </w:rPr>
        <w:t xml:space="preserve"> posits that complex relationships between educational costs and grant aid can reduce or otherwise obscure effects on student outcomes. An example of this is noted by </w:t>
      </w:r>
      <w:r w:rsidR="00452F52" w:rsidRPr="008C7F95">
        <w:rPr>
          <w:rFonts w:ascii="Times New Roman" w:hAnsi="Times New Roman" w:cs="Times New Roman"/>
          <w:noProof/>
        </w:rPr>
        <w:t>Turner</w:t>
      </w:r>
      <w:r w:rsidR="00452F52">
        <w:rPr>
          <w:rFonts w:ascii="Times New Roman" w:hAnsi="Times New Roman" w:cs="Times New Roman"/>
          <w:noProof/>
        </w:rPr>
        <w:t xml:space="preserve"> (</w:t>
      </w:r>
      <w:r w:rsidR="00452F52" w:rsidRPr="008C7F95">
        <w:rPr>
          <w:rFonts w:ascii="Times New Roman" w:hAnsi="Times New Roman" w:cs="Times New Roman"/>
          <w:noProof/>
        </w:rPr>
        <w:t>2014)</w:t>
      </w:r>
      <w:r w:rsidRPr="003C6DFC">
        <w:rPr>
          <w:rFonts w:ascii="Times New Roman" w:hAnsi="Times New Roman" w:cs="Times New Roman"/>
        </w:rPr>
        <w:t xml:space="preserve"> that found private institutions responded by awarding students with Pell grants less institutional financial aid as compared with students who barely do not qualify for the grant. Later, Marx and Turner </w:t>
      </w:r>
      <w:sdt>
        <w:sdtPr>
          <w:rPr>
            <w:rFonts w:ascii="Times New Roman" w:hAnsi="Times New Roman" w:cs="Times New Roman"/>
          </w:rPr>
          <w:id w:val="643862030"/>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Mar19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found students that are not Pell eligible received more financial aid from all potential sources combined than Pell eligible students. Additionally, Bettinger and Williams </w:t>
      </w:r>
      <w:sdt>
        <w:sdtPr>
          <w:rPr>
            <w:rFonts w:ascii="Times New Roman" w:hAnsi="Times New Roman" w:cs="Times New Roman"/>
          </w:rPr>
          <w:id w:val="-2116359579"/>
          <w:citation/>
        </w:sdtPr>
        <w:sdtContent>
          <w:r w:rsidR="00841859">
            <w:rPr>
              <w:rFonts w:ascii="Times New Roman" w:hAnsi="Times New Roman" w:cs="Times New Roman"/>
            </w:rPr>
            <w:fldChar w:fldCharType="begin"/>
          </w:r>
          <w:r w:rsidR="00B641FC">
            <w:rPr>
              <w:rFonts w:ascii="Times New Roman" w:hAnsi="Times New Roman" w:cs="Times New Roman"/>
            </w:rPr>
            <w:instrText xml:space="preserve">CITATION Bet14 \n  \t  \l 1033 </w:instrText>
          </w:r>
          <w:r w:rsidR="00841859">
            <w:rPr>
              <w:rFonts w:ascii="Times New Roman" w:hAnsi="Times New Roman" w:cs="Times New Roman"/>
            </w:rPr>
            <w:fldChar w:fldCharType="separate"/>
          </w:r>
          <w:r w:rsidR="00A10468" w:rsidRPr="00A10468">
            <w:rPr>
              <w:rFonts w:ascii="Times New Roman" w:hAnsi="Times New Roman" w:cs="Times New Roman"/>
              <w:noProof/>
            </w:rPr>
            <w:t>(2014)</w:t>
          </w:r>
          <w:r w:rsidR="00841859">
            <w:rPr>
              <w:rFonts w:ascii="Times New Roman" w:hAnsi="Times New Roman" w:cs="Times New Roman"/>
            </w:rPr>
            <w:fldChar w:fldCharType="end"/>
          </w:r>
        </w:sdtContent>
      </w:sdt>
      <w:r w:rsidRPr="003C6DFC">
        <w:rPr>
          <w:rFonts w:ascii="Times New Roman" w:hAnsi="Times New Roman" w:cs="Times New Roman"/>
        </w:rPr>
        <w:t xml:space="preserve"> found that states have responded to increases in Pell funding by changing state awards; usually reducing students’ state awards when Pell awards increased. Further Park and Scott-Clayton </w:t>
      </w:r>
      <w:sdt>
        <w:sdtPr>
          <w:rPr>
            <w:rFonts w:ascii="Times New Roman" w:hAnsi="Times New Roman" w:cs="Times New Roman"/>
          </w:rPr>
          <w:id w:val="170567279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Par181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(2018)</w:t>
          </w:r>
          <w:r w:rsidRPr="003C6DFC">
            <w:rPr>
              <w:rFonts w:ascii="Times New Roman" w:hAnsi="Times New Roman" w:cs="Times New Roman"/>
            </w:rPr>
            <w:fldChar w:fldCharType="end"/>
          </w:r>
        </w:sdtContent>
      </w:sdt>
      <w:r w:rsidRPr="003C6DFC">
        <w:rPr>
          <w:rFonts w:ascii="Times New Roman" w:hAnsi="Times New Roman" w:cs="Times New Roman"/>
        </w:rPr>
        <w:t xml:space="preserve"> found that community colleges move state grant dollars toward students that are not Pell eligible to assist with their costs rather than directing aid toward Pell eligible students. Both Marx and Turner </w:t>
      </w:r>
      <w:sdt>
        <w:sdtPr>
          <w:rPr>
            <w:rFonts w:ascii="Times New Roman" w:hAnsi="Times New Roman" w:cs="Times New Roman"/>
          </w:rPr>
          <w:id w:val="39795167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Mar19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as well as Park and Scott-Clayton </w:t>
      </w:r>
      <w:sdt>
        <w:sdtPr>
          <w:rPr>
            <w:rFonts w:ascii="Times New Roman" w:hAnsi="Times New Roman" w:cs="Times New Roman"/>
          </w:rPr>
          <w:id w:val="191620025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Par181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(2018)</w:t>
          </w:r>
          <w:r w:rsidRPr="003C6DFC">
            <w:rPr>
              <w:rFonts w:ascii="Times New Roman" w:hAnsi="Times New Roman" w:cs="Times New Roman"/>
            </w:rPr>
            <w:fldChar w:fldCharType="end"/>
          </w:r>
        </w:sdtContent>
      </w:sdt>
      <w:r w:rsidRPr="003C6DFC">
        <w:rPr>
          <w:rFonts w:ascii="Times New Roman" w:hAnsi="Times New Roman" w:cs="Times New Roman"/>
        </w:rPr>
        <w:t xml:space="preserve"> suggest that additional aid is crowded out by the </w:t>
      </w:r>
      <w:r w:rsidRPr="003C6DFC">
        <w:rPr>
          <w:rFonts w:ascii="Times New Roman" w:hAnsi="Times New Roman" w:cs="Times New Roman"/>
        </w:rPr>
        <w:lastRenderedPageBreak/>
        <w:t xml:space="preserve">Pell grant as institutions attempt to offer the more moderate aid packages across as many potential students as they can to maximize enrollment yield. </w:t>
      </w:r>
    </w:p>
    <w:p w14:paraId="27A87ABD" w14:textId="42A6A32F" w:rsidR="002E752C" w:rsidRPr="003C6DFC" w:rsidRDefault="002E752C" w:rsidP="00CD45D6">
      <w:pPr>
        <w:spacing w:line="480" w:lineRule="auto"/>
        <w:rPr>
          <w:rFonts w:ascii="Times New Roman" w:hAnsi="Times New Roman" w:cs="Times New Roman"/>
        </w:rPr>
      </w:pPr>
      <w:r w:rsidRPr="003C6DFC">
        <w:rPr>
          <w:rFonts w:ascii="Times New Roman" w:hAnsi="Times New Roman" w:cs="Times New Roman"/>
        </w:rPr>
        <w:tab/>
        <w:t xml:space="preserve">Moving beyond student outcomes for grant aid, some studies have examined the post-college outcomes of grant aid receipt. Bettinger et al. </w:t>
      </w:r>
      <w:sdt>
        <w:sdtPr>
          <w:rPr>
            <w:rFonts w:ascii="Times New Roman" w:hAnsi="Times New Roman" w:cs="Times New Roman"/>
          </w:rPr>
          <w:id w:val="-153742633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Bet19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utilized regression discontinuity to study California’s Cal Grant, an award that is simultaneously need- and merit-based. They find when compared to similar students that did not qualify for the Cal Grant, that compared to students near the GPA and income at cutoffs, participants had not only a higher rate of degree attainment but also higher rates of graduate degree attainment and post-college earnings. Anderson et al. </w:t>
      </w:r>
      <w:sdt>
        <w:sdtPr>
          <w:rPr>
            <w:rFonts w:ascii="Times New Roman" w:hAnsi="Times New Roman" w:cs="Times New Roman"/>
          </w:rPr>
          <w:id w:val="644934282"/>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And20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studied the Wisconsin Scholars Grant that offers up to $17,500 over five years for Pell eligible students at Wisconsin public colleges. This grant is privately funded in contrast to the other grant aid reviewed in this proposal. Due to the design of the program which functions like an extension of Pell funds for eligible students, I choose to include it here in my review of grant aid impacts. </w:t>
      </w:r>
      <w:r w:rsidR="005C7FE7">
        <w:rPr>
          <w:rFonts w:ascii="Times New Roman" w:hAnsi="Times New Roman" w:cs="Times New Roman"/>
        </w:rPr>
        <w:t>Anderson et al.</w:t>
      </w:r>
      <w:r w:rsidR="00B641FC">
        <w:rPr>
          <w:rFonts w:ascii="Times New Roman" w:hAnsi="Times New Roman" w:cs="Times New Roman"/>
        </w:rPr>
        <w:t xml:space="preserve"> </w:t>
      </w:r>
      <w:sdt>
        <w:sdtPr>
          <w:rPr>
            <w:rFonts w:ascii="Times New Roman" w:hAnsi="Times New Roman" w:cs="Times New Roman"/>
          </w:rPr>
          <w:id w:val="-1074584694"/>
          <w:citation/>
        </w:sdtPr>
        <w:sdtContent>
          <w:r w:rsidR="00B641FC">
            <w:rPr>
              <w:rFonts w:ascii="Times New Roman" w:hAnsi="Times New Roman" w:cs="Times New Roman"/>
            </w:rPr>
            <w:fldChar w:fldCharType="begin"/>
          </w:r>
          <w:r w:rsidR="00B641FC">
            <w:rPr>
              <w:rFonts w:ascii="Times New Roman" w:hAnsi="Times New Roman" w:cs="Times New Roman"/>
            </w:rPr>
            <w:instrText xml:space="preserve">CITATION And20 \n  \t  \l 1033 </w:instrText>
          </w:r>
          <w:r w:rsidR="00B641FC">
            <w:rPr>
              <w:rFonts w:ascii="Times New Roman" w:hAnsi="Times New Roman" w:cs="Times New Roman"/>
            </w:rPr>
            <w:fldChar w:fldCharType="separate"/>
          </w:r>
          <w:r w:rsidR="00A10468" w:rsidRPr="00A10468">
            <w:rPr>
              <w:rFonts w:ascii="Times New Roman" w:hAnsi="Times New Roman" w:cs="Times New Roman"/>
              <w:noProof/>
            </w:rPr>
            <w:t>(2020)</w:t>
          </w:r>
          <w:r w:rsidR="00B641FC">
            <w:rPr>
              <w:rFonts w:ascii="Times New Roman" w:hAnsi="Times New Roman" w:cs="Times New Roman"/>
            </w:rPr>
            <w:fldChar w:fldCharType="end"/>
          </w:r>
        </w:sdtContent>
      </w:sdt>
      <w:r w:rsidRPr="003C6DFC">
        <w:rPr>
          <w:rFonts w:ascii="Times New Roman" w:hAnsi="Times New Roman" w:cs="Times New Roman"/>
        </w:rPr>
        <w:t xml:space="preserve"> found that the grant funding had no effect on persistence, completion, or graduate enrollment as a post-college outcome. </w:t>
      </w:r>
    </w:p>
    <w:p w14:paraId="20B1C947" w14:textId="7AB00BE7" w:rsidR="002E752C" w:rsidRPr="00E14096"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However, this could be due the fact that students eligible for this grant were already eligible for other types of student aid such as loans. In a previous study on the Wisconsin Scholars Grant, Goldrick-Rab et al. </w:t>
      </w:r>
      <w:sdt>
        <w:sdtPr>
          <w:rPr>
            <w:rFonts w:ascii="Times New Roman" w:hAnsi="Times New Roman" w:cs="Times New Roman"/>
          </w:rPr>
          <w:id w:val="-91740521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Gol16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(2016)</w:t>
          </w:r>
          <w:r w:rsidRPr="003C6DFC">
            <w:rPr>
              <w:rFonts w:ascii="Times New Roman" w:hAnsi="Times New Roman" w:cs="Times New Roman"/>
            </w:rPr>
            <w:fldChar w:fldCharType="end"/>
          </w:r>
        </w:sdtContent>
      </w:sdt>
      <w:r w:rsidRPr="003C6DFC">
        <w:rPr>
          <w:rFonts w:ascii="Times New Roman" w:hAnsi="Times New Roman" w:cs="Times New Roman"/>
        </w:rPr>
        <w:t xml:space="preserve"> note that grant recipients reduced their loan uptake by accepting newly offered grant dollars. This is an important caveat to consider as these students’ award amounts essentially did not change after they opted to accept grant aid without relying on loans which would place the students into debt. This finding is similar in nature to the crowding-out phenomenon noted in the earlier-</w:t>
      </w:r>
      <w:r w:rsidRPr="003C6DFC">
        <w:rPr>
          <w:rFonts w:ascii="Times New Roman" w:hAnsi="Times New Roman" w:cs="Times New Roman"/>
        </w:rPr>
        <w:lastRenderedPageBreak/>
        <w:t xml:space="preserve">mentioned studies by Marx and Turner </w:t>
      </w:r>
      <w:sdt>
        <w:sdtPr>
          <w:rPr>
            <w:rFonts w:ascii="Times New Roman" w:hAnsi="Times New Roman" w:cs="Times New Roman"/>
          </w:rPr>
          <w:id w:val="739371799"/>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Mar19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as well as Park and Scott-Clayton </w:t>
      </w:r>
      <w:sdt>
        <w:sdtPr>
          <w:rPr>
            <w:rFonts w:ascii="Times New Roman" w:hAnsi="Times New Roman" w:cs="Times New Roman"/>
          </w:rPr>
          <w:id w:val="177042437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Par181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(2018)</w:t>
          </w:r>
          <w:r w:rsidRPr="003C6DFC">
            <w:rPr>
              <w:rFonts w:ascii="Times New Roman" w:hAnsi="Times New Roman" w:cs="Times New Roman"/>
            </w:rPr>
            <w:fldChar w:fldCharType="end"/>
          </w:r>
        </w:sdtContent>
      </w:sdt>
      <w:r w:rsidRPr="003C6DFC">
        <w:rPr>
          <w:rFonts w:ascii="Times New Roman" w:hAnsi="Times New Roman" w:cs="Times New Roman"/>
        </w:rPr>
        <w:t>. Except instead of an institution attempting to maximize yield across as many less generous aid packages as possible, students in the Wisconsin Scholars Grant effective</w:t>
      </w:r>
      <w:r w:rsidR="00064EF2">
        <w:rPr>
          <w:rFonts w:ascii="Times New Roman" w:hAnsi="Times New Roman" w:cs="Times New Roman"/>
        </w:rPr>
        <w:t>ly</w:t>
      </w:r>
      <w:r w:rsidRPr="003C6DFC">
        <w:rPr>
          <w:rFonts w:ascii="Times New Roman" w:hAnsi="Times New Roman" w:cs="Times New Roman"/>
        </w:rPr>
        <w:t xml:space="preserve"> le</w:t>
      </w:r>
      <w:r w:rsidR="00064EF2">
        <w:rPr>
          <w:rFonts w:ascii="Times New Roman" w:hAnsi="Times New Roman" w:cs="Times New Roman"/>
        </w:rPr>
        <w:t>ft</w:t>
      </w:r>
      <w:r w:rsidRPr="003C6DFC">
        <w:rPr>
          <w:rFonts w:ascii="Times New Roman" w:hAnsi="Times New Roman" w:cs="Times New Roman"/>
        </w:rPr>
        <w:t xml:space="preserve"> aid money on the table by allowing grant-aid to crowd out loan-based aid to reduce or eliminate their potential debt balances.</w:t>
      </w:r>
    </w:p>
    <w:p w14:paraId="5F8371FF" w14:textId="75CBDD32" w:rsidR="002E752C" w:rsidRPr="003C6DFC" w:rsidRDefault="002E752C" w:rsidP="00CD45D6">
      <w:pPr>
        <w:spacing w:line="480" w:lineRule="auto"/>
        <w:rPr>
          <w:rFonts w:ascii="Times New Roman" w:hAnsi="Times New Roman" w:cs="Times New Roman"/>
          <w:b/>
          <w:bCs/>
          <w:i/>
          <w:iCs/>
        </w:rPr>
      </w:pPr>
      <w:r w:rsidRPr="003C6DFC">
        <w:rPr>
          <w:rFonts w:ascii="Times New Roman" w:hAnsi="Times New Roman" w:cs="Times New Roman"/>
          <w:b/>
          <w:bCs/>
          <w:i/>
          <w:iCs/>
        </w:rPr>
        <w:t>Merit-Based Aid (</w:t>
      </w:r>
      <w:r w:rsidR="00FB07BA">
        <w:rPr>
          <w:rFonts w:ascii="Times New Roman" w:hAnsi="Times New Roman" w:cs="Times New Roman"/>
          <w:b/>
          <w:bCs/>
          <w:i/>
          <w:iCs/>
        </w:rPr>
        <w:t xml:space="preserve">Graduation and </w:t>
      </w:r>
      <w:r w:rsidRPr="003C6DFC">
        <w:rPr>
          <w:rFonts w:ascii="Times New Roman" w:hAnsi="Times New Roman" w:cs="Times New Roman"/>
          <w:b/>
          <w:bCs/>
          <w:i/>
          <w:iCs/>
        </w:rPr>
        <w:t xml:space="preserve">Other Outcomes) </w:t>
      </w:r>
    </w:p>
    <w:p w14:paraId="50B92F3C" w14:textId="77777777"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Researchers studying the outcomes of merit-based aid such as state-wide scholarships tied to high school GPA and standardized test scores have mostly investigated differences in outcomes between recipients and non-recipients. Often using regression discontinuity to examine merit aid scholarships, researchers construct a treatment and control group of similar students by limiting their sample around the thresholds of the scholarship’s initial award and renewal requirements. Additionally, while limited in number, some researchers have also studied the effects of losing merit aid on student outcomes. </w:t>
      </w:r>
    </w:p>
    <w:p w14:paraId="6B55E457" w14:textId="6CE619E9"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Welch </w:t>
      </w:r>
      <w:sdt>
        <w:sdtPr>
          <w:rPr>
            <w:rFonts w:ascii="Times New Roman" w:hAnsi="Times New Roman" w:cs="Times New Roman"/>
          </w:rPr>
          <w:id w:val="-185333334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Wel14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(2014)</w:t>
          </w:r>
          <w:r w:rsidRPr="003C6DFC">
            <w:rPr>
              <w:rFonts w:ascii="Times New Roman" w:hAnsi="Times New Roman" w:cs="Times New Roman"/>
            </w:rPr>
            <w:fldChar w:fldCharType="end"/>
          </w:r>
        </w:sdtContent>
      </w:sdt>
      <w:r w:rsidRPr="003C6DFC">
        <w:rPr>
          <w:rFonts w:ascii="Times New Roman" w:hAnsi="Times New Roman" w:cs="Times New Roman"/>
        </w:rPr>
        <w:t xml:space="preserve"> also examined the impact of merit aid using Tennessee’s HOPE scholarship at the state’s community colleges. Welch utilized a regression discontinuity design to compare students on either side of the scholarship’s ACT score criteria to establish an effect for receiving the Tennessee HOPE scholarship. This study found that the Tennessee HOPE scholarship had no statistically significant impact on the number of semesters enrolled or the number of credits accumulated following a student’s first year of enrollment. It did have a significant impact on hours attempted by the second year with </w:t>
      </w:r>
      <w:r w:rsidRPr="003C6DFC">
        <w:rPr>
          <w:rFonts w:ascii="Times New Roman" w:hAnsi="Times New Roman" w:cs="Times New Roman"/>
        </w:rPr>
        <w:lastRenderedPageBreak/>
        <w:t xml:space="preserve">students who were HOPE eligible earning approximately 3.4 more credit hours over the course of two years than students who were not HOPE eligible. </w:t>
      </w:r>
    </w:p>
    <w:p w14:paraId="5925CBC0" w14:textId="52302290"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An inherit goal of merit-aid scholarship is talent retainment for states. Dynarski </w:t>
      </w:r>
      <w:sdt>
        <w:sdtPr>
          <w:rPr>
            <w:rFonts w:ascii="Times New Roman" w:hAnsi="Times New Roman" w:cs="Times New Roman"/>
          </w:rPr>
          <w:id w:val="-97013656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Dyn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(2004)</w:t>
          </w:r>
          <w:r w:rsidRPr="003C6DFC">
            <w:rPr>
              <w:rFonts w:ascii="Times New Roman" w:hAnsi="Times New Roman" w:cs="Times New Roman"/>
            </w:rPr>
            <w:fldChar w:fldCharType="end"/>
          </w:r>
        </w:sdtContent>
      </w:sdt>
      <w:r w:rsidRPr="003C6DFC">
        <w:rPr>
          <w:rFonts w:ascii="Times New Roman" w:hAnsi="Times New Roman" w:cs="Times New Roman"/>
        </w:rPr>
        <w:t xml:space="preserve"> noted this about merit aid programs created following the adoption of Georgia’s HOPE scholarship. Here policy makers assumed that students planning to go out of state for college may choose to stay closer to home by reducing the cost of attendance at in state institutions. In addition to enticing students to stay in-state for college, policy makers hoped that this would make it harder for students to leave the state following graduation. This would allow the state to retain skilled laborers in which the state had likely been investing in since the student’s enrollment in primary school. Thus, merit aid exists not only as a financial aid source but also as a state talent retention policy </w:t>
      </w:r>
      <w:sdt>
        <w:sdtPr>
          <w:rPr>
            <w:rFonts w:ascii="Times New Roman" w:hAnsi="Times New Roman" w:cs="Times New Roman"/>
          </w:rPr>
          <w:id w:val="-716591044"/>
          <w:citation/>
        </w:sdtPr>
        <w:sdtContent>
          <w:r w:rsidR="00B641FC">
            <w:rPr>
              <w:rFonts w:ascii="Times New Roman" w:hAnsi="Times New Roman" w:cs="Times New Roman"/>
            </w:rPr>
            <w:fldChar w:fldCharType="begin"/>
          </w:r>
          <w:r w:rsidR="00B641FC">
            <w:rPr>
              <w:rFonts w:ascii="Times New Roman" w:hAnsi="Times New Roman" w:cs="Times New Roman"/>
            </w:rPr>
            <w:instrText xml:space="preserve"> CITATION Har16 \l 1033 </w:instrText>
          </w:r>
          <w:r w:rsidR="00B641FC">
            <w:rPr>
              <w:rFonts w:ascii="Times New Roman" w:hAnsi="Times New Roman" w:cs="Times New Roman"/>
            </w:rPr>
            <w:fldChar w:fldCharType="separate"/>
          </w:r>
          <w:r w:rsidR="00A10468" w:rsidRPr="00A10468">
            <w:rPr>
              <w:rFonts w:ascii="Times New Roman" w:hAnsi="Times New Roman" w:cs="Times New Roman"/>
              <w:noProof/>
            </w:rPr>
            <w:t>(Harrington, Muñoz, Curs, &amp; Ehlert, 2016)</w:t>
          </w:r>
          <w:r w:rsidR="00B641FC">
            <w:rPr>
              <w:rFonts w:ascii="Times New Roman" w:hAnsi="Times New Roman" w:cs="Times New Roman"/>
            </w:rPr>
            <w:fldChar w:fldCharType="end"/>
          </w:r>
        </w:sdtContent>
      </w:sdt>
      <w:r w:rsidR="00B641FC">
        <w:rPr>
          <w:rFonts w:ascii="Times New Roman" w:hAnsi="Times New Roman" w:cs="Times New Roman"/>
        </w:rPr>
        <w:t>.</w:t>
      </w:r>
    </w:p>
    <w:p w14:paraId="1A065F31" w14:textId="7070FA01"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Scott-Clayton and Zafar </w:t>
      </w:r>
      <w:sdt>
        <w:sdtPr>
          <w:rPr>
            <w:rFonts w:ascii="Times New Roman" w:hAnsi="Times New Roman" w:cs="Times New Roman"/>
          </w:rPr>
          <w:id w:val="-43830635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Sco19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utilized regression discontinuity to examine the post-college effects of West Virginia’s merit-based scholarship program</w:t>
      </w:r>
      <w:r w:rsidRPr="003C6DFC">
        <w:rPr>
          <w:rStyle w:val="FootnoteReference"/>
          <w:rFonts w:ascii="Times New Roman" w:hAnsi="Times New Roman" w:cs="Times New Roman"/>
        </w:rPr>
        <w:footnoteReference w:id="2"/>
      </w:r>
      <w:r w:rsidRPr="003C6DFC">
        <w:rPr>
          <w:rFonts w:ascii="Times New Roman" w:hAnsi="Times New Roman" w:cs="Times New Roman"/>
        </w:rPr>
        <w:t xml:space="preserve"> on recipients. While Scott-Clayton and Zafar found West Virginia merit aid recipients did not significantly affect year-round employment, recipients earned more after graduation on average at $2,724. Scott-Clayton and Zafar calculate this to be a 7% increase over the mean earnings of students in their comparison group. Recipients are also more likely to earn graduate degrees, own a home, and live in neighborhoods with a higher average </w:t>
      </w:r>
      <w:r w:rsidRPr="003C6DFC">
        <w:rPr>
          <w:rFonts w:ascii="Times New Roman" w:hAnsi="Times New Roman" w:cs="Times New Roman"/>
        </w:rPr>
        <w:lastRenderedPageBreak/>
        <w:t xml:space="preserve">adjusted gross income when compared to similar non-recipients. Further, recipients borrowed $1,172 (17%) less and their families borrowed $1,020 (26%) less after four years. </w:t>
      </w:r>
    </w:p>
    <w:p w14:paraId="017E977F" w14:textId="4996B1E6"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Scott-Clayton and Zafar </w:t>
      </w:r>
      <w:sdt>
        <w:sdtPr>
          <w:rPr>
            <w:rFonts w:ascii="Times New Roman" w:hAnsi="Times New Roman" w:cs="Times New Roman"/>
          </w:rPr>
          <w:id w:val="-22884047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Sco19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find no evidence that state merit-aid recipients in their sample are more likely to leave the state but are also not the first scholars to look at inter-state migration for merit-aid recipients.  Sjoquist and Winters</w:t>
      </w:r>
      <w:sdt>
        <w:sdtPr>
          <w:rPr>
            <w:rFonts w:ascii="Times New Roman" w:hAnsi="Times New Roman" w:cs="Times New Roman"/>
          </w:rPr>
          <w:id w:val="-11976537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Sjo14 \n  \t  \l 1033 </w:instrText>
          </w:r>
          <w:r w:rsidRPr="003C6DFC">
            <w:rPr>
              <w:rFonts w:ascii="Times New Roman" w:hAnsi="Times New Roman" w:cs="Times New Roman"/>
            </w:rPr>
            <w:fldChar w:fldCharType="separate"/>
          </w:r>
          <w:r w:rsidR="00A10468">
            <w:rPr>
              <w:rFonts w:ascii="Times New Roman" w:hAnsi="Times New Roman" w:cs="Times New Roman"/>
              <w:noProof/>
            </w:rPr>
            <w:t xml:space="preserve"> </w:t>
          </w:r>
          <w:r w:rsidR="00A10468" w:rsidRPr="00A10468">
            <w:rPr>
              <w:rFonts w:ascii="Times New Roman" w:hAnsi="Times New Roman" w:cs="Times New Roman"/>
              <w:noProof/>
            </w:rPr>
            <w:t>(2014)</w:t>
          </w:r>
          <w:r w:rsidRPr="003C6DFC">
            <w:rPr>
              <w:rFonts w:ascii="Times New Roman" w:hAnsi="Times New Roman" w:cs="Times New Roman"/>
            </w:rPr>
            <w:fldChar w:fldCharType="end"/>
          </w:r>
        </w:sdtContent>
      </w:sdt>
      <w:r w:rsidRPr="003C6DFC">
        <w:rPr>
          <w:rFonts w:ascii="Times New Roman" w:hAnsi="Times New Roman" w:cs="Times New Roman"/>
        </w:rPr>
        <w:t xml:space="preserve"> examined the effects of merit-aid scholarships across 25 states on post-college inter-state migration. Across all state programs, Sjoquist and Winters found merit aid programs increase the state’s retention of post-graduate employees by 2.8 percentage points. This effect varies with it being larger in states with higher award amounts than in states with lower award amounts as an earlier study by Sjoquist and Winters </w:t>
      </w:r>
      <w:sdt>
        <w:sdtPr>
          <w:rPr>
            <w:rFonts w:ascii="Times New Roman" w:hAnsi="Times New Roman" w:cs="Times New Roman"/>
          </w:rPr>
          <w:id w:val="20930429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Sjo13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(2013)</w:t>
          </w:r>
          <w:r w:rsidRPr="003C6DFC">
            <w:rPr>
              <w:rFonts w:ascii="Times New Roman" w:hAnsi="Times New Roman" w:cs="Times New Roman"/>
            </w:rPr>
            <w:fldChar w:fldCharType="end"/>
          </w:r>
        </w:sdtContent>
      </w:sdt>
      <w:r w:rsidRPr="003C6DFC">
        <w:rPr>
          <w:rFonts w:ascii="Times New Roman" w:hAnsi="Times New Roman" w:cs="Times New Roman"/>
        </w:rPr>
        <w:t xml:space="preserve"> limited to only Georgia’s HOPE scholarship</w:t>
      </w:r>
      <w:r w:rsidR="009B0ABE">
        <w:rPr>
          <w:rFonts w:ascii="Times New Roman" w:hAnsi="Times New Roman" w:cs="Times New Roman"/>
        </w:rPr>
        <w:t xml:space="preserve"> which</w:t>
      </w:r>
      <w:r w:rsidRPr="003C6DFC">
        <w:rPr>
          <w:rFonts w:ascii="Times New Roman" w:hAnsi="Times New Roman" w:cs="Times New Roman"/>
        </w:rPr>
        <w:t xml:space="preserve"> noted increased retention by 3.5 percentage points following adoption of the scholarship. </w:t>
      </w:r>
    </w:p>
    <w:p w14:paraId="70869B8E" w14:textId="4466CC72"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A similar regression discontinuity study by Harrington et al. </w:t>
      </w:r>
      <w:sdt>
        <w:sdtPr>
          <w:rPr>
            <w:rFonts w:ascii="Times New Roman" w:hAnsi="Times New Roman" w:cs="Times New Roman"/>
          </w:rPr>
          <w:id w:val="324397282"/>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Har16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(2016)</w:t>
          </w:r>
          <w:r w:rsidRPr="003C6DFC">
            <w:rPr>
              <w:rFonts w:ascii="Times New Roman" w:hAnsi="Times New Roman" w:cs="Times New Roman"/>
            </w:rPr>
            <w:fldChar w:fldCharType="end"/>
          </w:r>
        </w:sdtContent>
      </w:sdt>
      <w:r w:rsidRPr="003C6DFC">
        <w:rPr>
          <w:rFonts w:ascii="Times New Roman" w:hAnsi="Times New Roman" w:cs="Times New Roman"/>
        </w:rPr>
        <w:t xml:space="preserve"> on the Missouri Bright Flight Program found similar albeit larger results. Harrington et al. </w:t>
      </w:r>
      <w:sdt>
        <w:sdtPr>
          <w:rPr>
            <w:rFonts w:ascii="Times New Roman" w:hAnsi="Times New Roman" w:cs="Times New Roman"/>
          </w:rPr>
          <w:id w:val="-125982458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Har16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(2016)</w:t>
          </w:r>
          <w:r w:rsidRPr="003C6DFC">
            <w:rPr>
              <w:rFonts w:ascii="Times New Roman" w:hAnsi="Times New Roman" w:cs="Times New Roman"/>
            </w:rPr>
            <w:fldChar w:fldCharType="end"/>
          </w:r>
        </w:sdtContent>
      </w:sdt>
      <w:r w:rsidRPr="003C6DFC">
        <w:rPr>
          <w:rFonts w:ascii="Times New Roman" w:hAnsi="Times New Roman" w:cs="Times New Roman"/>
        </w:rPr>
        <w:t xml:space="preserve"> found a 4.3 percentage point increase in the likelihood of employment in students’ home state of Missouri when they received the Bright Flight merit scholarship. Also continuing early commentary on who get</w:t>
      </w:r>
      <w:r w:rsidR="007337B3">
        <w:rPr>
          <w:rFonts w:ascii="Times New Roman" w:hAnsi="Times New Roman" w:cs="Times New Roman"/>
        </w:rPr>
        <w:t>s</w:t>
      </w:r>
      <w:r w:rsidRPr="003C6DFC">
        <w:rPr>
          <w:rFonts w:ascii="Times New Roman" w:hAnsi="Times New Roman" w:cs="Times New Roman"/>
        </w:rPr>
        <w:t xml:space="preserve"> access to merit aid, Harrington et al. note that the Bright Flight program mostly benefited White and higher income students with 89% of recipients being White and 71% coming from families that earned more than $60,000. </w:t>
      </w:r>
    </w:p>
    <w:p w14:paraId="42D91382" w14:textId="00A0E4BA" w:rsidR="009B0ABE" w:rsidRDefault="002E752C" w:rsidP="00CD45D6">
      <w:pPr>
        <w:spacing w:line="480" w:lineRule="auto"/>
        <w:rPr>
          <w:rFonts w:ascii="Times New Roman" w:hAnsi="Times New Roman" w:cs="Times New Roman"/>
        </w:rPr>
      </w:pPr>
      <w:r w:rsidRPr="003C6DFC">
        <w:rPr>
          <w:rFonts w:ascii="Times New Roman" w:hAnsi="Times New Roman" w:cs="Times New Roman"/>
        </w:rPr>
        <w:lastRenderedPageBreak/>
        <w:t xml:space="preserve">Regarding merit-based aid research on the effects of losing this additional aid, the research </w:t>
      </w:r>
      <w:r w:rsidR="009B0ABE">
        <w:rPr>
          <w:rFonts w:ascii="Times New Roman" w:hAnsi="Times New Roman" w:cs="Times New Roman"/>
        </w:rPr>
        <w:t>found results</w:t>
      </w:r>
      <w:r w:rsidRPr="003C6DFC">
        <w:rPr>
          <w:rFonts w:ascii="Times New Roman" w:hAnsi="Times New Roman" w:cs="Times New Roman"/>
        </w:rPr>
        <w:t xml:space="preserve"> similar to Dynarski’s </w:t>
      </w:r>
      <w:sdt>
        <w:sdtPr>
          <w:rPr>
            <w:rFonts w:ascii="Times New Roman" w:hAnsi="Times New Roman" w:cs="Times New Roman"/>
          </w:rPr>
          <w:id w:val="-151453696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Dyn03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(2003)</w:t>
          </w:r>
          <w:r w:rsidRPr="003C6DFC">
            <w:rPr>
              <w:rFonts w:ascii="Times New Roman" w:hAnsi="Times New Roman" w:cs="Times New Roman"/>
            </w:rPr>
            <w:fldChar w:fldCharType="end"/>
          </w:r>
        </w:sdtContent>
      </w:sdt>
      <w:r w:rsidRPr="003C6DFC">
        <w:rPr>
          <w:rFonts w:ascii="Times New Roman" w:hAnsi="Times New Roman" w:cs="Times New Roman"/>
        </w:rPr>
        <w:t xml:space="preserve"> study on the loss of grant aid that the loss of merit aid results reduced metrics for student outcomes. </w:t>
      </w:r>
    </w:p>
    <w:p w14:paraId="770A8E2B" w14:textId="029F5923" w:rsidR="002E752C" w:rsidRPr="003C6DFC" w:rsidRDefault="002E752C" w:rsidP="00CD45D6">
      <w:pPr>
        <w:spacing w:line="480" w:lineRule="auto"/>
        <w:ind w:firstLine="720"/>
        <w:rPr>
          <w:rFonts w:ascii="Times New Roman" w:hAnsi="Times New Roman" w:cs="Times New Roman"/>
          <w:b/>
          <w:bCs/>
          <w:i/>
          <w:iCs/>
        </w:rPr>
      </w:pPr>
      <w:r w:rsidRPr="003C6DFC">
        <w:rPr>
          <w:rFonts w:ascii="Times New Roman" w:hAnsi="Times New Roman" w:cs="Times New Roman"/>
        </w:rPr>
        <w:t xml:space="preserve">Cummings et al. </w:t>
      </w:r>
      <w:sdt>
        <w:sdtPr>
          <w:rPr>
            <w:rFonts w:ascii="Times New Roman" w:hAnsi="Times New Roman" w:cs="Times New Roman"/>
          </w:rPr>
          <w:id w:val="191187656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Cum22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(2022)</w:t>
          </w:r>
          <w:r w:rsidRPr="003C6DFC">
            <w:rPr>
              <w:rFonts w:ascii="Times New Roman" w:hAnsi="Times New Roman" w:cs="Times New Roman"/>
            </w:rPr>
            <w:fldChar w:fldCharType="end"/>
          </w:r>
        </w:sdtContent>
      </w:sdt>
      <w:r w:rsidRPr="003C6DFC">
        <w:rPr>
          <w:rFonts w:ascii="Times New Roman" w:hAnsi="Times New Roman" w:cs="Times New Roman"/>
        </w:rPr>
        <w:t xml:space="preserve"> utilized regression discontinuity to study the loss of Tennessee’s merit-aid HOPE scholarship. Cummings et al. found that loss of the HOPE scholarship due to failing to maintain the requisite GPA after the first time that the grades were checked for the scholarship resulted in increased rates of stop-out among higher-income White students and increased rates of transfer to a community college for Black students. Scholarship loss did not impact on-time graduation but did cause a decrease in the probability of graduation within 150% of expected time-to-degree. This aligns with earlier research on the effects of losing Georgia’s Hope scholarship where recipients who lost the scholarship saw a reduction in persistence and graduation rates to levels on par with similar students who originally did not receive the scholarship </w:t>
      </w:r>
      <w:sdt>
        <w:sdtPr>
          <w:rPr>
            <w:rFonts w:ascii="Times New Roman" w:hAnsi="Times New Roman" w:cs="Times New Roman"/>
          </w:rPr>
          <w:id w:val="-1986931586"/>
          <w:citation/>
        </w:sdtPr>
        <w:sdtContent>
          <w:r w:rsidR="00DA0459">
            <w:rPr>
              <w:rFonts w:ascii="Times New Roman" w:hAnsi="Times New Roman" w:cs="Times New Roman"/>
            </w:rPr>
            <w:fldChar w:fldCharType="begin"/>
          </w:r>
          <w:r w:rsidR="00DA0459">
            <w:rPr>
              <w:rFonts w:ascii="Times New Roman" w:hAnsi="Times New Roman" w:cs="Times New Roman"/>
            </w:rPr>
            <w:instrText xml:space="preserve"> CITATION Hen041 \l 1033 </w:instrText>
          </w:r>
          <w:r w:rsidR="00DA0459">
            <w:rPr>
              <w:rFonts w:ascii="Times New Roman" w:hAnsi="Times New Roman" w:cs="Times New Roman"/>
            </w:rPr>
            <w:fldChar w:fldCharType="separate"/>
          </w:r>
          <w:r w:rsidR="00A10468" w:rsidRPr="00A10468">
            <w:rPr>
              <w:rFonts w:ascii="Times New Roman" w:hAnsi="Times New Roman" w:cs="Times New Roman"/>
              <w:noProof/>
            </w:rPr>
            <w:t>(Henry, Rubenstein, &amp; Bugler, 2004)</w:t>
          </w:r>
          <w:r w:rsidR="00DA0459">
            <w:rPr>
              <w:rFonts w:ascii="Times New Roman" w:hAnsi="Times New Roman" w:cs="Times New Roman"/>
            </w:rPr>
            <w:fldChar w:fldCharType="end"/>
          </w:r>
        </w:sdtContent>
      </w:sdt>
      <w:r w:rsidRPr="003C6DFC">
        <w:rPr>
          <w:rFonts w:ascii="Times New Roman" w:hAnsi="Times New Roman" w:cs="Times New Roman"/>
        </w:rPr>
        <w:t>.</w:t>
      </w:r>
    </w:p>
    <w:p w14:paraId="6AFD0F77" w14:textId="27B19D59" w:rsidR="002E752C" w:rsidRPr="003C6DFC" w:rsidRDefault="002E752C" w:rsidP="00CD45D6">
      <w:pPr>
        <w:spacing w:line="480" w:lineRule="auto"/>
        <w:rPr>
          <w:rFonts w:ascii="Times New Roman" w:hAnsi="Times New Roman" w:cs="Times New Roman"/>
          <w:b/>
          <w:bCs/>
          <w:i/>
          <w:iCs/>
        </w:rPr>
      </w:pPr>
      <w:r w:rsidRPr="003C6DFC">
        <w:rPr>
          <w:rFonts w:ascii="Times New Roman" w:hAnsi="Times New Roman" w:cs="Times New Roman"/>
          <w:b/>
          <w:bCs/>
          <w:i/>
          <w:iCs/>
        </w:rPr>
        <w:t>Loan-Based Aid (</w:t>
      </w:r>
      <w:r w:rsidR="00FB07BA">
        <w:rPr>
          <w:rFonts w:ascii="Times New Roman" w:hAnsi="Times New Roman" w:cs="Times New Roman"/>
          <w:b/>
          <w:bCs/>
          <w:i/>
          <w:iCs/>
        </w:rPr>
        <w:t>Graduation and</w:t>
      </w:r>
      <w:r w:rsidR="00FB07BA" w:rsidRPr="003C6DFC">
        <w:rPr>
          <w:rFonts w:ascii="Times New Roman" w:hAnsi="Times New Roman" w:cs="Times New Roman"/>
          <w:b/>
          <w:bCs/>
          <w:i/>
          <w:iCs/>
        </w:rPr>
        <w:t xml:space="preserve"> </w:t>
      </w:r>
      <w:r w:rsidRPr="003C6DFC">
        <w:rPr>
          <w:rFonts w:ascii="Times New Roman" w:hAnsi="Times New Roman" w:cs="Times New Roman"/>
          <w:b/>
          <w:bCs/>
          <w:i/>
          <w:iCs/>
        </w:rPr>
        <w:t>Other Outcomes)</w:t>
      </w:r>
    </w:p>
    <w:p w14:paraId="09472E36" w14:textId="05048EB9"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Early quasi-experimental research on the effects of student loans on outcomes largely found that receipt of student loans does increase persistence, graduation rates, and other outcomes of interest. Velez </w:t>
      </w:r>
      <w:sdt>
        <w:sdtPr>
          <w:rPr>
            <w:rFonts w:ascii="Times New Roman" w:hAnsi="Times New Roman" w:cs="Times New Roman"/>
          </w:rPr>
          <w:id w:val="-106533332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Vel13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(2013)</w:t>
          </w:r>
          <w:r w:rsidRPr="003C6DFC">
            <w:rPr>
              <w:rFonts w:ascii="Times New Roman" w:hAnsi="Times New Roman" w:cs="Times New Roman"/>
            </w:rPr>
            <w:fldChar w:fldCharType="end"/>
          </w:r>
        </w:sdtContent>
      </w:sdt>
      <w:r w:rsidRPr="003C6DFC">
        <w:rPr>
          <w:rFonts w:ascii="Times New Roman" w:hAnsi="Times New Roman" w:cs="Times New Roman"/>
        </w:rPr>
        <w:t xml:space="preserve"> utilized a difference-in-difference strategy comparing similar community college students between institutions that did and did not offer Stafford student loans. Velez identified that access to the Stafford loan increased borrowing by $262 per year and increased the likelihood of transferring to a </w:t>
      </w:r>
      <w:r w:rsidR="009B0ABE">
        <w:rPr>
          <w:rFonts w:ascii="Times New Roman" w:hAnsi="Times New Roman" w:cs="Times New Roman"/>
        </w:rPr>
        <w:t>four</w:t>
      </w:r>
      <w:r w:rsidRPr="003C6DFC">
        <w:rPr>
          <w:rFonts w:ascii="Times New Roman" w:hAnsi="Times New Roman" w:cs="Times New Roman"/>
        </w:rPr>
        <w:t xml:space="preserve">-year institution by 5.6 percentage points. Velez </w:t>
      </w:r>
      <w:sdt>
        <w:sdtPr>
          <w:rPr>
            <w:rFonts w:ascii="Times New Roman" w:hAnsi="Times New Roman" w:cs="Times New Roman"/>
          </w:rPr>
          <w:id w:val="-1623535100"/>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Vel13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(2013)</w:t>
          </w:r>
          <w:r w:rsidRPr="003C6DFC">
            <w:rPr>
              <w:rFonts w:ascii="Times New Roman" w:hAnsi="Times New Roman" w:cs="Times New Roman"/>
            </w:rPr>
            <w:fldChar w:fldCharType="end"/>
          </w:r>
        </w:sdtContent>
      </w:sdt>
      <w:r w:rsidRPr="003C6DFC">
        <w:rPr>
          <w:rFonts w:ascii="Times New Roman" w:hAnsi="Times New Roman" w:cs="Times New Roman"/>
        </w:rPr>
        <w:t xml:space="preserve"> also found that loan access decrease</w:t>
      </w:r>
      <w:r w:rsidR="009B0ABE">
        <w:rPr>
          <w:rFonts w:ascii="Times New Roman" w:hAnsi="Times New Roman" w:cs="Times New Roman"/>
        </w:rPr>
        <w:t>d</w:t>
      </w:r>
      <w:r w:rsidRPr="003C6DFC">
        <w:rPr>
          <w:rFonts w:ascii="Times New Roman" w:hAnsi="Times New Roman" w:cs="Times New Roman"/>
        </w:rPr>
        <w:t xml:space="preserve"> </w:t>
      </w:r>
      <w:r w:rsidRPr="003C6DFC">
        <w:rPr>
          <w:rFonts w:ascii="Times New Roman" w:hAnsi="Times New Roman" w:cs="Times New Roman"/>
        </w:rPr>
        <w:lastRenderedPageBreak/>
        <w:t xml:space="preserve">the probability of working while in college at a rate of 7 percentage points. Further, while loan access did not have a statistically significant positive effect on degree attainment for all students, it did have a significant impact on specific sub-populations. For Black women as well as low-income students, access to student loans increased transfer rates to four-year institutions to 8.8 and 7.6 percentage points respectively. Unlike when groups were aggregated together, increased access to loans did increase the graduation rates from </w:t>
      </w:r>
      <w:r w:rsidR="009B0ABE">
        <w:rPr>
          <w:rFonts w:ascii="Times New Roman" w:hAnsi="Times New Roman" w:cs="Times New Roman"/>
        </w:rPr>
        <w:t>four</w:t>
      </w:r>
      <w:r w:rsidRPr="003C6DFC">
        <w:rPr>
          <w:rFonts w:ascii="Times New Roman" w:hAnsi="Times New Roman" w:cs="Times New Roman"/>
        </w:rPr>
        <w:t xml:space="preserve">-year institutions following transfer from a community college for these groups at 8.7 and 9.7 percentage points respectively </w:t>
      </w:r>
      <w:sdt>
        <w:sdtPr>
          <w:rPr>
            <w:rFonts w:ascii="Times New Roman" w:hAnsi="Times New Roman" w:cs="Times New Roman"/>
          </w:rPr>
          <w:id w:val="2037770525"/>
          <w:citation/>
        </w:sdtPr>
        <w:sdtContent>
          <w:r w:rsidR="001A5B4F">
            <w:rPr>
              <w:rFonts w:ascii="Times New Roman" w:hAnsi="Times New Roman" w:cs="Times New Roman"/>
            </w:rPr>
            <w:fldChar w:fldCharType="begin"/>
          </w:r>
          <w:r w:rsidR="001A5B4F">
            <w:rPr>
              <w:rFonts w:ascii="Times New Roman" w:hAnsi="Times New Roman" w:cs="Times New Roman"/>
            </w:rPr>
            <w:instrText xml:space="preserve"> CITATION Vel13 \l 1033 </w:instrText>
          </w:r>
          <w:r w:rsidR="001A5B4F">
            <w:rPr>
              <w:rFonts w:ascii="Times New Roman" w:hAnsi="Times New Roman" w:cs="Times New Roman"/>
            </w:rPr>
            <w:fldChar w:fldCharType="separate"/>
          </w:r>
          <w:r w:rsidR="00A10468" w:rsidRPr="00A10468">
            <w:rPr>
              <w:rFonts w:ascii="Times New Roman" w:hAnsi="Times New Roman" w:cs="Times New Roman"/>
              <w:noProof/>
            </w:rPr>
            <w:t>(Velez, 2013)</w:t>
          </w:r>
          <w:r w:rsidR="001A5B4F">
            <w:rPr>
              <w:rFonts w:ascii="Times New Roman" w:hAnsi="Times New Roman" w:cs="Times New Roman"/>
            </w:rPr>
            <w:fldChar w:fldCharType="end"/>
          </w:r>
        </w:sdtContent>
      </w:sdt>
      <w:r w:rsidRPr="003C6DFC">
        <w:rPr>
          <w:rFonts w:ascii="Times New Roman" w:hAnsi="Times New Roman" w:cs="Times New Roman"/>
        </w:rPr>
        <w:t>.</w:t>
      </w:r>
    </w:p>
    <w:p w14:paraId="0AC48957" w14:textId="50C21A65"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The previously mentioned Marx and Turner </w:t>
      </w:r>
      <w:sdt>
        <w:sdtPr>
          <w:rPr>
            <w:rFonts w:ascii="Times New Roman" w:hAnsi="Times New Roman" w:cs="Times New Roman"/>
          </w:rPr>
          <w:id w:val="570541529"/>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Mar19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randomized control trial studying the effect of listing loan amounts in financial aid award letters resulted in a 30 percent increase in earned credits and an </w:t>
      </w:r>
      <w:r w:rsidR="00623135" w:rsidRPr="003C6DFC">
        <w:rPr>
          <w:rFonts w:ascii="Times New Roman" w:hAnsi="Times New Roman" w:cs="Times New Roman"/>
        </w:rPr>
        <w:t>11</w:t>
      </w:r>
      <w:r w:rsidR="00623135">
        <w:rPr>
          <w:rFonts w:ascii="Times New Roman" w:hAnsi="Times New Roman" w:cs="Times New Roman"/>
        </w:rPr>
        <w:t>-percentage</w:t>
      </w:r>
      <w:r w:rsidRPr="003C6DFC">
        <w:rPr>
          <w:rFonts w:ascii="Times New Roman" w:hAnsi="Times New Roman" w:cs="Times New Roman"/>
        </w:rPr>
        <w:t xml:space="preserve"> point increase in transfer to four-year colleges. In a randomized control trial, Barr et al. </w:t>
      </w:r>
      <w:sdt>
        <w:sdtPr>
          <w:rPr>
            <w:rFonts w:ascii="Times New Roman" w:hAnsi="Times New Roman" w:cs="Times New Roman"/>
          </w:rPr>
          <w:id w:val="-8940038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Bar21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found that loan counseling before accepting a loan resulted in a 7 percent reduction in the accepted unsubsidized loan amount for the community college students studied, a reduction of $194 from a comparison average of $2,792. However, this experiment found that community college students who declined unsubsidized loan aid were 4.2</w:t>
      </w:r>
      <w:r w:rsidR="009B0ABE">
        <w:rPr>
          <w:rFonts w:ascii="Times New Roman" w:hAnsi="Times New Roman" w:cs="Times New Roman"/>
        </w:rPr>
        <w:t xml:space="preserve"> </w:t>
      </w:r>
      <w:r w:rsidR="003507A3">
        <w:rPr>
          <w:rFonts w:ascii="Times New Roman" w:hAnsi="Times New Roman" w:cs="Times New Roman"/>
        </w:rPr>
        <w:t>percentage</w:t>
      </w:r>
      <w:r w:rsidRPr="003C6DFC">
        <w:rPr>
          <w:rFonts w:ascii="Times New Roman" w:hAnsi="Times New Roman" w:cs="Times New Roman"/>
        </w:rPr>
        <w:t xml:space="preserve"> points less likely to successfully complete coursework and 3</w:t>
      </w:r>
      <w:r w:rsidR="009B0ABE">
        <w:rPr>
          <w:rFonts w:ascii="Times New Roman" w:hAnsi="Times New Roman" w:cs="Times New Roman"/>
        </w:rPr>
        <w:t xml:space="preserve"> </w:t>
      </w:r>
      <w:r w:rsidR="003507A3">
        <w:rPr>
          <w:rFonts w:ascii="Times New Roman" w:hAnsi="Times New Roman" w:cs="Times New Roman"/>
        </w:rPr>
        <w:t>percentage</w:t>
      </w:r>
      <w:r w:rsidRPr="003C6DFC">
        <w:rPr>
          <w:rFonts w:ascii="Times New Roman" w:hAnsi="Times New Roman" w:cs="Times New Roman"/>
        </w:rPr>
        <w:t xml:space="preserve"> points more likely to fail a course during the term following a reduction in accepted loan aid. This in turn reduced degree attainment by 0.9</w:t>
      </w:r>
      <w:r w:rsidR="009B0ABE">
        <w:rPr>
          <w:rFonts w:ascii="Times New Roman" w:hAnsi="Times New Roman" w:cs="Times New Roman"/>
        </w:rPr>
        <w:t xml:space="preserve"> </w:t>
      </w:r>
      <w:r w:rsidR="003507A3">
        <w:rPr>
          <w:rFonts w:ascii="Times New Roman" w:hAnsi="Times New Roman" w:cs="Times New Roman"/>
        </w:rPr>
        <w:t>percentage</w:t>
      </w:r>
      <w:r w:rsidRPr="003C6DFC">
        <w:rPr>
          <w:rFonts w:ascii="Times New Roman" w:hAnsi="Times New Roman" w:cs="Times New Roman"/>
        </w:rPr>
        <w:t xml:space="preserve"> points. These findings are in line with findings from Denning et al. </w:t>
      </w:r>
      <w:sdt>
        <w:sdtPr>
          <w:rPr>
            <w:rFonts w:ascii="Times New Roman" w:hAnsi="Times New Roman" w:cs="Times New Roman"/>
          </w:rPr>
          <w:id w:val="-119662334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Den19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who found that when lower-income students gained access to additional loans, they were 1.8 percentage points more likely to complete their degrees by the time they were 24 years old. </w:t>
      </w:r>
    </w:p>
    <w:p w14:paraId="30D5792A" w14:textId="5FA308B3"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lastRenderedPageBreak/>
        <w:t xml:space="preserve">A working paper by Black et al. </w:t>
      </w:r>
      <w:r w:rsidR="00E404BA" w:rsidRPr="00A10468">
        <w:rPr>
          <w:rFonts w:ascii="Times New Roman" w:hAnsi="Times New Roman" w:cs="Times New Roman"/>
          <w:noProof/>
        </w:rPr>
        <w:t>(202</w:t>
      </w:r>
      <w:r w:rsidR="00E404BA">
        <w:rPr>
          <w:rFonts w:ascii="Times New Roman" w:hAnsi="Times New Roman" w:cs="Times New Roman"/>
          <w:noProof/>
        </w:rPr>
        <w:t>3</w:t>
      </w:r>
      <w:r w:rsidR="00E404BA" w:rsidRPr="00A10468">
        <w:rPr>
          <w:rFonts w:ascii="Times New Roman" w:hAnsi="Times New Roman" w:cs="Times New Roman"/>
          <w:noProof/>
        </w:rPr>
        <w:t>)</w:t>
      </w:r>
      <w:r w:rsidRPr="003C6DFC">
        <w:rPr>
          <w:rFonts w:ascii="Times New Roman" w:hAnsi="Times New Roman" w:cs="Times New Roman"/>
        </w:rPr>
        <w:t xml:space="preserve"> examines the outcomes of students in Texas who borrowed during their first year of enrollment at public two- and four-year colleges. In line with other research projects, Black et al.</w:t>
      </w:r>
      <w:r w:rsidR="00E404BA" w:rsidRPr="00E404BA">
        <w:rPr>
          <w:rFonts w:ascii="Times New Roman" w:hAnsi="Times New Roman" w:cs="Times New Roman"/>
        </w:rPr>
        <w:t xml:space="preserve"> </w:t>
      </w:r>
      <w:r w:rsidR="00E404BA" w:rsidRPr="00A10468">
        <w:rPr>
          <w:rFonts w:ascii="Times New Roman" w:hAnsi="Times New Roman" w:cs="Times New Roman"/>
          <w:noProof/>
        </w:rPr>
        <w:t>(202</w:t>
      </w:r>
      <w:r w:rsidR="00E404BA">
        <w:rPr>
          <w:rFonts w:ascii="Times New Roman" w:hAnsi="Times New Roman" w:cs="Times New Roman"/>
          <w:noProof/>
        </w:rPr>
        <w:t>3</w:t>
      </w:r>
      <w:r w:rsidR="00E404BA" w:rsidRPr="00A10468">
        <w:rPr>
          <w:rFonts w:ascii="Times New Roman" w:hAnsi="Times New Roman" w:cs="Times New Roman"/>
          <w:noProof/>
        </w:rPr>
        <w:t>)</w:t>
      </w:r>
      <w:r w:rsidRPr="003C6DFC">
        <w:rPr>
          <w:rFonts w:ascii="Times New Roman" w:hAnsi="Times New Roman" w:cs="Times New Roman"/>
        </w:rPr>
        <w:t xml:space="preserve"> identify a positive effect on degree completion but also identify positive effects on graduate program enrollment and lifetime earnings at increases of 12 and 2.8 percentage points, respectively. Further, rates of loan delinquency were reduced between 0.9 and 1.4 percentage points. Black et al. </w:t>
      </w:r>
      <w:r w:rsidR="000420D1">
        <w:rPr>
          <w:rFonts w:ascii="Times New Roman" w:hAnsi="Times New Roman" w:cs="Times New Roman"/>
        </w:rPr>
        <w:t xml:space="preserve">(2020) </w:t>
      </w:r>
      <w:r w:rsidRPr="003C6DFC">
        <w:rPr>
          <w:rFonts w:ascii="Times New Roman" w:hAnsi="Times New Roman" w:cs="Times New Roman"/>
        </w:rPr>
        <w:t xml:space="preserve">identified that increases in acceptance of these state loans did not meaningfully affect home ownership which conflicts with prior findings from Mezza et al. </w:t>
      </w:r>
      <w:sdt>
        <w:sdtPr>
          <w:rPr>
            <w:rFonts w:ascii="Times New Roman" w:hAnsi="Times New Roman" w:cs="Times New Roman"/>
          </w:rPr>
          <w:id w:val="26580998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Mez20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This earlier study by Mezza et al. </w:t>
      </w:r>
      <w:sdt>
        <w:sdtPr>
          <w:rPr>
            <w:rFonts w:ascii="Times New Roman" w:hAnsi="Times New Roman" w:cs="Times New Roman"/>
          </w:rPr>
          <w:id w:val="78662346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Mez20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that found that each $1,000 increase in loan debt decreased home ownership by 1.8 percentage points. </w:t>
      </w:r>
    </w:p>
    <w:p w14:paraId="089620B2" w14:textId="483AA25C" w:rsidR="002E752C" w:rsidRPr="003C6DFC" w:rsidRDefault="002E752C" w:rsidP="00CD45D6">
      <w:pPr>
        <w:spacing w:line="480" w:lineRule="auto"/>
        <w:ind w:firstLine="720"/>
        <w:rPr>
          <w:rFonts w:ascii="Times New Roman" w:hAnsi="Times New Roman" w:cs="Times New Roman"/>
          <w:b/>
          <w:bCs/>
          <w:i/>
          <w:iCs/>
        </w:rPr>
      </w:pPr>
      <w:r w:rsidRPr="003C6DFC">
        <w:rPr>
          <w:rFonts w:ascii="Times New Roman" w:hAnsi="Times New Roman" w:cs="Times New Roman"/>
        </w:rPr>
        <w:t xml:space="preserve">To explain this discrepancy, Black et al. </w:t>
      </w:r>
      <w:r w:rsidR="00E404BA" w:rsidRPr="00A10468">
        <w:rPr>
          <w:rFonts w:ascii="Times New Roman" w:hAnsi="Times New Roman" w:cs="Times New Roman"/>
          <w:noProof/>
        </w:rPr>
        <w:t>(202</w:t>
      </w:r>
      <w:r w:rsidR="00E404BA">
        <w:rPr>
          <w:rFonts w:ascii="Times New Roman" w:hAnsi="Times New Roman" w:cs="Times New Roman"/>
          <w:noProof/>
        </w:rPr>
        <w:t>3</w:t>
      </w:r>
      <w:r w:rsidR="00E404BA" w:rsidRPr="00A10468">
        <w:rPr>
          <w:rFonts w:ascii="Times New Roman" w:hAnsi="Times New Roman" w:cs="Times New Roman"/>
          <w:noProof/>
        </w:rPr>
        <w:t>)</w:t>
      </w:r>
      <w:r w:rsidRPr="003C6DFC">
        <w:rPr>
          <w:rFonts w:ascii="Times New Roman" w:hAnsi="Times New Roman" w:cs="Times New Roman"/>
        </w:rPr>
        <w:t xml:space="preserve"> suggested that, unlike Mezza et al.’s </w:t>
      </w:r>
      <w:sdt>
        <w:sdtPr>
          <w:rPr>
            <w:rFonts w:ascii="Times New Roman" w:hAnsi="Times New Roman" w:cs="Times New Roman"/>
          </w:rPr>
          <w:id w:val="-459958350"/>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Mez20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study on student loans and home</w:t>
      </w:r>
      <w:r w:rsidR="009B0ABE">
        <w:rPr>
          <w:rFonts w:ascii="Times New Roman" w:hAnsi="Times New Roman" w:cs="Times New Roman"/>
        </w:rPr>
        <w:t xml:space="preserve"> </w:t>
      </w:r>
      <w:r w:rsidRPr="003C6DFC">
        <w:rPr>
          <w:rFonts w:ascii="Times New Roman" w:hAnsi="Times New Roman" w:cs="Times New Roman"/>
        </w:rPr>
        <w:t xml:space="preserve">ownership, their study did not investigate this relationship in response to increasing educational costs but rather investigated responses to an investment in human capital. Regarding the effects of student loans following graduation on indicators of quality of life, Di Maggio et al. </w:t>
      </w:r>
      <w:r w:rsidR="0056715C" w:rsidRPr="00A10468">
        <w:rPr>
          <w:rFonts w:ascii="Times New Roman" w:hAnsi="Times New Roman" w:cs="Times New Roman"/>
          <w:noProof/>
        </w:rPr>
        <w:t>(</w:t>
      </w:r>
      <w:r w:rsidR="0056715C">
        <w:rPr>
          <w:rFonts w:ascii="Times New Roman" w:hAnsi="Times New Roman" w:cs="Times New Roman"/>
          <w:noProof/>
        </w:rPr>
        <w:t>2020</w:t>
      </w:r>
      <w:r w:rsidR="0056715C" w:rsidRPr="00A10468">
        <w:rPr>
          <w:rFonts w:ascii="Times New Roman" w:hAnsi="Times New Roman" w:cs="Times New Roman"/>
          <w:noProof/>
        </w:rPr>
        <w:t>)</w:t>
      </w:r>
      <w:r w:rsidRPr="003C6DFC">
        <w:rPr>
          <w:rFonts w:ascii="Times New Roman" w:hAnsi="Times New Roman" w:cs="Times New Roman"/>
        </w:rPr>
        <w:t xml:space="preserve"> found that for private, non-federal loans borrowers who received a $7,000 discharge from their loan balance were less likely to be delinquent on another loan, more geographically mobile, and earned approximately $3,000 more than the comparison group. In this study, Di Maggio et al. </w:t>
      </w:r>
      <w:r w:rsidR="0056715C" w:rsidRPr="00A10468">
        <w:rPr>
          <w:rFonts w:ascii="Times New Roman" w:hAnsi="Times New Roman" w:cs="Times New Roman"/>
          <w:noProof/>
        </w:rPr>
        <w:t>(</w:t>
      </w:r>
      <w:r w:rsidR="0056715C">
        <w:rPr>
          <w:rFonts w:ascii="Times New Roman" w:hAnsi="Times New Roman" w:cs="Times New Roman"/>
          <w:noProof/>
        </w:rPr>
        <w:t>2020</w:t>
      </w:r>
      <w:r w:rsidR="0056715C" w:rsidRPr="00A10468">
        <w:rPr>
          <w:rFonts w:ascii="Times New Roman" w:hAnsi="Times New Roman" w:cs="Times New Roman"/>
          <w:noProof/>
        </w:rPr>
        <w:t>)</w:t>
      </w:r>
      <w:r w:rsidRPr="003C6DFC">
        <w:rPr>
          <w:rFonts w:ascii="Times New Roman" w:hAnsi="Times New Roman" w:cs="Times New Roman"/>
        </w:rPr>
        <w:t xml:space="preserve"> used a difference-in-difference design and suggested that a reduction in the debt balance allowed borrowers to take better advantage of career opportunities than those without this discharge of $7,000.</w:t>
      </w:r>
    </w:p>
    <w:p w14:paraId="0270F761" w14:textId="77777777" w:rsidR="002E752C" w:rsidRPr="003C6DFC" w:rsidRDefault="002E752C" w:rsidP="00CD45D6">
      <w:pPr>
        <w:pStyle w:val="Heading2"/>
        <w:spacing w:before="0" w:after="0"/>
      </w:pPr>
      <w:bookmarkStart w:id="29" w:name="_Toc183282263"/>
      <w:r w:rsidRPr="003C6DFC">
        <w:lastRenderedPageBreak/>
        <w:t>Promise Programs as a Contemporary Financial Aid Award</w:t>
      </w:r>
      <w:bookmarkEnd w:id="29"/>
    </w:p>
    <w:p w14:paraId="42CEE5E2" w14:textId="6A29963F" w:rsidR="002E752C" w:rsidRPr="00544388"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Broadly research on grant-, merit-, and loan-based </w:t>
      </w:r>
      <w:r w:rsidR="009B0ABE">
        <w:rPr>
          <w:rFonts w:ascii="Times New Roman" w:hAnsi="Times New Roman" w:cs="Times New Roman"/>
        </w:rPr>
        <w:t xml:space="preserve">aid </w:t>
      </w:r>
      <w:r w:rsidRPr="003C6DFC">
        <w:rPr>
          <w:rFonts w:ascii="Times New Roman" w:hAnsi="Times New Roman" w:cs="Times New Roman"/>
        </w:rPr>
        <w:t>suggests that the more access to additional capital a student has for financing their postsecondary education, the more likely they are to enroll and graduate from college. As noted in an earl</w:t>
      </w:r>
      <w:r w:rsidR="009B0ABE">
        <w:rPr>
          <w:rFonts w:ascii="Times New Roman" w:hAnsi="Times New Roman" w:cs="Times New Roman"/>
        </w:rPr>
        <w:t>ier</w:t>
      </w:r>
      <w:r w:rsidRPr="003C6DFC">
        <w:rPr>
          <w:rFonts w:ascii="Times New Roman" w:hAnsi="Times New Roman" w:cs="Times New Roman"/>
        </w:rPr>
        <w:t xml:space="preserve"> section of this chapter, these policies have a long-standing history dating back to the 1970s, 1990s, and 1950s respectively. More recently, a new strategy for financing higher education emerged through promise programs. Due to policy diffusion over the past </w:t>
      </w:r>
      <w:r w:rsidR="009B0ABE">
        <w:rPr>
          <w:rFonts w:ascii="Times New Roman" w:hAnsi="Times New Roman" w:cs="Times New Roman"/>
        </w:rPr>
        <w:t>20</w:t>
      </w:r>
      <w:r w:rsidRPr="003C6DFC">
        <w:rPr>
          <w:rFonts w:ascii="Times New Roman" w:hAnsi="Times New Roman" w:cs="Times New Roman"/>
        </w:rPr>
        <w:t xml:space="preserve"> years, promise program</w:t>
      </w:r>
      <w:r w:rsidR="00897AB7">
        <w:rPr>
          <w:rFonts w:ascii="Times New Roman" w:hAnsi="Times New Roman" w:cs="Times New Roman"/>
        </w:rPr>
        <w:t>s</w:t>
      </w:r>
      <w:r w:rsidRPr="003C6DFC">
        <w:rPr>
          <w:rFonts w:ascii="Times New Roman" w:hAnsi="Times New Roman" w:cs="Times New Roman"/>
        </w:rPr>
        <w:t xml:space="preserve"> rapidly proliferated and have been broadly operationalized as a type of program that provides financial aid to students within a specific locale which can be </w:t>
      </w:r>
      <w:r w:rsidRPr="00544388">
        <w:rPr>
          <w:rFonts w:ascii="Times New Roman" w:hAnsi="Times New Roman" w:cs="Times New Roman"/>
        </w:rPr>
        <w:t>utilized for at least one institution of higher education within that geographic area (Carnevale et al., 2020; Campaign for Free College Tuition, n.d.; Kanter, et al., 2021)</w:t>
      </w:r>
      <w:r w:rsidR="00544388" w:rsidRPr="00544388">
        <w:rPr>
          <w:rFonts w:ascii="Times New Roman" w:hAnsi="Times New Roman" w:cs="Times New Roman"/>
        </w:rPr>
        <w:t>.</w:t>
      </w:r>
    </w:p>
    <w:p w14:paraId="1655D7F0" w14:textId="6DEF65A1" w:rsidR="002E752C" w:rsidRPr="003C6DFC" w:rsidRDefault="002E752C" w:rsidP="00CD45D6">
      <w:pPr>
        <w:spacing w:line="480" w:lineRule="auto"/>
        <w:rPr>
          <w:rFonts w:ascii="Times New Roman" w:hAnsi="Times New Roman" w:cs="Times New Roman"/>
        </w:rPr>
      </w:pPr>
      <w:r w:rsidRPr="00544388">
        <w:rPr>
          <w:rFonts w:ascii="Times New Roman" w:hAnsi="Times New Roman" w:cs="Times New Roman"/>
        </w:rPr>
        <w:tab/>
        <w:t xml:space="preserve">Miller-Adams </w:t>
      </w:r>
      <w:sdt>
        <w:sdtPr>
          <w:rPr>
            <w:rFonts w:ascii="Times New Roman" w:hAnsi="Times New Roman" w:cs="Times New Roman"/>
          </w:rPr>
          <w:id w:val="1452049722"/>
          <w:citation/>
        </w:sdtPr>
        <w:sdtContent>
          <w:r w:rsidR="000B1D19" w:rsidRPr="00544388">
            <w:rPr>
              <w:rFonts w:ascii="Times New Roman" w:hAnsi="Times New Roman" w:cs="Times New Roman"/>
            </w:rPr>
            <w:fldChar w:fldCharType="begin"/>
          </w:r>
          <w:r w:rsidR="000B1D19" w:rsidRPr="00544388">
            <w:rPr>
              <w:rFonts w:ascii="Times New Roman" w:hAnsi="Times New Roman" w:cs="Times New Roman"/>
            </w:rPr>
            <w:instrText xml:space="preserve">CITATION Par18 \n  \t  \l 1033 </w:instrText>
          </w:r>
          <w:r w:rsidR="000B1D19" w:rsidRPr="00544388">
            <w:rPr>
              <w:rFonts w:ascii="Times New Roman" w:hAnsi="Times New Roman" w:cs="Times New Roman"/>
            </w:rPr>
            <w:fldChar w:fldCharType="separate"/>
          </w:r>
          <w:r w:rsidR="00A10468" w:rsidRPr="00A10468">
            <w:rPr>
              <w:rFonts w:ascii="Times New Roman" w:hAnsi="Times New Roman" w:cs="Times New Roman"/>
              <w:noProof/>
            </w:rPr>
            <w:t>(2015)</w:t>
          </w:r>
          <w:r w:rsidR="000B1D19" w:rsidRPr="00544388">
            <w:rPr>
              <w:rFonts w:ascii="Times New Roman" w:hAnsi="Times New Roman" w:cs="Times New Roman"/>
            </w:rPr>
            <w:fldChar w:fldCharType="end"/>
          </w:r>
        </w:sdtContent>
      </w:sdt>
      <w:r w:rsidRPr="00544388">
        <w:rPr>
          <w:rFonts w:ascii="Times New Roman" w:hAnsi="Times New Roman" w:cs="Times New Roman"/>
        </w:rPr>
        <w:t xml:space="preserve"> identified the Kalamazoo Promise as the first student aid program of </w:t>
      </w:r>
      <w:r w:rsidRPr="003C6DFC">
        <w:rPr>
          <w:rFonts w:ascii="Times New Roman" w:hAnsi="Times New Roman" w:cs="Times New Roman"/>
        </w:rPr>
        <w:t>its kind. The Kalamazoo Promise was founded by donors who wished to remain anonymous to revitalize the economically ailing city of Kalamazoo, Michigan. The program offers graduates of the district’s public high schools 100% of the cost of tuition at 61 eligible Michigan postsecondary institutions. However, some might identify other longer-standing aid programs such as Indiana’s 21</w:t>
      </w:r>
      <w:r w:rsidRPr="003C6DFC">
        <w:rPr>
          <w:rFonts w:ascii="Times New Roman" w:hAnsi="Times New Roman" w:cs="Times New Roman"/>
          <w:vertAlign w:val="superscript"/>
        </w:rPr>
        <w:t>st</w:t>
      </w:r>
      <w:r w:rsidRPr="003C6DFC">
        <w:rPr>
          <w:rFonts w:ascii="Times New Roman" w:hAnsi="Times New Roman" w:cs="Times New Roman"/>
        </w:rPr>
        <w:t xml:space="preserve"> Century Scholars which started in the 1990s as the first promise program. Furthermore, College Promise, a non-profit that inventories existing promise program has identified the 21</w:t>
      </w:r>
      <w:r w:rsidRPr="003C6DFC">
        <w:rPr>
          <w:rFonts w:ascii="Times New Roman" w:hAnsi="Times New Roman" w:cs="Times New Roman"/>
          <w:vertAlign w:val="superscript"/>
        </w:rPr>
        <w:t>st</w:t>
      </w:r>
      <w:r w:rsidRPr="003C6DFC">
        <w:rPr>
          <w:rFonts w:ascii="Times New Roman" w:hAnsi="Times New Roman" w:cs="Times New Roman"/>
        </w:rPr>
        <w:t xml:space="preserve"> Century Scholars program as a promise program housed in their list of existing programs. </w:t>
      </w:r>
    </w:p>
    <w:p w14:paraId="7649CB94" w14:textId="562F52A5"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This discrepancy may have arisen because Miller-Adams </w:t>
      </w:r>
      <w:sdt>
        <w:sdtPr>
          <w:rPr>
            <w:rFonts w:ascii="Times New Roman" w:hAnsi="Times New Roman" w:cs="Times New Roman"/>
          </w:rPr>
          <w:id w:val="-1821950364"/>
          <w:citation/>
        </w:sdtPr>
        <w:sdtContent>
          <w:r w:rsidR="000B1D19">
            <w:rPr>
              <w:rFonts w:ascii="Times New Roman" w:hAnsi="Times New Roman" w:cs="Times New Roman"/>
            </w:rPr>
            <w:fldChar w:fldCharType="begin"/>
          </w:r>
          <w:r w:rsidR="000B1D19">
            <w:rPr>
              <w:rFonts w:ascii="Times New Roman" w:hAnsi="Times New Roman" w:cs="Times New Roman"/>
            </w:rPr>
            <w:instrText xml:space="preserve">CITATION Par18 \n  \t  \l 1033 </w:instrText>
          </w:r>
          <w:r w:rsidR="000B1D19">
            <w:rPr>
              <w:rFonts w:ascii="Times New Roman" w:hAnsi="Times New Roman" w:cs="Times New Roman"/>
            </w:rPr>
            <w:fldChar w:fldCharType="separate"/>
          </w:r>
          <w:r w:rsidR="00A10468" w:rsidRPr="00A10468">
            <w:rPr>
              <w:rFonts w:ascii="Times New Roman" w:hAnsi="Times New Roman" w:cs="Times New Roman"/>
              <w:noProof/>
            </w:rPr>
            <w:t>(2015)</w:t>
          </w:r>
          <w:r w:rsidR="000B1D19">
            <w:rPr>
              <w:rFonts w:ascii="Times New Roman" w:hAnsi="Times New Roman" w:cs="Times New Roman"/>
            </w:rPr>
            <w:fldChar w:fldCharType="end"/>
          </w:r>
        </w:sdtContent>
      </w:sdt>
      <w:r w:rsidR="000B1D19" w:rsidRPr="003C6DFC">
        <w:rPr>
          <w:rFonts w:ascii="Times New Roman" w:hAnsi="Times New Roman" w:cs="Times New Roman"/>
        </w:rPr>
        <w:t xml:space="preserve"> </w:t>
      </w:r>
      <w:r w:rsidRPr="003C6DFC">
        <w:rPr>
          <w:rFonts w:ascii="Times New Roman" w:hAnsi="Times New Roman" w:cs="Times New Roman"/>
        </w:rPr>
        <w:t xml:space="preserve">constructed one of the most focused definitions of promise programs. </w:t>
      </w:r>
      <w:r w:rsidR="00AA39B7">
        <w:rPr>
          <w:rFonts w:ascii="Times New Roman" w:hAnsi="Times New Roman" w:cs="Times New Roman"/>
        </w:rPr>
        <w:t xml:space="preserve">The </w:t>
      </w:r>
      <w:r w:rsidRPr="003C6DFC">
        <w:rPr>
          <w:rFonts w:ascii="Times New Roman" w:hAnsi="Times New Roman" w:cs="Times New Roman"/>
        </w:rPr>
        <w:t xml:space="preserve">Miller-Adams definition </w:t>
      </w:r>
      <w:r w:rsidRPr="003C6DFC">
        <w:rPr>
          <w:rFonts w:ascii="Times New Roman" w:hAnsi="Times New Roman" w:cs="Times New Roman"/>
        </w:rPr>
        <w:lastRenderedPageBreak/>
        <w:t>included three major prongs</w:t>
      </w:r>
      <w:r w:rsidR="009B0ABE">
        <w:rPr>
          <w:rFonts w:ascii="Times New Roman" w:hAnsi="Times New Roman" w:cs="Times New Roman"/>
        </w:rPr>
        <w:t>. This definition states that promise programs</w:t>
      </w:r>
      <w:r w:rsidRPr="003C6DFC">
        <w:rPr>
          <w:rFonts w:ascii="Times New Roman" w:hAnsi="Times New Roman" w:cs="Times New Roman"/>
        </w:rPr>
        <w:t xml:space="preserve"> attempt to increase postsecondary access, build a college-going culture, and focus on local community and economic development</w:t>
      </w:r>
      <w:sdt>
        <w:sdtPr>
          <w:rPr>
            <w:rFonts w:ascii="Times New Roman" w:hAnsi="Times New Roman" w:cs="Times New Roman"/>
          </w:rPr>
          <w:id w:val="391473476"/>
          <w:citation/>
        </w:sdtPr>
        <w:sdtContent>
          <w:r w:rsidR="000B1D19">
            <w:rPr>
              <w:rFonts w:ascii="Times New Roman" w:hAnsi="Times New Roman" w:cs="Times New Roman"/>
            </w:rPr>
            <w:fldChar w:fldCharType="begin"/>
          </w:r>
          <w:r w:rsidR="000B1D19">
            <w:rPr>
              <w:rFonts w:ascii="Times New Roman" w:hAnsi="Times New Roman" w:cs="Times New Roman"/>
            </w:rPr>
            <w:instrText xml:space="preserve">CITATION Par18 \t  \l 1033 </w:instrText>
          </w:r>
          <w:r w:rsidR="000B1D19">
            <w:rPr>
              <w:rFonts w:ascii="Times New Roman" w:hAnsi="Times New Roman" w:cs="Times New Roman"/>
            </w:rPr>
            <w:fldChar w:fldCharType="separate"/>
          </w:r>
          <w:r w:rsidR="00A10468">
            <w:rPr>
              <w:rFonts w:ascii="Times New Roman" w:hAnsi="Times New Roman" w:cs="Times New Roman"/>
              <w:noProof/>
            </w:rPr>
            <w:t xml:space="preserve"> </w:t>
          </w:r>
          <w:r w:rsidR="00A10468" w:rsidRPr="00A10468">
            <w:rPr>
              <w:rFonts w:ascii="Times New Roman" w:hAnsi="Times New Roman" w:cs="Times New Roman"/>
              <w:noProof/>
            </w:rPr>
            <w:t>(Miller-Adams, 2015)</w:t>
          </w:r>
          <w:r w:rsidR="000B1D19">
            <w:rPr>
              <w:rFonts w:ascii="Times New Roman" w:hAnsi="Times New Roman" w:cs="Times New Roman"/>
            </w:rPr>
            <w:fldChar w:fldCharType="end"/>
          </w:r>
        </w:sdtContent>
      </w:sdt>
      <w:r w:rsidRPr="003C6DFC">
        <w:rPr>
          <w:rFonts w:ascii="Times New Roman" w:hAnsi="Times New Roman" w:cs="Times New Roman"/>
        </w:rPr>
        <w:t xml:space="preserve">. Because of the focus on the local community, Miller-Adams may have excluded existing programs that serve larger areas such as entire states. While the reason for Miller-Adams, a leading scholar on promise programs, identified the Kalamazoo Promise as the first promise program may be due to specific technicalities in program design, the moniker of promise program has gained popularity and is now used beyond Miller-Adam’s narrow definition. </w:t>
      </w:r>
    </w:p>
    <w:p w14:paraId="0813F237" w14:textId="00F562DA"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As of 2022, College Promise </w:t>
      </w:r>
      <w:sdt>
        <w:sdtPr>
          <w:rPr>
            <w:rFonts w:ascii="Times New Roman" w:hAnsi="Times New Roman" w:cs="Times New Roman"/>
          </w:rPr>
          <w:id w:val="1672910830"/>
          <w:citation/>
        </w:sdtPr>
        <w:sdtContent>
          <w:r w:rsidR="000B1D19">
            <w:rPr>
              <w:rFonts w:ascii="Times New Roman" w:hAnsi="Times New Roman" w:cs="Times New Roman"/>
            </w:rPr>
            <w:fldChar w:fldCharType="begin"/>
          </w:r>
          <w:r w:rsidR="000B1D19">
            <w:rPr>
              <w:rFonts w:ascii="Times New Roman" w:hAnsi="Times New Roman" w:cs="Times New Roman"/>
            </w:rPr>
            <w:instrText xml:space="preserve">CITATION Colnd \n  \t  \l 1033 </w:instrText>
          </w:r>
          <w:r w:rsidR="000B1D19">
            <w:rPr>
              <w:rFonts w:ascii="Times New Roman" w:hAnsi="Times New Roman" w:cs="Times New Roman"/>
            </w:rPr>
            <w:fldChar w:fldCharType="separate"/>
          </w:r>
          <w:r w:rsidR="00A10468" w:rsidRPr="00A10468">
            <w:rPr>
              <w:rFonts w:ascii="Times New Roman" w:hAnsi="Times New Roman" w:cs="Times New Roman"/>
              <w:noProof/>
            </w:rPr>
            <w:t>(n.d.)</w:t>
          </w:r>
          <w:r w:rsidR="000B1D19">
            <w:rPr>
              <w:rFonts w:ascii="Times New Roman" w:hAnsi="Times New Roman" w:cs="Times New Roman"/>
            </w:rPr>
            <w:fldChar w:fldCharType="end"/>
          </w:r>
        </w:sdtContent>
      </w:sdt>
      <w:r w:rsidR="000B1D19">
        <w:rPr>
          <w:rFonts w:ascii="Times New Roman" w:hAnsi="Times New Roman" w:cs="Times New Roman"/>
        </w:rPr>
        <w:t xml:space="preserve"> </w:t>
      </w:r>
      <w:r w:rsidRPr="003C6DFC">
        <w:rPr>
          <w:rFonts w:ascii="Times New Roman" w:hAnsi="Times New Roman" w:cs="Times New Roman"/>
        </w:rPr>
        <w:t>inventoried 441 operating promise programs in the United States</w:t>
      </w:r>
      <w:r w:rsidR="00EF4621">
        <w:rPr>
          <w:rFonts w:ascii="Times New Roman" w:hAnsi="Times New Roman" w:cs="Times New Roman"/>
        </w:rPr>
        <w:t>. T</w:t>
      </w:r>
      <w:r w:rsidRPr="003C6DFC">
        <w:rPr>
          <w:rFonts w:ascii="Times New Roman" w:hAnsi="Times New Roman" w:cs="Times New Roman"/>
        </w:rPr>
        <w:t>he popularity of the promise naming convention following the initial excitement of the Kalamazoo Promise may have contributed to th</w:t>
      </w:r>
      <w:r w:rsidR="00EF4621">
        <w:rPr>
          <w:rFonts w:ascii="Times New Roman" w:hAnsi="Times New Roman" w:cs="Times New Roman"/>
        </w:rPr>
        <w:t>is</w:t>
      </w:r>
      <w:r w:rsidRPr="003C6DFC">
        <w:rPr>
          <w:rFonts w:ascii="Times New Roman" w:hAnsi="Times New Roman" w:cs="Times New Roman"/>
        </w:rPr>
        <w:t xml:space="preserve"> expansion</w:t>
      </w:r>
      <w:r w:rsidR="00EF4621">
        <w:rPr>
          <w:rFonts w:ascii="Times New Roman" w:hAnsi="Times New Roman" w:cs="Times New Roman"/>
        </w:rPr>
        <w:t>. Because these programs are operated by variety of stakeholders</w:t>
      </w:r>
      <w:r w:rsidRPr="003C6DFC">
        <w:rPr>
          <w:rFonts w:ascii="Times New Roman" w:hAnsi="Times New Roman" w:cs="Times New Roman"/>
        </w:rPr>
        <w:t xml:space="preserve"> </w:t>
      </w:r>
      <w:r w:rsidR="00EF4621">
        <w:rPr>
          <w:rFonts w:ascii="Times New Roman" w:hAnsi="Times New Roman" w:cs="Times New Roman"/>
        </w:rPr>
        <w:t xml:space="preserve">the </w:t>
      </w:r>
      <w:r w:rsidRPr="003C6DFC">
        <w:rPr>
          <w:rFonts w:ascii="Times New Roman" w:hAnsi="Times New Roman" w:cs="Times New Roman"/>
        </w:rPr>
        <w:t>promise program</w:t>
      </w:r>
      <w:r w:rsidR="00EF4621">
        <w:rPr>
          <w:rFonts w:ascii="Times New Roman" w:hAnsi="Times New Roman" w:cs="Times New Roman"/>
        </w:rPr>
        <w:t xml:space="preserve"> moniker has come</w:t>
      </w:r>
      <w:r w:rsidRPr="003C6DFC">
        <w:rPr>
          <w:rFonts w:ascii="Times New Roman" w:hAnsi="Times New Roman" w:cs="Times New Roman"/>
        </w:rPr>
        <w:t xml:space="preserve"> to refer to a large range of programs that my not fit solidly under Miller-Adam</w:t>
      </w:r>
      <w:r w:rsidR="00A56F55">
        <w:rPr>
          <w:rFonts w:ascii="Times New Roman" w:hAnsi="Times New Roman" w:cs="Times New Roman"/>
        </w:rPr>
        <w:t>s</w:t>
      </w:r>
      <w:r w:rsidRPr="003C6DFC">
        <w:rPr>
          <w:rFonts w:ascii="Times New Roman" w:hAnsi="Times New Roman" w:cs="Times New Roman"/>
        </w:rPr>
        <w:t>’</w:t>
      </w:r>
      <w:r w:rsidR="000B1D19">
        <w:rPr>
          <w:rFonts w:ascii="Times New Roman" w:hAnsi="Times New Roman" w:cs="Times New Roman"/>
        </w:rPr>
        <w:t xml:space="preserve">s </w:t>
      </w:r>
      <w:sdt>
        <w:sdtPr>
          <w:rPr>
            <w:rFonts w:ascii="Times New Roman" w:hAnsi="Times New Roman" w:cs="Times New Roman"/>
          </w:rPr>
          <w:id w:val="538710845"/>
          <w:citation/>
        </w:sdtPr>
        <w:sdtContent>
          <w:r w:rsidR="000B1D19">
            <w:rPr>
              <w:rFonts w:ascii="Times New Roman" w:hAnsi="Times New Roman" w:cs="Times New Roman"/>
            </w:rPr>
            <w:fldChar w:fldCharType="begin"/>
          </w:r>
          <w:r w:rsidR="000B1D19">
            <w:rPr>
              <w:rFonts w:ascii="Times New Roman" w:hAnsi="Times New Roman" w:cs="Times New Roman"/>
            </w:rPr>
            <w:instrText xml:space="preserve">CITATION Par18 \n  \t  \l 1033 </w:instrText>
          </w:r>
          <w:r w:rsidR="000B1D19">
            <w:rPr>
              <w:rFonts w:ascii="Times New Roman" w:hAnsi="Times New Roman" w:cs="Times New Roman"/>
            </w:rPr>
            <w:fldChar w:fldCharType="separate"/>
          </w:r>
          <w:r w:rsidR="00A10468" w:rsidRPr="00A10468">
            <w:rPr>
              <w:rFonts w:ascii="Times New Roman" w:hAnsi="Times New Roman" w:cs="Times New Roman"/>
              <w:noProof/>
            </w:rPr>
            <w:t>(2015)</w:t>
          </w:r>
          <w:r w:rsidR="000B1D19">
            <w:rPr>
              <w:rFonts w:ascii="Times New Roman" w:hAnsi="Times New Roman" w:cs="Times New Roman"/>
            </w:rPr>
            <w:fldChar w:fldCharType="end"/>
          </w:r>
        </w:sdtContent>
      </w:sdt>
      <w:r w:rsidRPr="003C6DFC">
        <w:rPr>
          <w:rFonts w:ascii="Times New Roman" w:hAnsi="Times New Roman" w:cs="Times New Roman"/>
        </w:rPr>
        <w:t xml:space="preserve"> definition</w:t>
      </w:r>
      <w:r w:rsidR="00EF4621">
        <w:rPr>
          <w:rFonts w:ascii="Times New Roman" w:hAnsi="Times New Roman" w:cs="Times New Roman"/>
        </w:rPr>
        <w:t>. However, these programs</w:t>
      </w:r>
      <w:r w:rsidRPr="003C6DFC">
        <w:rPr>
          <w:rFonts w:ascii="Times New Roman" w:hAnsi="Times New Roman" w:cs="Times New Roman"/>
        </w:rPr>
        <w:t xml:space="preserve"> are promise-like enough that adding the title of promise helps convey that these scholarships help to provide free college. </w:t>
      </w:r>
    </w:p>
    <w:p w14:paraId="003FEECB" w14:textId="1BE7B2B1" w:rsidR="002E752C" w:rsidRPr="003C6DFC" w:rsidRDefault="00A30433" w:rsidP="00CD45D6">
      <w:pPr>
        <w:spacing w:line="480" w:lineRule="auto"/>
        <w:ind w:firstLine="720"/>
        <w:rPr>
          <w:rFonts w:ascii="Times New Roman" w:hAnsi="Times New Roman" w:cs="Times New Roman"/>
        </w:rPr>
      </w:pPr>
      <w:r>
        <w:rPr>
          <w:rFonts w:ascii="Times New Roman" w:hAnsi="Times New Roman" w:cs="Times New Roman"/>
        </w:rPr>
        <w:t>P</w:t>
      </w:r>
      <w:r w:rsidR="002E752C" w:rsidRPr="003C6DFC">
        <w:rPr>
          <w:rFonts w:ascii="Times New Roman" w:hAnsi="Times New Roman" w:cs="Times New Roman"/>
        </w:rPr>
        <w:t xml:space="preserve">romise programs have been broadly operationalized beyond Miller-Adam’s </w:t>
      </w:r>
      <w:sdt>
        <w:sdtPr>
          <w:rPr>
            <w:rFonts w:ascii="Times New Roman" w:hAnsi="Times New Roman" w:cs="Times New Roman"/>
          </w:rPr>
          <w:id w:val="-797525757"/>
          <w:citation/>
        </w:sdtPr>
        <w:sdtContent>
          <w:r w:rsidR="000B1D19">
            <w:rPr>
              <w:rFonts w:ascii="Times New Roman" w:hAnsi="Times New Roman" w:cs="Times New Roman"/>
            </w:rPr>
            <w:fldChar w:fldCharType="begin"/>
          </w:r>
          <w:r w:rsidR="000B1D19">
            <w:rPr>
              <w:rFonts w:ascii="Times New Roman" w:hAnsi="Times New Roman" w:cs="Times New Roman"/>
            </w:rPr>
            <w:instrText xml:space="preserve">CITATION Par18 \n  \t  \l 1033 </w:instrText>
          </w:r>
          <w:r w:rsidR="000B1D19">
            <w:rPr>
              <w:rFonts w:ascii="Times New Roman" w:hAnsi="Times New Roman" w:cs="Times New Roman"/>
            </w:rPr>
            <w:fldChar w:fldCharType="separate"/>
          </w:r>
          <w:r w:rsidR="00A10468" w:rsidRPr="00A10468">
            <w:rPr>
              <w:rFonts w:ascii="Times New Roman" w:hAnsi="Times New Roman" w:cs="Times New Roman"/>
              <w:noProof/>
            </w:rPr>
            <w:t>(2015)</w:t>
          </w:r>
          <w:r w:rsidR="000B1D19">
            <w:rPr>
              <w:rFonts w:ascii="Times New Roman" w:hAnsi="Times New Roman" w:cs="Times New Roman"/>
            </w:rPr>
            <w:fldChar w:fldCharType="end"/>
          </w:r>
        </w:sdtContent>
      </w:sdt>
      <w:r w:rsidR="000B1D19" w:rsidRPr="003C6DFC">
        <w:rPr>
          <w:rFonts w:ascii="Times New Roman" w:hAnsi="Times New Roman" w:cs="Times New Roman"/>
        </w:rPr>
        <w:t xml:space="preserve"> </w:t>
      </w:r>
      <w:r w:rsidR="002E752C" w:rsidRPr="003C6DFC">
        <w:rPr>
          <w:rFonts w:ascii="Times New Roman" w:hAnsi="Times New Roman" w:cs="Times New Roman"/>
        </w:rPr>
        <w:t xml:space="preserve">definition by institutions, state governments, and lay-people to broadly refer </w:t>
      </w:r>
      <w:r w:rsidR="00EF4621">
        <w:rPr>
          <w:rFonts w:ascii="Times New Roman" w:hAnsi="Times New Roman" w:cs="Times New Roman"/>
        </w:rPr>
        <w:t xml:space="preserve">to </w:t>
      </w:r>
      <w:r w:rsidR="002E752C" w:rsidRPr="003C6DFC">
        <w:rPr>
          <w:rFonts w:ascii="Times New Roman" w:hAnsi="Times New Roman" w:cs="Times New Roman"/>
        </w:rPr>
        <w:t xml:space="preserve">programs that guarantee at least tuition free college to students from a specific geographic area to certain institutions within said area. This broader definition has informed my study as I </w:t>
      </w:r>
      <w:r>
        <w:rPr>
          <w:rFonts w:ascii="Times New Roman" w:hAnsi="Times New Roman" w:cs="Times New Roman"/>
        </w:rPr>
        <w:t>have</w:t>
      </w:r>
      <w:r w:rsidR="00CE73DC">
        <w:rPr>
          <w:rFonts w:ascii="Times New Roman" w:hAnsi="Times New Roman" w:cs="Times New Roman"/>
        </w:rPr>
        <w:t xml:space="preserve"> identified </w:t>
      </w:r>
      <w:r w:rsidR="004A1A20">
        <w:rPr>
          <w:rFonts w:ascii="Times New Roman" w:hAnsi="Times New Roman" w:cs="Times New Roman"/>
        </w:rPr>
        <w:t>CollegePromise</w:t>
      </w:r>
      <w:r w:rsidR="00EF4621">
        <w:rPr>
          <w:rFonts w:ascii="Times New Roman" w:hAnsi="Times New Roman" w:cs="Times New Roman"/>
        </w:rPr>
        <w:t>.org</w:t>
      </w:r>
      <w:r w:rsidR="004A1A20">
        <w:rPr>
          <w:rFonts w:ascii="Times New Roman" w:hAnsi="Times New Roman" w:cs="Times New Roman"/>
        </w:rPr>
        <w:t>’s</w:t>
      </w:r>
      <w:r w:rsidR="00CE73DC">
        <w:rPr>
          <w:rFonts w:ascii="Times New Roman" w:hAnsi="Times New Roman" w:cs="Times New Roman"/>
        </w:rPr>
        <w:t xml:space="preserve"> inventory of programs </w:t>
      </w:r>
      <w:r w:rsidR="002E752C" w:rsidRPr="003C6DFC">
        <w:rPr>
          <w:rFonts w:ascii="Times New Roman" w:hAnsi="Times New Roman" w:cs="Times New Roman"/>
        </w:rPr>
        <w:t xml:space="preserve">as </w:t>
      </w:r>
      <w:r w:rsidR="00645700">
        <w:rPr>
          <w:rFonts w:ascii="Times New Roman" w:hAnsi="Times New Roman" w:cs="Times New Roman"/>
        </w:rPr>
        <w:t xml:space="preserve">the most </w:t>
      </w:r>
      <w:r w:rsidR="00C96C22">
        <w:rPr>
          <w:rFonts w:ascii="Times New Roman" w:hAnsi="Times New Roman" w:cs="Times New Roman"/>
        </w:rPr>
        <w:t>holistic</w:t>
      </w:r>
      <w:r w:rsidR="00645700">
        <w:rPr>
          <w:rFonts w:ascii="Times New Roman" w:hAnsi="Times New Roman" w:cs="Times New Roman"/>
        </w:rPr>
        <w:t xml:space="preserve"> and encompassing of existing programs</w:t>
      </w:r>
      <w:r w:rsidR="002E752C" w:rsidRPr="003C6DFC">
        <w:rPr>
          <w:rFonts w:ascii="Times New Roman" w:hAnsi="Times New Roman" w:cs="Times New Roman"/>
        </w:rPr>
        <w:t xml:space="preserve">. In the coming section of this </w:t>
      </w:r>
      <w:r w:rsidR="002E752C" w:rsidRPr="003C6DFC">
        <w:rPr>
          <w:rFonts w:ascii="Times New Roman" w:hAnsi="Times New Roman" w:cs="Times New Roman"/>
        </w:rPr>
        <w:lastRenderedPageBreak/>
        <w:t xml:space="preserve">literature review, I review </w:t>
      </w:r>
      <w:r w:rsidR="00B12537">
        <w:rPr>
          <w:rFonts w:ascii="Times New Roman" w:hAnsi="Times New Roman" w:cs="Times New Roman"/>
        </w:rPr>
        <w:t>variations</w:t>
      </w:r>
      <w:r w:rsidR="002E752C" w:rsidRPr="003C6DFC">
        <w:rPr>
          <w:rFonts w:ascii="Times New Roman" w:hAnsi="Times New Roman" w:cs="Times New Roman"/>
        </w:rPr>
        <w:t xml:space="preserve"> of promise programs and empirical research on promise programs similarly to how I did in the first half of this review for other forms of financial aid. </w:t>
      </w:r>
    </w:p>
    <w:p w14:paraId="6B37CF95" w14:textId="1FBB4301"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Today, 33 states have similar statewide programs with the non-profit organization, CollegePromise</w:t>
      </w:r>
      <w:r w:rsidR="00EF4621">
        <w:rPr>
          <w:rFonts w:ascii="Times New Roman" w:hAnsi="Times New Roman" w:cs="Times New Roman"/>
        </w:rPr>
        <w:t>.org</w:t>
      </w:r>
      <w:r w:rsidRPr="003C6DFC">
        <w:rPr>
          <w:rFonts w:ascii="Times New Roman" w:hAnsi="Times New Roman" w:cs="Times New Roman"/>
        </w:rPr>
        <w:t xml:space="preserve"> identifying at least 441 </w:t>
      </w:r>
      <w:r w:rsidR="00EF4621">
        <w:rPr>
          <w:rFonts w:ascii="Times New Roman" w:hAnsi="Times New Roman" w:cs="Times New Roman"/>
        </w:rPr>
        <w:t>free college</w:t>
      </w:r>
      <w:r w:rsidRPr="003C6DFC">
        <w:rPr>
          <w:rFonts w:ascii="Times New Roman" w:hAnsi="Times New Roman" w:cs="Times New Roman"/>
        </w:rPr>
        <w:t xml:space="preserve"> programs across all 50 states in existence as of 2022, just 17 years after the start of the Kalamazoo Promise. As of fall 2023, CollegePromise</w:t>
      </w:r>
      <w:r w:rsidR="00EF4621">
        <w:rPr>
          <w:rFonts w:ascii="Times New Roman" w:hAnsi="Times New Roman" w:cs="Times New Roman"/>
        </w:rPr>
        <w:t>.org</w:t>
      </w:r>
      <w:r w:rsidRPr="003C6DFC">
        <w:rPr>
          <w:rFonts w:ascii="Times New Roman" w:hAnsi="Times New Roman" w:cs="Times New Roman"/>
        </w:rPr>
        <w:t xml:space="preserve"> </w:t>
      </w:r>
      <w:sdt>
        <w:sdtPr>
          <w:rPr>
            <w:rFonts w:ascii="Times New Roman" w:hAnsi="Times New Roman" w:cs="Times New Roman"/>
          </w:rPr>
          <w:id w:val="-111660635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Colnd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(n.d.)</w:t>
          </w:r>
          <w:r w:rsidRPr="003C6DFC">
            <w:rPr>
              <w:rFonts w:ascii="Times New Roman" w:hAnsi="Times New Roman" w:cs="Times New Roman"/>
            </w:rPr>
            <w:fldChar w:fldCharType="end"/>
          </w:r>
        </w:sdtContent>
      </w:sdt>
      <w:r w:rsidRPr="003C6DFC">
        <w:rPr>
          <w:rFonts w:ascii="Times New Roman" w:hAnsi="Times New Roman" w:cs="Times New Roman"/>
        </w:rPr>
        <w:t xml:space="preserve"> provided an inventory of college promise programs of which 309 are locally offered programs and 132 are classified as statewide programs. These 132 statewide programs encompass state ran programs and include privately funded and public-private partnership programs. </w:t>
      </w:r>
      <w:r w:rsidR="001F61CC">
        <w:rPr>
          <w:rFonts w:ascii="Times New Roman" w:hAnsi="Times New Roman" w:cs="Times New Roman"/>
        </w:rPr>
        <w:t>The</w:t>
      </w:r>
      <w:r w:rsidRPr="003C6DFC">
        <w:rPr>
          <w:rFonts w:ascii="Times New Roman" w:hAnsi="Times New Roman" w:cs="Times New Roman"/>
        </w:rPr>
        <w:t xml:space="preserve"> 309 locally focused programs have service areas as large as several municipalities and as small as a specific selection of local high schools. These 309 locally focused programs also include institutional promise programs only offered at a single university or university system</w:t>
      </w:r>
      <w:r w:rsidR="00645700">
        <w:rPr>
          <w:rFonts w:ascii="Times New Roman" w:hAnsi="Times New Roman" w:cs="Times New Roman"/>
        </w:rPr>
        <w:t>.</w:t>
      </w:r>
      <w:r w:rsidRPr="003C6DFC">
        <w:rPr>
          <w:rFonts w:ascii="Times New Roman" w:hAnsi="Times New Roman" w:cs="Times New Roman"/>
        </w:rPr>
        <w:t xml:space="preserve"> While specific criteria for the financial award offered and eligibility criteria vary greatly, these programs oftentimes borrow the word “</w:t>
      </w:r>
      <w:r w:rsidR="00EF4621">
        <w:rPr>
          <w:rFonts w:ascii="Times New Roman" w:hAnsi="Times New Roman" w:cs="Times New Roman"/>
        </w:rPr>
        <w:t>p</w:t>
      </w:r>
      <w:r w:rsidRPr="003C6DFC">
        <w:rPr>
          <w:rFonts w:ascii="Times New Roman" w:hAnsi="Times New Roman" w:cs="Times New Roman"/>
        </w:rPr>
        <w:t xml:space="preserve">romise” from the original Kalamazoo Promise. Thus, this broad category of aid has come to colloquially be referred to as college promise programs. </w:t>
      </w:r>
    </w:p>
    <w:p w14:paraId="57238096" w14:textId="77F05C6B" w:rsidR="002E752C" w:rsidRPr="003C6DFC" w:rsidRDefault="002E752C" w:rsidP="00CD45D6">
      <w:pPr>
        <w:pStyle w:val="Heading3"/>
        <w:spacing w:before="0" w:after="0"/>
      </w:pPr>
      <w:bookmarkStart w:id="30" w:name="_Toc183282264"/>
      <w:r w:rsidRPr="003C6DFC">
        <w:t xml:space="preserve">Promise Programs Compared </w:t>
      </w:r>
      <w:r w:rsidR="00D46969" w:rsidRPr="003C6DFC">
        <w:t>to</w:t>
      </w:r>
      <w:r w:rsidRPr="003C6DFC">
        <w:t xml:space="preserve"> Other Aid Types</w:t>
      </w:r>
      <w:bookmarkEnd w:id="30"/>
    </w:p>
    <w:p w14:paraId="0808E545" w14:textId="642E700E"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As an in-kind award that does not have to be repaid, it is clear that promise programs fundamentally differ from loans. However, distinctions between merit-aid and </w:t>
      </w:r>
      <w:r w:rsidR="009A13AB">
        <w:rPr>
          <w:rFonts w:ascii="Times New Roman" w:hAnsi="Times New Roman" w:cs="Times New Roman"/>
        </w:rPr>
        <w:t>need-based</w:t>
      </w:r>
      <w:r w:rsidRPr="003C6DFC">
        <w:rPr>
          <w:rFonts w:ascii="Times New Roman" w:hAnsi="Times New Roman" w:cs="Times New Roman"/>
        </w:rPr>
        <w:t xml:space="preserve">-aid are less clear especially when one considers the place-based nature of promise programs where place-based refers to the geographic conditions that must be met </w:t>
      </w:r>
      <w:r w:rsidRPr="003C6DFC">
        <w:rPr>
          <w:rFonts w:ascii="Times New Roman" w:hAnsi="Times New Roman" w:cs="Times New Roman"/>
        </w:rPr>
        <w:lastRenderedPageBreak/>
        <w:t xml:space="preserve">in order to be eligible for a promise program. For example, state-merit aid programs are often place-based. The Tennessee HOPE and Georgia HOPE scholarships both require a student have attended high school in the state for a certain length of time prior to graduation to be eligible for the scholarship. If a student does not meet that criterion, then they are not eligible for the scholarship even if they may meet the academic requirements for the merit aid program. </w:t>
      </w:r>
    </w:p>
    <w:p w14:paraId="58503552" w14:textId="0054878B"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However, the academic requirements to receive place-based merit-aid are also the features that result in these scholarships being established as a separate type of scholarship as compared to promise programs. As Miller-Adams identified, promise programs are focused on increasing high school completion and contributing to economic development in an area by removing financial barriers to accessing postsecondary training and education. While merit-based programs may also claim to do this, their initial requirements may discourage and/or inhibit students from making progress toward achieving these awards. Thus, these criteria may result in a particular distribution of awards that favors students from families with more access to academic </w:t>
      </w:r>
      <w:r w:rsidR="00EF4621">
        <w:rPr>
          <w:rFonts w:ascii="Times New Roman" w:hAnsi="Times New Roman" w:cs="Times New Roman"/>
        </w:rPr>
        <w:t xml:space="preserve">and financial </w:t>
      </w:r>
      <w:r w:rsidRPr="003C6DFC">
        <w:rPr>
          <w:rFonts w:ascii="Times New Roman" w:hAnsi="Times New Roman" w:cs="Times New Roman"/>
        </w:rPr>
        <w:t xml:space="preserve">resources. </w:t>
      </w:r>
    </w:p>
    <w:p w14:paraId="181A7FE8" w14:textId="5BE7FDF9"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Of these three major financial aid types, it is more difficult to establish promise programs as a separate entity from grant programs. After all, one might pithily suggest that if the Pell grant is limited to residents of the United States and does not have a merit component that it could be considered a Promise program of sorts. However, it is important to know that no students are promised a Pell grant before they apply or enroll in college and complete the FAFSA. Rather, students must apply for financial aid and </w:t>
      </w:r>
      <w:r w:rsidRPr="003C6DFC">
        <w:rPr>
          <w:rFonts w:ascii="Times New Roman" w:hAnsi="Times New Roman" w:cs="Times New Roman"/>
        </w:rPr>
        <w:lastRenderedPageBreak/>
        <w:t xml:space="preserve">have their family’s assets be entered into a formula that determines eligibility for the Pell grant. Here, the major difference between a promise program and programs </w:t>
      </w:r>
      <w:r w:rsidR="00FC60E2">
        <w:rPr>
          <w:rFonts w:ascii="Times New Roman" w:hAnsi="Times New Roman" w:cs="Times New Roman"/>
        </w:rPr>
        <w:t xml:space="preserve">like the Pell grant </w:t>
      </w:r>
      <w:r w:rsidRPr="003C6DFC">
        <w:rPr>
          <w:rFonts w:ascii="Times New Roman" w:hAnsi="Times New Roman" w:cs="Times New Roman"/>
        </w:rPr>
        <w:t>is that there is no guarantee when a student applies to the FAFSA that they will be awarded a Pell grant or another grant when they apply for state or institutional aid.</w:t>
      </w:r>
    </w:p>
    <w:p w14:paraId="4BA99716" w14:textId="0880B651"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For example, before a student applies to FAFSA they might have the information necessary to use the program’s official estimate calculator for federal student aid. This tool is useful as it helps students determine their Student Aid Index (or formerly their Expected Family Contribution) and see what aid they may be eligible for, but this is not a guaranteed award for the student. Meanwhile, a promise program clearly lays out its requirements and guarantees the award when those criteria are meet. When a student applies for the promise program there is not a question of whether the student will receive the funds or how much funding they will receive from the program if </w:t>
      </w:r>
      <w:r w:rsidR="00EF4621">
        <w:rPr>
          <w:rFonts w:ascii="Times New Roman" w:hAnsi="Times New Roman" w:cs="Times New Roman"/>
        </w:rPr>
        <w:t xml:space="preserve">the </w:t>
      </w:r>
      <w:r w:rsidR="00A0283F">
        <w:rPr>
          <w:rFonts w:ascii="Times New Roman" w:hAnsi="Times New Roman" w:cs="Times New Roman"/>
        </w:rPr>
        <w:t>student knows they</w:t>
      </w:r>
      <w:r w:rsidRPr="003C6DFC">
        <w:rPr>
          <w:rFonts w:ascii="Times New Roman" w:hAnsi="Times New Roman" w:cs="Times New Roman"/>
        </w:rPr>
        <w:t xml:space="preserve"> meet the criteria</w:t>
      </w:r>
      <w:r w:rsidR="00671440">
        <w:rPr>
          <w:rFonts w:ascii="Times New Roman" w:hAnsi="Times New Roman" w:cs="Times New Roman"/>
        </w:rPr>
        <w:t xml:space="preserve"> beforehand</w:t>
      </w:r>
      <w:r w:rsidRPr="003C6DFC">
        <w:rPr>
          <w:rFonts w:ascii="Times New Roman" w:hAnsi="Times New Roman" w:cs="Times New Roman"/>
        </w:rPr>
        <w:t xml:space="preserve">. </w:t>
      </w:r>
    </w:p>
    <w:p w14:paraId="4415FC7C" w14:textId="21D424A3"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Miller-Adams attributed an early commitment of funds to prospective</w:t>
      </w:r>
      <w:r w:rsidR="00332DA4">
        <w:rPr>
          <w:rFonts w:ascii="Times New Roman" w:hAnsi="Times New Roman" w:cs="Times New Roman"/>
        </w:rPr>
        <w:t xml:space="preserve"> students</w:t>
      </w:r>
      <w:r w:rsidRPr="003C6DFC">
        <w:rPr>
          <w:rFonts w:ascii="Times New Roman" w:hAnsi="Times New Roman" w:cs="Times New Roman"/>
        </w:rPr>
        <w:t xml:space="preserve"> as a key feature of promise programs. An excellent example in practice of this early commitment from an institution can be observed in the University of Michigan’s High Achieving Involved Leader (HAIL) scholarship. Launched in 2015, this scholarship was intwined with an evaluation of the effects of providing students with</w:t>
      </w:r>
      <w:r w:rsidR="00EF4621">
        <w:rPr>
          <w:rFonts w:ascii="Times New Roman" w:hAnsi="Times New Roman" w:cs="Times New Roman"/>
        </w:rPr>
        <w:t xml:space="preserve"> highly publicized,</w:t>
      </w:r>
      <w:r w:rsidRPr="003C6DFC">
        <w:rPr>
          <w:rFonts w:ascii="Times New Roman" w:hAnsi="Times New Roman" w:cs="Times New Roman"/>
        </w:rPr>
        <w:t xml:space="preserve"> </w:t>
      </w:r>
      <w:r w:rsidR="003F64DA">
        <w:rPr>
          <w:rFonts w:ascii="Times New Roman" w:hAnsi="Times New Roman" w:cs="Times New Roman"/>
        </w:rPr>
        <w:t xml:space="preserve">clear communication </w:t>
      </w:r>
      <w:r w:rsidR="00AE535A">
        <w:rPr>
          <w:rFonts w:ascii="Times New Roman" w:hAnsi="Times New Roman" w:cs="Times New Roman"/>
        </w:rPr>
        <w:t xml:space="preserve">of </w:t>
      </w:r>
      <w:r w:rsidRPr="003C6DFC">
        <w:rPr>
          <w:rFonts w:ascii="Times New Roman" w:hAnsi="Times New Roman" w:cs="Times New Roman"/>
        </w:rPr>
        <w:t>an early commitment of funds</w:t>
      </w:r>
      <w:r w:rsidR="00EF4621">
        <w:rPr>
          <w:rFonts w:ascii="Times New Roman" w:hAnsi="Times New Roman" w:cs="Times New Roman"/>
        </w:rPr>
        <w:t>,</w:t>
      </w:r>
      <w:r w:rsidRPr="003C6DFC">
        <w:rPr>
          <w:rFonts w:ascii="Times New Roman" w:hAnsi="Times New Roman" w:cs="Times New Roman"/>
        </w:rPr>
        <w:t xml:space="preserve"> </w:t>
      </w:r>
      <w:r w:rsidR="00EF4621">
        <w:rPr>
          <w:rFonts w:ascii="Times New Roman" w:hAnsi="Times New Roman" w:cs="Times New Roman"/>
        </w:rPr>
        <w:t>and the</w:t>
      </w:r>
      <w:r w:rsidRPr="003C6DFC">
        <w:rPr>
          <w:rFonts w:ascii="Times New Roman" w:hAnsi="Times New Roman" w:cs="Times New Roman"/>
        </w:rPr>
        <w:t xml:space="preserve"> results for the program were significantly positive </w:t>
      </w:r>
      <w:sdt>
        <w:sdtPr>
          <w:rPr>
            <w:rFonts w:ascii="Times New Roman" w:hAnsi="Times New Roman" w:cs="Times New Roman"/>
          </w:rPr>
          <w:id w:val="-118752638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Bau21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(Baum, et al., 2021)</w:t>
          </w:r>
          <w:r w:rsidRPr="003C6DFC">
            <w:rPr>
              <w:rFonts w:ascii="Times New Roman" w:hAnsi="Times New Roman" w:cs="Times New Roman"/>
            </w:rPr>
            <w:fldChar w:fldCharType="end"/>
          </w:r>
        </w:sdtContent>
      </w:sdt>
      <w:r w:rsidRPr="003C6DFC">
        <w:rPr>
          <w:rFonts w:ascii="Times New Roman" w:hAnsi="Times New Roman" w:cs="Times New Roman"/>
        </w:rPr>
        <w:t xml:space="preserve">. </w:t>
      </w:r>
      <w:r w:rsidR="00A34FE0" w:rsidRPr="00A34FE0">
        <w:rPr>
          <w:rFonts w:ascii="Times New Roman" w:hAnsi="Times New Roman" w:cs="Times New Roman"/>
        </w:rPr>
        <w:t xml:space="preserve">Dynarski </w:t>
      </w:r>
      <w:r w:rsidRPr="003C6DFC">
        <w:rPr>
          <w:rFonts w:ascii="Times New Roman" w:hAnsi="Times New Roman" w:cs="Times New Roman"/>
        </w:rPr>
        <w:t xml:space="preserve">et al. </w:t>
      </w:r>
      <w:sdt>
        <w:sdtPr>
          <w:rPr>
            <w:rFonts w:ascii="Times New Roman" w:hAnsi="Times New Roman" w:cs="Times New Roman"/>
          </w:rPr>
          <w:id w:val="-64667147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Dyn21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found that the promise of funds from the HAIL scholarship resulted in an initial increase of 8 percentage points on number of applicants, 2.8 percentage points of more admissions, </w:t>
      </w:r>
      <w:r w:rsidRPr="003C6DFC">
        <w:rPr>
          <w:rFonts w:ascii="Times New Roman" w:hAnsi="Times New Roman" w:cs="Times New Roman"/>
        </w:rPr>
        <w:lastRenderedPageBreak/>
        <w:t xml:space="preserve">and 2.7 percentage points of more enrollments from the scholarship’s target population of students from Michigan families earning less than </w:t>
      </w:r>
      <w:r w:rsidR="00E3487D">
        <w:rPr>
          <w:rFonts w:ascii="Times New Roman" w:hAnsi="Times New Roman" w:cs="Times New Roman"/>
        </w:rPr>
        <w:t>$65,000.</w:t>
      </w:r>
    </w:p>
    <w:p w14:paraId="47867C00" w14:textId="77777777" w:rsidR="002E752C" w:rsidRPr="0064253D" w:rsidRDefault="002E752C" w:rsidP="00CD45D6">
      <w:pPr>
        <w:spacing w:line="480" w:lineRule="auto"/>
        <w:rPr>
          <w:rFonts w:ascii="Times New Roman" w:hAnsi="Times New Roman" w:cs="Times New Roman"/>
          <w:b/>
          <w:i/>
        </w:rPr>
      </w:pPr>
      <w:r w:rsidRPr="0064253D">
        <w:rPr>
          <w:rFonts w:ascii="Times New Roman" w:hAnsi="Times New Roman" w:cs="Times New Roman"/>
          <w:b/>
          <w:i/>
        </w:rPr>
        <w:t xml:space="preserve">Types of Promise Programs </w:t>
      </w:r>
    </w:p>
    <w:p w14:paraId="0D4FE432" w14:textId="163B09E0"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With over 400 programs currently identified under CollegePromise</w:t>
      </w:r>
      <w:r w:rsidR="00EF4621">
        <w:rPr>
          <w:rFonts w:ascii="Times New Roman" w:hAnsi="Times New Roman" w:cs="Times New Roman"/>
        </w:rPr>
        <w:t>,org</w:t>
      </w:r>
      <w:r w:rsidRPr="003C6DFC">
        <w:rPr>
          <w:rFonts w:ascii="Times New Roman" w:hAnsi="Times New Roman" w:cs="Times New Roman"/>
        </w:rPr>
        <w:t xml:space="preserve">’s broad definition, variations between these programs have naturally emerged to reflect the ideals and wants of local stakeholders served by their promise programs </w:t>
      </w:r>
      <w:sdt>
        <w:sdtPr>
          <w:rPr>
            <w:rFonts w:ascii="Times New Roman" w:hAnsi="Times New Roman" w:cs="Times New Roman"/>
          </w:rPr>
          <w:id w:val="-54822584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Bil18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(Billings, 2018)</w:t>
          </w:r>
          <w:r w:rsidRPr="003C6DFC">
            <w:rPr>
              <w:rFonts w:ascii="Times New Roman" w:hAnsi="Times New Roman" w:cs="Times New Roman"/>
            </w:rPr>
            <w:fldChar w:fldCharType="end"/>
          </w:r>
        </w:sdtContent>
      </w:sdt>
      <w:r w:rsidRPr="003C6DFC">
        <w:rPr>
          <w:rFonts w:ascii="Times New Roman" w:hAnsi="Times New Roman" w:cs="Times New Roman"/>
        </w:rPr>
        <w:t>. For empirical evidence of program variation please</w:t>
      </w:r>
      <w:r w:rsidR="0014572A">
        <w:rPr>
          <w:rFonts w:ascii="Times New Roman" w:hAnsi="Times New Roman" w:cs="Times New Roman"/>
        </w:rPr>
        <w:t xml:space="preserve"> see</w:t>
      </w:r>
      <w:r w:rsidRPr="003C6DFC">
        <w:rPr>
          <w:rFonts w:ascii="Times New Roman" w:hAnsi="Times New Roman" w:cs="Times New Roman"/>
        </w:rPr>
        <w:t xml:space="preserve"> Perna et al.’s </w:t>
      </w:r>
      <w:sdt>
        <w:sdtPr>
          <w:rPr>
            <w:rFonts w:ascii="Times New Roman" w:hAnsi="Times New Roman" w:cs="Times New Roman"/>
          </w:rPr>
          <w:id w:val="-185434206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Per17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(2017)</w:t>
          </w:r>
          <w:r w:rsidRPr="003C6DFC">
            <w:rPr>
              <w:rFonts w:ascii="Times New Roman" w:hAnsi="Times New Roman" w:cs="Times New Roman"/>
            </w:rPr>
            <w:fldChar w:fldCharType="end"/>
          </w:r>
        </w:sdtContent>
      </w:sdt>
      <w:r w:rsidRPr="003C6DFC">
        <w:rPr>
          <w:rFonts w:ascii="Times New Roman" w:hAnsi="Times New Roman" w:cs="Times New Roman"/>
        </w:rPr>
        <w:t xml:space="preserve"> typology study of promise programs. Perna et al.’s study provides an overview of promise program variation that remains useful in understanding the ways in which promise programs may vary from one another. This typology has provided a strong framework for understanding and organizing promise programs that remains useful to researchers and policy makers. </w:t>
      </w:r>
    </w:p>
    <w:p w14:paraId="7A9BA416" w14:textId="23BACF16"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Most </w:t>
      </w:r>
      <w:r w:rsidRPr="003C6DFC">
        <w:rPr>
          <w:rFonts w:ascii="Times New Roman" w:hAnsi="Times New Roman" w:cs="Times New Roman"/>
          <w:color w:val="000000"/>
          <w:shd w:val="clear" w:color="auto" w:fill="FFFFFF"/>
        </w:rPr>
        <w:t>succinctly</w:t>
      </w:r>
      <w:r w:rsidRPr="003C6DFC">
        <w:rPr>
          <w:rFonts w:ascii="Times New Roman" w:hAnsi="Times New Roman" w:cs="Times New Roman"/>
        </w:rPr>
        <w:t xml:space="preserve">, promise programs vary in who they serve geographically and where their students are able to attend given the generosity of their awards. These variations between programs are important to identify as they introduce challenges to over-arching national level research on promise programs and have contributed to research projects that largely study one promise program at a time. Because of this, research is limited to institution-level analysis of student-level behaviors and outcomes which can be appropriate for examining for effect on institutions but introduces difficulty with examining student-level outcomes between program types </w:t>
      </w:r>
      <w:sdt>
        <w:sdtPr>
          <w:rPr>
            <w:rFonts w:ascii="Times New Roman" w:hAnsi="Times New Roman" w:cs="Times New Roman"/>
          </w:rPr>
          <w:id w:val="526998211"/>
          <w:citation/>
        </w:sdtPr>
        <w:sdtContent>
          <w:r w:rsidR="000B1D19">
            <w:rPr>
              <w:rFonts w:ascii="Times New Roman" w:hAnsi="Times New Roman" w:cs="Times New Roman"/>
            </w:rPr>
            <w:fldChar w:fldCharType="begin"/>
          </w:r>
          <w:r w:rsidR="000B1D19">
            <w:rPr>
              <w:rFonts w:ascii="Times New Roman" w:hAnsi="Times New Roman" w:cs="Times New Roman"/>
            </w:rPr>
            <w:instrText xml:space="preserve"> CITATION Gan20 \l 1033 </w:instrText>
          </w:r>
          <w:r w:rsidR="000B1D19">
            <w:rPr>
              <w:rFonts w:ascii="Times New Roman" w:hAnsi="Times New Roman" w:cs="Times New Roman"/>
            </w:rPr>
            <w:fldChar w:fldCharType="separate"/>
          </w:r>
          <w:r w:rsidR="00A10468" w:rsidRPr="00A10468">
            <w:rPr>
              <w:rFonts w:ascii="Times New Roman" w:hAnsi="Times New Roman" w:cs="Times New Roman"/>
              <w:noProof/>
            </w:rPr>
            <w:t>(Gandara &amp; Li, 2020)</w:t>
          </w:r>
          <w:r w:rsidR="000B1D19">
            <w:rPr>
              <w:rFonts w:ascii="Times New Roman" w:hAnsi="Times New Roman" w:cs="Times New Roman"/>
            </w:rPr>
            <w:fldChar w:fldCharType="end"/>
          </w:r>
        </w:sdtContent>
      </w:sdt>
      <w:r w:rsidR="000B1D19">
        <w:rPr>
          <w:rFonts w:ascii="Times New Roman" w:hAnsi="Times New Roman" w:cs="Times New Roman"/>
        </w:rPr>
        <w:t xml:space="preserve">. </w:t>
      </w:r>
      <w:r w:rsidRPr="003C6DFC">
        <w:rPr>
          <w:rFonts w:ascii="Times New Roman" w:hAnsi="Times New Roman" w:cs="Times New Roman"/>
        </w:rPr>
        <w:t>These data considerations likely limit research that can make conclusions about student-level effects between programs to future meta-analyses that have yet to be conducted on promise program</w:t>
      </w:r>
      <w:r w:rsidR="009F0342">
        <w:rPr>
          <w:rFonts w:ascii="Times New Roman" w:hAnsi="Times New Roman" w:cs="Times New Roman"/>
        </w:rPr>
        <w:t>s</w:t>
      </w:r>
      <w:r w:rsidRPr="003C6DFC">
        <w:rPr>
          <w:rFonts w:ascii="Times New Roman" w:hAnsi="Times New Roman" w:cs="Times New Roman"/>
        </w:rPr>
        <w:t xml:space="preserve">. Later in my section reviewing the empirical research on promise </w:t>
      </w:r>
      <w:r w:rsidRPr="003C6DFC">
        <w:rPr>
          <w:rFonts w:ascii="Times New Roman" w:hAnsi="Times New Roman" w:cs="Times New Roman"/>
        </w:rPr>
        <w:lastRenderedPageBreak/>
        <w:t xml:space="preserve">programs, I note the limited number of examples regarding studies conducted across multiple promise programs (see Gándara and Li, 2020 and Li and Gándara, 2020) or Swanson et al.’s </w:t>
      </w:r>
      <w:sdt>
        <w:sdtPr>
          <w:rPr>
            <w:rFonts w:ascii="Times New Roman" w:hAnsi="Times New Roman" w:cs="Times New Roman"/>
          </w:rPr>
          <w:id w:val="-13357463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Swa20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meta-analysis of multiple other previous studies.</w:t>
      </w:r>
    </w:p>
    <w:p w14:paraId="3FF2CC57" w14:textId="77777777" w:rsidR="002E752C" w:rsidRPr="003C6DFC" w:rsidRDefault="002E752C" w:rsidP="00CD45D6">
      <w:pPr>
        <w:spacing w:line="480" w:lineRule="auto"/>
        <w:ind w:firstLine="720"/>
        <w:rPr>
          <w:rFonts w:ascii="Times New Roman" w:hAnsi="Times New Roman" w:cs="Times New Roman"/>
          <w:b/>
          <w:bCs/>
        </w:rPr>
      </w:pPr>
      <w:r w:rsidRPr="003C6DFC">
        <w:rPr>
          <w:rFonts w:ascii="Times New Roman" w:hAnsi="Times New Roman" w:cs="Times New Roman"/>
          <w:b/>
          <w:bCs/>
        </w:rPr>
        <w:t>Variations in Place.</w:t>
      </w:r>
    </w:p>
    <w:p w14:paraId="6095F241" w14:textId="49F4144C"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Miller-Adams </w:t>
      </w:r>
      <w:sdt>
        <w:sdtPr>
          <w:rPr>
            <w:rFonts w:ascii="Times New Roman" w:hAnsi="Times New Roman" w:cs="Times New Roman"/>
          </w:rPr>
          <w:id w:val="183595091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Placeholder1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broadly categorizes promise programs by service area and places programs into three main types: state-level, community-based,</w:t>
      </w:r>
      <w:r w:rsidR="00694CFA">
        <w:rPr>
          <w:rFonts w:ascii="Times New Roman" w:hAnsi="Times New Roman" w:cs="Times New Roman"/>
        </w:rPr>
        <w:t xml:space="preserve"> and</w:t>
      </w:r>
      <w:r w:rsidRPr="003C6DFC">
        <w:rPr>
          <w:rFonts w:ascii="Times New Roman" w:hAnsi="Times New Roman" w:cs="Times New Roman"/>
        </w:rPr>
        <w:t xml:space="preserve"> institution-based programs. Among state-level programs, the Tennessee Promise was a notable, early state-wide free college promise program that served as the inspiration for former President Obama’s proposal for national free community college</w:t>
      </w:r>
      <w:sdt>
        <w:sdtPr>
          <w:rPr>
            <w:rFonts w:ascii="Times New Roman" w:hAnsi="Times New Roman" w:cs="Times New Roman"/>
          </w:rPr>
          <w:id w:val="1430858892"/>
          <w:citation/>
        </w:sdtPr>
        <w:sdtContent>
          <w:r w:rsidR="00BA73B0">
            <w:rPr>
              <w:rFonts w:ascii="Times New Roman" w:hAnsi="Times New Roman" w:cs="Times New Roman"/>
            </w:rPr>
            <w:fldChar w:fldCharType="begin"/>
          </w:r>
          <w:r w:rsidR="00BA73B0">
            <w:rPr>
              <w:rFonts w:ascii="Times New Roman" w:hAnsi="Times New Roman" w:cs="Times New Roman"/>
            </w:rPr>
            <w:instrText xml:space="preserve">CITATION Off15 \l 1033 </w:instrText>
          </w:r>
          <w:r w:rsidR="00BA73B0">
            <w:rPr>
              <w:rFonts w:ascii="Times New Roman" w:hAnsi="Times New Roman" w:cs="Times New Roman"/>
            </w:rPr>
            <w:fldChar w:fldCharType="separate"/>
          </w:r>
          <w:r w:rsidR="00A10468">
            <w:rPr>
              <w:rFonts w:ascii="Times New Roman" w:hAnsi="Times New Roman" w:cs="Times New Roman"/>
              <w:noProof/>
            </w:rPr>
            <w:t xml:space="preserve"> </w:t>
          </w:r>
          <w:r w:rsidR="00A10468" w:rsidRPr="00A10468">
            <w:rPr>
              <w:rFonts w:ascii="Times New Roman" w:hAnsi="Times New Roman" w:cs="Times New Roman"/>
              <w:noProof/>
            </w:rPr>
            <w:t>(Office of the Press Secretary, 2015)</w:t>
          </w:r>
          <w:r w:rsidR="00BA73B0">
            <w:rPr>
              <w:rFonts w:ascii="Times New Roman" w:hAnsi="Times New Roman" w:cs="Times New Roman"/>
            </w:rPr>
            <w:fldChar w:fldCharType="end"/>
          </w:r>
        </w:sdtContent>
      </w:sdt>
      <w:r w:rsidRPr="003C6DFC">
        <w:rPr>
          <w:rFonts w:ascii="Times New Roman" w:hAnsi="Times New Roman" w:cs="Times New Roman"/>
        </w:rPr>
        <w:t>. It utilized a local community-based program serving Knoxville, Tennessee as its inspiration. Since</w:t>
      </w:r>
      <w:r w:rsidR="007E0BF8">
        <w:rPr>
          <w:rFonts w:ascii="Times New Roman" w:hAnsi="Times New Roman" w:cs="Times New Roman"/>
        </w:rPr>
        <w:t xml:space="preserve"> then</w:t>
      </w:r>
      <w:r w:rsidRPr="003C6DFC">
        <w:rPr>
          <w:rFonts w:ascii="Times New Roman" w:hAnsi="Times New Roman" w:cs="Times New Roman"/>
        </w:rPr>
        <w:t xml:space="preserve">, 33 states have adopted a similar state-wide promise program. Some states, such as Tennessee, operate both a place-based merit scholarship and place-based promise program. The key distinction of these programs is that the place-based merit scholarship rewards students for academic success in high school while the place-based promise program seeks to enable postsecondary workforce development by making all in-state, public community and technical colleges tuition and fee free. </w:t>
      </w:r>
    </w:p>
    <w:p w14:paraId="737BA0D8" w14:textId="35B92049"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The UpJohn Institute</w:t>
      </w:r>
      <w:r w:rsidR="000C3437">
        <w:rPr>
          <w:rFonts w:ascii="Times New Roman" w:hAnsi="Times New Roman" w:cs="Times New Roman"/>
        </w:rPr>
        <w:t xml:space="preserve"> or PENNAhead promise data set</w:t>
      </w:r>
      <w:r w:rsidRPr="003C6DFC">
        <w:rPr>
          <w:rFonts w:ascii="Times New Roman" w:hAnsi="Times New Roman" w:cs="Times New Roman"/>
        </w:rPr>
        <w:t xml:space="preserve"> </w:t>
      </w:r>
      <w:sdt>
        <w:sdtPr>
          <w:rPr>
            <w:rFonts w:ascii="Times New Roman" w:hAnsi="Times New Roman" w:cs="Times New Roman"/>
          </w:rPr>
          <w:id w:val="12767410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Upjnd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(n.d.)</w:t>
          </w:r>
          <w:r w:rsidRPr="003C6DFC">
            <w:rPr>
              <w:rFonts w:ascii="Times New Roman" w:hAnsi="Times New Roman" w:cs="Times New Roman"/>
            </w:rPr>
            <w:fldChar w:fldCharType="end"/>
          </w:r>
        </w:sdtContent>
      </w:sdt>
      <w:r w:rsidRPr="003C6DFC">
        <w:rPr>
          <w:rFonts w:ascii="Times New Roman" w:hAnsi="Times New Roman" w:cs="Times New Roman"/>
        </w:rPr>
        <w:t xml:space="preserve"> specifically tracks smaller, community-based programs like the Kalamazoo Promise and has most recently identified 210 of these programs as of November 2022. These programs generally operate within the following set of three goals: build a college-going culture within local school districts, increase access to postsecondary awards by reducing the costs of postsecondary </w:t>
      </w:r>
      <w:r w:rsidRPr="003C6DFC">
        <w:rPr>
          <w:rFonts w:ascii="Times New Roman" w:hAnsi="Times New Roman" w:cs="Times New Roman"/>
        </w:rPr>
        <w:lastRenderedPageBreak/>
        <w:t>education, and promoting economic development in the community by increasing the number of skilled workers available in the local ar</w:t>
      </w:r>
      <w:r w:rsidR="00694CFA">
        <w:rPr>
          <w:rFonts w:ascii="Times New Roman" w:hAnsi="Times New Roman" w:cs="Times New Roman"/>
        </w:rPr>
        <w:t>e</w:t>
      </w:r>
      <w:r w:rsidRPr="003C6DFC">
        <w:rPr>
          <w:rFonts w:ascii="Times New Roman" w:hAnsi="Times New Roman" w:cs="Times New Roman"/>
        </w:rPr>
        <w:t xml:space="preserve">a. Within these programs, there is variation in whether the award can be utilized only at a single institution, a certain type of institution (two-year, CTE-focused institution, four-year institution, publicly controlled, privately controlled, etc.), or any institution within a certain geographic area up to as large as a state. </w:t>
      </w:r>
    </w:p>
    <w:p w14:paraId="32306ED6" w14:textId="21749A72" w:rsidR="00567311" w:rsidRPr="00C41150"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 Finally, institution-based promise programs are often the smallest in scope compared to state-wide and community-based programs. While all students in the state or community are eligible for a said promise program upon meeting certain criteria, only students that apply to, are accepted to, and enroll at the specific institution or system offering an institutional promise may receive aid from these programs. Because of this p</w:t>
      </w:r>
      <w:r w:rsidR="009D2B4D">
        <w:rPr>
          <w:rFonts w:ascii="Times New Roman" w:hAnsi="Times New Roman" w:cs="Times New Roman"/>
        </w:rPr>
        <w:t>r</w:t>
      </w:r>
      <w:r w:rsidRPr="003C6DFC">
        <w:rPr>
          <w:rFonts w:ascii="Times New Roman" w:hAnsi="Times New Roman" w:cs="Times New Roman"/>
        </w:rPr>
        <w:t>er</w:t>
      </w:r>
      <w:r w:rsidR="00694CFA">
        <w:rPr>
          <w:rFonts w:ascii="Times New Roman" w:hAnsi="Times New Roman" w:cs="Times New Roman"/>
        </w:rPr>
        <w:t>e</w:t>
      </w:r>
      <w:r w:rsidRPr="003C6DFC">
        <w:rPr>
          <w:rFonts w:ascii="Times New Roman" w:hAnsi="Times New Roman" w:cs="Times New Roman"/>
        </w:rPr>
        <w:t xml:space="preserve">quisite, one could argue that institutional promise programs at selective institutions might be akin to merit aid as a student must meet an institution’s academic requirements for admission to receive this promise aid even if there are no academic requirements for the promise program beyond successful admission. However, </w:t>
      </w:r>
      <w:r w:rsidR="005B394D">
        <w:rPr>
          <w:rFonts w:ascii="Times New Roman" w:hAnsi="Times New Roman" w:cs="Times New Roman"/>
        </w:rPr>
        <w:t xml:space="preserve">these promise programs such as the </w:t>
      </w:r>
      <w:r w:rsidR="00567311">
        <w:rPr>
          <w:rFonts w:ascii="Times New Roman" w:hAnsi="Times New Roman" w:cs="Times New Roman"/>
        </w:rPr>
        <w:t>HAIL</w:t>
      </w:r>
      <w:r w:rsidR="005B394D">
        <w:rPr>
          <w:rFonts w:ascii="Times New Roman" w:hAnsi="Times New Roman" w:cs="Times New Roman"/>
        </w:rPr>
        <w:t xml:space="preserve"> scholarship are still understood </w:t>
      </w:r>
      <w:r w:rsidR="00567311">
        <w:rPr>
          <w:rFonts w:ascii="Times New Roman" w:hAnsi="Times New Roman" w:cs="Times New Roman"/>
        </w:rPr>
        <w:t>by the field to operate as promise programs although the use of the term pledge to describe these programs has become increasingly common</w:t>
      </w:r>
      <w:r w:rsidR="007E0BF8">
        <w:rPr>
          <w:rFonts w:ascii="Times New Roman" w:hAnsi="Times New Roman" w:cs="Times New Roman"/>
        </w:rPr>
        <w:t xml:space="preserve"> (Dynarski et al., 2023)</w:t>
      </w:r>
      <w:r w:rsidR="00567311">
        <w:rPr>
          <w:rFonts w:ascii="Times New Roman" w:hAnsi="Times New Roman" w:cs="Times New Roman"/>
        </w:rPr>
        <w:t xml:space="preserve">. </w:t>
      </w:r>
    </w:p>
    <w:p w14:paraId="1D3F87B3" w14:textId="77777777" w:rsidR="002E752C" w:rsidRPr="003C6DFC" w:rsidRDefault="002E752C" w:rsidP="00CD45D6">
      <w:pPr>
        <w:spacing w:line="480" w:lineRule="auto"/>
        <w:ind w:firstLine="720"/>
        <w:rPr>
          <w:rFonts w:ascii="Times New Roman" w:hAnsi="Times New Roman" w:cs="Times New Roman"/>
          <w:b/>
          <w:bCs/>
        </w:rPr>
      </w:pPr>
      <w:r w:rsidRPr="003C6DFC">
        <w:rPr>
          <w:rFonts w:ascii="Times New Roman" w:hAnsi="Times New Roman" w:cs="Times New Roman"/>
          <w:b/>
          <w:bCs/>
        </w:rPr>
        <w:t xml:space="preserve">Variations in Award. </w:t>
      </w:r>
    </w:p>
    <w:p w14:paraId="294593E7" w14:textId="13CE8F27"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While service area effectively determines who is eligible for a promise program, variations in promise program awards are an important aspect in considering the potential effects of these programs. </w:t>
      </w:r>
      <w:r w:rsidR="00AC1AD6">
        <w:rPr>
          <w:rFonts w:ascii="Times New Roman" w:hAnsi="Times New Roman" w:cs="Times New Roman"/>
        </w:rPr>
        <w:t>T</w:t>
      </w:r>
      <w:r w:rsidRPr="003C6DFC">
        <w:rPr>
          <w:rFonts w:ascii="Times New Roman" w:hAnsi="Times New Roman" w:cs="Times New Roman"/>
        </w:rPr>
        <w:t xml:space="preserve">here are three major ways in which promise programs vary. </w:t>
      </w:r>
      <w:r w:rsidRPr="003C6DFC">
        <w:rPr>
          <w:rFonts w:ascii="Times New Roman" w:hAnsi="Times New Roman" w:cs="Times New Roman"/>
        </w:rPr>
        <w:lastRenderedPageBreak/>
        <w:t>First, these programs vary among their selves i</w:t>
      </w:r>
      <w:r w:rsidR="009D2B4D">
        <w:rPr>
          <w:rFonts w:ascii="Times New Roman" w:hAnsi="Times New Roman" w:cs="Times New Roman"/>
        </w:rPr>
        <w:t>n</w:t>
      </w:r>
      <w:r w:rsidRPr="003C6DFC">
        <w:rPr>
          <w:rFonts w:ascii="Times New Roman" w:hAnsi="Times New Roman" w:cs="Times New Roman"/>
        </w:rPr>
        <w:t xml:space="preserve"> what billable items are covered by the program. For example, one program might only cover tuition while another covers tuition and fees and yet </w:t>
      </w:r>
      <w:r w:rsidR="00623135">
        <w:rPr>
          <w:rFonts w:ascii="Times New Roman" w:hAnsi="Times New Roman" w:cs="Times New Roman"/>
        </w:rPr>
        <w:t>other</w:t>
      </w:r>
      <w:r w:rsidRPr="003C6DFC">
        <w:rPr>
          <w:rFonts w:ascii="Times New Roman" w:hAnsi="Times New Roman" w:cs="Times New Roman"/>
        </w:rPr>
        <w:t xml:space="preserve"> covers costs beyond tuition and fees such as housing, meal plans, and/or school supplies. </w:t>
      </w:r>
    </w:p>
    <w:p w14:paraId="6D47CF65" w14:textId="6BEEF3F5"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Second, only particular institutions may be eligible recipients of a student’s promise funds. Some programs like the Kalamazoo Promise generously allow recipients to use their awards for less than </w:t>
      </w:r>
      <w:r w:rsidR="004012F7">
        <w:rPr>
          <w:rFonts w:ascii="Times New Roman" w:hAnsi="Times New Roman" w:cs="Times New Roman"/>
        </w:rPr>
        <w:t>two</w:t>
      </w:r>
      <w:r w:rsidRPr="003C6DFC">
        <w:rPr>
          <w:rFonts w:ascii="Times New Roman" w:hAnsi="Times New Roman" w:cs="Times New Roman"/>
        </w:rPr>
        <w:t xml:space="preserve">-year credentials, at </w:t>
      </w:r>
      <w:r w:rsidR="004012F7">
        <w:rPr>
          <w:rFonts w:ascii="Times New Roman" w:hAnsi="Times New Roman" w:cs="Times New Roman"/>
        </w:rPr>
        <w:t>two</w:t>
      </w:r>
      <w:r w:rsidRPr="003C6DFC">
        <w:rPr>
          <w:rFonts w:ascii="Times New Roman" w:hAnsi="Times New Roman" w:cs="Times New Roman"/>
        </w:rPr>
        <w:t xml:space="preserve">-year colleges, and </w:t>
      </w:r>
      <w:r w:rsidR="004012F7">
        <w:rPr>
          <w:rFonts w:ascii="Times New Roman" w:hAnsi="Times New Roman" w:cs="Times New Roman"/>
        </w:rPr>
        <w:t>four</w:t>
      </w:r>
      <w:r w:rsidRPr="003C6DFC">
        <w:rPr>
          <w:rFonts w:ascii="Times New Roman" w:hAnsi="Times New Roman" w:cs="Times New Roman"/>
        </w:rPr>
        <w:t xml:space="preserve">-year colleges in both the public and private colleges. Others, such as the Tennessee Promise may only allow use at public </w:t>
      </w:r>
      <w:r w:rsidR="004012F7">
        <w:rPr>
          <w:rFonts w:ascii="Times New Roman" w:hAnsi="Times New Roman" w:cs="Times New Roman"/>
        </w:rPr>
        <w:t>two</w:t>
      </w:r>
      <w:r w:rsidRPr="003C6DFC">
        <w:rPr>
          <w:rFonts w:ascii="Times New Roman" w:hAnsi="Times New Roman" w:cs="Times New Roman"/>
        </w:rPr>
        <w:t>-year colleges and for shorter-term credentials. Still other promise programs may only allow students to use promise funds at</w:t>
      </w:r>
      <w:r w:rsidR="007E0BF8">
        <w:rPr>
          <w:rFonts w:ascii="Times New Roman" w:hAnsi="Times New Roman" w:cs="Times New Roman"/>
        </w:rPr>
        <w:t xml:space="preserve"> a specific </w:t>
      </w:r>
      <w:r w:rsidRPr="003C6DFC">
        <w:rPr>
          <w:rFonts w:ascii="Times New Roman" w:hAnsi="Times New Roman" w:cs="Times New Roman"/>
        </w:rPr>
        <w:t xml:space="preserve">awarding institution. </w:t>
      </w:r>
    </w:p>
    <w:p w14:paraId="76EC44A8" w14:textId="77777777"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Third, these programs vary in how their award funds are applied to covered items. Promise programs are considered either first- or last-dollar. First-dollar promise programs are considered more generous than last dollar programs as their funds are applied to a student’s bill prior to other financial aid such as a state merit scholarship or Pell grant. In many cases this means that the student receives back their non-promise aid as a refund check from their institution to afford other living expenses. This contrasts with last-dollar scholarships which allow a student’s non-promise aid to disperse to their bills before the promise program’s funds are applied. </w:t>
      </w:r>
    </w:p>
    <w:p w14:paraId="6112E1AE" w14:textId="700BA8B0"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This means when a student using a </w:t>
      </w:r>
      <w:r w:rsidR="00623135" w:rsidRPr="003C6DFC">
        <w:rPr>
          <w:rFonts w:ascii="Times New Roman" w:hAnsi="Times New Roman" w:cs="Times New Roman"/>
        </w:rPr>
        <w:t>last dollar</w:t>
      </w:r>
      <w:r w:rsidRPr="003C6DFC">
        <w:rPr>
          <w:rFonts w:ascii="Times New Roman" w:hAnsi="Times New Roman" w:cs="Times New Roman"/>
        </w:rPr>
        <w:t xml:space="preserve"> promise program receives enough non-promise aid that they might receive $0 in promise program funds because no balance remains for the items covered by the program. A notable example of this can be found in </w:t>
      </w:r>
      <w:r w:rsidRPr="003C6DFC">
        <w:rPr>
          <w:rFonts w:ascii="Times New Roman" w:hAnsi="Times New Roman" w:cs="Times New Roman"/>
        </w:rPr>
        <w:lastRenderedPageBreak/>
        <w:t xml:space="preserve">a report tracking the first and second cohorts of students in the Tennessee Promise, a last-dollar, statewide program, after their first five semesters of enrollment in the program. While all program students were stated to receive a tuition and fee free access to community college, 43.6% of the first cohort’s 13,287 students </w:t>
      </w:r>
      <w:sdt>
        <w:sdtPr>
          <w:rPr>
            <w:rFonts w:ascii="Times New Roman" w:hAnsi="Times New Roman" w:cs="Times New Roman"/>
          </w:rPr>
          <w:id w:val="-1653213982"/>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Ten18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(Tennessee Board of Regents, 2018)</w:t>
          </w:r>
          <w:r w:rsidRPr="003C6DFC">
            <w:rPr>
              <w:rFonts w:ascii="Times New Roman" w:hAnsi="Times New Roman" w:cs="Times New Roman"/>
            </w:rPr>
            <w:fldChar w:fldCharType="end"/>
          </w:r>
        </w:sdtContent>
      </w:sdt>
      <w:r w:rsidRPr="003C6DFC">
        <w:rPr>
          <w:rFonts w:ascii="Times New Roman" w:hAnsi="Times New Roman" w:cs="Times New Roman"/>
        </w:rPr>
        <w:t xml:space="preserve"> and 46% of the second cohort’s 13,793 </w:t>
      </w:r>
      <w:sdt>
        <w:sdtPr>
          <w:rPr>
            <w:rFonts w:ascii="Times New Roman" w:hAnsi="Times New Roman" w:cs="Times New Roman"/>
          </w:rPr>
          <w:id w:val="-199640264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Ten19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(Tennessee Board of Regents, 2019)</w:t>
          </w:r>
          <w:r w:rsidRPr="003C6DFC">
            <w:rPr>
              <w:rFonts w:ascii="Times New Roman" w:hAnsi="Times New Roman" w:cs="Times New Roman"/>
            </w:rPr>
            <w:fldChar w:fldCharType="end"/>
          </w:r>
        </w:sdtContent>
      </w:sdt>
      <w:r w:rsidRPr="003C6DFC">
        <w:rPr>
          <w:rFonts w:ascii="Times New Roman" w:hAnsi="Times New Roman" w:cs="Times New Roman"/>
        </w:rPr>
        <w:t xml:space="preserve"> students received $0 in aid from the state of Tennessee. This is because for these students, other financial aid such as the Pell grant or the state’s merit aid scholarship completely covered the students’ tuition and fee bill for the program. Essentially this means that any effects on enrollment and consequential increases on graduation could be due to messaging around and promotion of the program rather than a change in award for lower income students.</w:t>
      </w:r>
    </w:p>
    <w:p w14:paraId="4B5E0C33" w14:textId="10817240" w:rsidR="002E752C" w:rsidRPr="003C6DFC" w:rsidRDefault="002E752C" w:rsidP="00CD45D6">
      <w:pPr>
        <w:spacing w:line="480" w:lineRule="auto"/>
        <w:ind w:firstLine="720"/>
        <w:rPr>
          <w:rFonts w:ascii="Times New Roman" w:hAnsi="Times New Roman" w:cs="Times New Roman"/>
          <w:b/>
          <w:bCs/>
        </w:rPr>
      </w:pPr>
      <w:r w:rsidRPr="003C6DFC">
        <w:rPr>
          <w:rFonts w:ascii="Times New Roman" w:hAnsi="Times New Roman" w:cs="Times New Roman"/>
        </w:rPr>
        <w:t>These variations introduce challenges in conducting research that compares the effects of</w:t>
      </w:r>
      <w:r w:rsidR="003D57B3">
        <w:rPr>
          <w:rFonts w:ascii="Times New Roman" w:hAnsi="Times New Roman" w:cs="Times New Roman"/>
        </w:rPr>
        <w:t xml:space="preserve"> promise</w:t>
      </w:r>
      <w:r w:rsidRPr="003C6DFC">
        <w:rPr>
          <w:rFonts w:ascii="Times New Roman" w:hAnsi="Times New Roman" w:cs="Times New Roman"/>
        </w:rPr>
        <w:t xml:space="preserve"> programs </w:t>
      </w:r>
      <w:r w:rsidR="003D57B3">
        <w:rPr>
          <w:rFonts w:ascii="Times New Roman" w:hAnsi="Times New Roman" w:cs="Times New Roman"/>
        </w:rPr>
        <w:t xml:space="preserve">where </w:t>
      </w:r>
      <w:r w:rsidRPr="003C6DFC">
        <w:rPr>
          <w:rFonts w:ascii="Times New Roman" w:hAnsi="Times New Roman" w:cs="Times New Roman"/>
        </w:rPr>
        <w:t xml:space="preserve">the impact of these variations is likely felt by individual students. However, empirical research investigating promise programs at this level are limited with few studies comparing outcomes across programs or examining student experiences. Further, there have been no studies examining the experiences of promise students across varying program types at this time. Instead, most studies focus on examining for </w:t>
      </w:r>
      <w:r w:rsidR="00627D6C">
        <w:rPr>
          <w:rFonts w:ascii="Times New Roman" w:hAnsi="Times New Roman" w:cs="Times New Roman"/>
        </w:rPr>
        <w:t xml:space="preserve">a specific </w:t>
      </w:r>
      <w:r w:rsidRPr="003C6DFC">
        <w:rPr>
          <w:rFonts w:ascii="Times New Roman" w:hAnsi="Times New Roman" w:cs="Times New Roman"/>
        </w:rPr>
        <w:t>program</w:t>
      </w:r>
      <w:r w:rsidR="00627D6C">
        <w:rPr>
          <w:rFonts w:ascii="Times New Roman" w:hAnsi="Times New Roman" w:cs="Times New Roman"/>
        </w:rPr>
        <w:t>’s</w:t>
      </w:r>
      <w:r w:rsidRPr="003C6DFC">
        <w:rPr>
          <w:rFonts w:ascii="Times New Roman" w:hAnsi="Times New Roman" w:cs="Times New Roman"/>
        </w:rPr>
        <w:t xml:space="preserve"> effects on student outcomes such as enrollment or award attainment. </w:t>
      </w:r>
    </w:p>
    <w:p w14:paraId="7206CCE0" w14:textId="77777777" w:rsidR="002E752C" w:rsidRPr="003C6DFC" w:rsidRDefault="002E752C" w:rsidP="00CD45D6">
      <w:pPr>
        <w:pStyle w:val="Heading2"/>
        <w:spacing w:before="0" w:after="0"/>
      </w:pPr>
      <w:bookmarkStart w:id="31" w:name="_Toc183282265"/>
      <w:r w:rsidRPr="003C6DFC">
        <w:t>Empirical Research Examining Promise Programs and Student Outcomes</w:t>
      </w:r>
      <w:bookmarkEnd w:id="31"/>
    </w:p>
    <w:p w14:paraId="09EEB11A" w14:textId="4495240C"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Evidence from research on the effects of promise programs on student outcomes echo the findings on other aid types. The more access to funding that students, especially </w:t>
      </w:r>
      <w:r w:rsidRPr="003C6DFC">
        <w:rPr>
          <w:rFonts w:ascii="Times New Roman" w:hAnsi="Times New Roman" w:cs="Times New Roman"/>
        </w:rPr>
        <w:lastRenderedPageBreak/>
        <w:t xml:space="preserve">low-income students, have through promise programs, the more likely students are to enroll in </w:t>
      </w:r>
      <w:r w:rsidRPr="0008190E">
        <w:rPr>
          <w:rFonts w:ascii="Times New Roman" w:hAnsi="Times New Roman" w:cs="Times New Roman"/>
        </w:rPr>
        <w:t>postsecondary education, persist with better grades, graduate, and achieve better post-graduation outcomes</w:t>
      </w:r>
      <w:r w:rsidR="00077DB7" w:rsidRPr="0008190E">
        <w:rPr>
          <w:rFonts w:ascii="Times New Roman" w:hAnsi="Times New Roman" w:cs="Times New Roman"/>
        </w:rPr>
        <w:t xml:space="preserve"> </w:t>
      </w:r>
      <w:r w:rsidR="00544388" w:rsidRPr="0008190E">
        <w:rPr>
          <w:rFonts w:ascii="Times New Roman" w:hAnsi="Times New Roman" w:cs="Times New Roman"/>
          <w:noProof/>
        </w:rPr>
        <w:t>(Andrews et al., 2010; Bartik et al., 2021; Bell &amp; Gàndara, 2021; Bozick et al., 2015; Gonzalez et al., 2014; Page et al., 2019; Ruiz et al., 2020; Swanson &amp; Ritter, 2020</w:t>
      </w:r>
      <w:r w:rsidR="0008190E" w:rsidRPr="0008190E">
        <w:rPr>
          <w:rFonts w:ascii="Times New Roman" w:hAnsi="Times New Roman" w:cs="Times New Roman"/>
          <w:noProof/>
        </w:rPr>
        <w:t>)</w:t>
      </w:r>
      <w:r w:rsidRPr="0008190E">
        <w:rPr>
          <w:rFonts w:ascii="Times New Roman" w:hAnsi="Times New Roman" w:cs="Times New Roman"/>
          <w:noProof/>
        </w:rPr>
        <w:t>.</w:t>
      </w:r>
      <w:r w:rsidRPr="0008190E">
        <w:rPr>
          <w:rFonts w:ascii="Times New Roman" w:hAnsi="Times New Roman" w:cs="Times New Roman"/>
        </w:rPr>
        <w:t xml:space="preserve"> See Swanson et al. </w:t>
      </w:r>
      <w:sdt>
        <w:sdtPr>
          <w:rPr>
            <w:rFonts w:ascii="Times New Roman" w:hAnsi="Times New Roman" w:cs="Times New Roman"/>
          </w:rPr>
          <w:id w:val="-1578973240"/>
          <w:citation/>
        </w:sdtPr>
        <w:sdtContent>
          <w:r w:rsidRPr="0008190E">
            <w:rPr>
              <w:rFonts w:ascii="Times New Roman" w:hAnsi="Times New Roman" w:cs="Times New Roman"/>
            </w:rPr>
            <w:fldChar w:fldCharType="begin"/>
          </w:r>
          <w:r w:rsidRPr="0008190E">
            <w:rPr>
              <w:rFonts w:ascii="Times New Roman" w:hAnsi="Times New Roman" w:cs="Times New Roman"/>
            </w:rPr>
            <w:instrText xml:space="preserve">CITATION Swa20 \n  \t  \l 1033 </w:instrText>
          </w:r>
          <w:r w:rsidRPr="0008190E">
            <w:rPr>
              <w:rFonts w:ascii="Times New Roman" w:hAnsi="Times New Roman" w:cs="Times New Roman"/>
            </w:rPr>
            <w:fldChar w:fldCharType="separate"/>
          </w:r>
          <w:r w:rsidR="00A10468" w:rsidRPr="00A10468">
            <w:rPr>
              <w:rFonts w:ascii="Times New Roman" w:hAnsi="Times New Roman" w:cs="Times New Roman"/>
              <w:noProof/>
            </w:rPr>
            <w:t>(2020)</w:t>
          </w:r>
          <w:r w:rsidRPr="0008190E">
            <w:rPr>
              <w:rFonts w:ascii="Times New Roman" w:hAnsi="Times New Roman" w:cs="Times New Roman"/>
            </w:rPr>
            <w:fldChar w:fldCharType="end"/>
          </w:r>
        </w:sdtContent>
      </w:sdt>
      <w:r w:rsidRPr="0008190E">
        <w:rPr>
          <w:rFonts w:ascii="Times New Roman" w:hAnsi="Times New Roman" w:cs="Times New Roman"/>
        </w:rPr>
        <w:t xml:space="preserve"> for a systematic review of college promise programs that found null to positive effects for the postsecondary outcomes of programs included</w:t>
      </w:r>
      <w:r w:rsidRPr="003C6DFC">
        <w:rPr>
          <w:rFonts w:ascii="Times New Roman" w:hAnsi="Times New Roman" w:cs="Times New Roman"/>
        </w:rPr>
        <w:t xml:space="preserve"> for study. </w:t>
      </w:r>
    </w:p>
    <w:p w14:paraId="5B6E99C5" w14:textId="3A621AC3" w:rsidR="009D0582"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Studies comparing the receipt of promise funds between promise programs would likely reflect issues mentioned in other studies on the effects of aid due to the potential for promise funds to crowd out or be crowded out by other aid types of aid depending on their status as first- or last-dollar promise programs. Research to date has found evidence that promise funds do not crowd out other forms of in-kind aid such as the Pell grant but have found evidence that loan aid is crowded out </w:t>
      </w:r>
      <w:sdt>
        <w:sdtPr>
          <w:rPr>
            <w:rFonts w:ascii="Times New Roman" w:hAnsi="Times New Roman" w:cs="Times New Roman"/>
          </w:rPr>
          <w:id w:val="-290974472"/>
          <w:citation/>
        </w:sdtPr>
        <w:sdtContent>
          <w:r w:rsidR="004C69CF">
            <w:rPr>
              <w:rFonts w:ascii="Times New Roman" w:hAnsi="Times New Roman" w:cs="Times New Roman"/>
            </w:rPr>
            <w:fldChar w:fldCharType="begin"/>
          </w:r>
          <w:r w:rsidR="004C69CF">
            <w:rPr>
              <w:rFonts w:ascii="Times New Roman" w:hAnsi="Times New Roman" w:cs="Times New Roman"/>
            </w:rPr>
            <w:instrText xml:space="preserve"> CITATION Bar212 \l 1033 </w:instrText>
          </w:r>
          <w:r w:rsidR="00322738">
            <w:rPr>
              <w:rFonts w:ascii="Times New Roman" w:hAnsi="Times New Roman" w:cs="Times New Roman"/>
            </w:rPr>
            <w:instrText xml:space="preserve"> \m Odl21</w:instrText>
          </w:r>
          <w:r w:rsidR="004C69CF">
            <w:rPr>
              <w:rFonts w:ascii="Times New Roman" w:hAnsi="Times New Roman" w:cs="Times New Roman"/>
            </w:rPr>
            <w:fldChar w:fldCharType="separate"/>
          </w:r>
          <w:r w:rsidR="00A10468" w:rsidRPr="00A10468">
            <w:rPr>
              <w:rFonts w:ascii="Times New Roman" w:hAnsi="Times New Roman" w:cs="Times New Roman"/>
              <w:noProof/>
            </w:rPr>
            <w:t>(Bartik, Hershbein, &amp; Lachowska, 2021; Odle, Lee, &amp; Gentile, 2021)</w:t>
          </w:r>
          <w:r w:rsidR="004C69CF">
            <w:rPr>
              <w:rFonts w:ascii="Times New Roman" w:hAnsi="Times New Roman" w:cs="Times New Roman"/>
            </w:rPr>
            <w:fldChar w:fldCharType="end"/>
          </w:r>
        </w:sdtContent>
      </w:sdt>
      <w:r w:rsidR="00322738">
        <w:rPr>
          <w:rFonts w:ascii="Times New Roman" w:hAnsi="Times New Roman" w:cs="Times New Roman"/>
        </w:rPr>
        <w:t xml:space="preserve">. </w:t>
      </w:r>
      <w:r w:rsidRPr="003C6DFC">
        <w:rPr>
          <w:rFonts w:ascii="Times New Roman" w:hAnsi="Times New Roman" w:cs="Times New Roman"/>
        </w:rPr>
        <w:t xml:space="preserve">However, these findings have not considered how differences in program design may affect these findings. For example, </w:t>
      </w:r>
      <w:r w:rsidR="00623135" w:rsidRPr="003C6DFC">
        <w:rPr>
          <w:rFonts w:ascii="Times New Roman" w:hAnsi="Times New Roman" w:cs="Times New Roman"/>
        </w:rPr>
        <w:t>last dollar</w:t>
      </w:r>
      <w:r w:rsidRPr="003C6DFC">
        <w:rPr>
          <w:rFonts w:ascii="Times New Roman" w:hAnsi="Times New Roman" w:cs="Times New Roman"/>
        </w:rPr>
        <w:t xml:space="preserve"> promise program award amounts are crowded out by other types of aid with documented instances of $0 awards in Tennessee. </w:t>
      </w:r>
    </w:p>
    <w:p w14:paraId="250CF283" w14:textId="6EB5339A"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Here the difference in timing of the award disbursement is critical to consider as it determines whether a promise program contributes to a larger award sum of in-kind funding as found by Bartlik et al. </w:t>
      </w:r>
      <w:sdt>
        <w:sdtPr>
          <w:rPr>
            <w:rFonts w:ascii="Times New Roman" w:hAnsi="Times New Roman" w:cs="Times New Roman"/>
          </w:rPr>
          <w:id w:val="-1417094543"/>
          <w:citation/>
        </w:sdtPr>
        <w:sdtContent>
          <w:r w:rsidR="00322738">
            <w:rPr>
              <w:rFonts w:ascii="Times New Roman" w:hAnsi="Times New Roman" w:cs="Times New Roman"/>
            </w:rPr>
            <w:fldChar w:fldCharType="begin"/>
          </w:r>
          <w:r w:rsidR="00322738">
            <w:rPr>
              <w:rFonts w:ascii="Times New Roman" w:hAnsi="Times New Roman" w:cs="Times New Roman"/>
            </w:rPr>
            <w:instrText xml:space="preserve">CITATION Bar212 \n  \t  \l 1033 </w:instrText>
          </w:r>
          <w:r w:rsidR="00322738">
            <w:rPr>
              <w:rFonts w:ascii="Times New Roman" w:hAnsi="Times New Roman" w:cs="Times New Roman"/>
            </w:rPr>
            <w:fldChar w:fldCharType="separate"/>
          </w:r>
          <w:r w:rsidR="00A10468" w:rsidRPr="00A10468">
            <w:rPr>
              <w:rFonts w:ascii="Times New Roman" w:hAnsi="Times New Roman" w:cs="Times New Roman"/>
              <w:noProof/>
            </w:rPr>
            <w:t>(2021)</w:t>
          </w:r>
          <w:r w:rsidR="00322738">
            <w:rPr>
              <w:rFonts w:ascii="Times New Roman" w:hAnsi="Times New Roman" w:cs="Times New Roman"/>
            </w:rPr>
            <w:fldChar w:fldCharType="end"/>
          </w:r>
        </w:sdtContent>
      </w:sdt>
      <w:r w:rsidRPr="003C6DFC">
        <w:rPr>
          <w:rFonts w:ascii="Times New Roman" w:hAnsi="Times New Roman" w:cs="Times New Roman"/>
        </w:rPr>
        <w:t xml:space="preserve"> or is potentially crowded out by the other in-kind funding as found in the aforementioned report on Tennessee Promise (Tennessee Board of Regents, 2019, 2018).  While a meta-analysis of existing quasi-experiments </w:t>
      </w:r>
      <w:r w:rsidRPr="003C6DFC">
        <w:rPr>
          <w:rFonts w:ascii="Times New Roman" w:hAnsi="Times New Roman" w:cs="Times New Roman"/>
        </w:rPr>
        <w:lastRenderedPageBreak/>
        <w:t xml:space="preserve">would be necessary to confirm potentially different effect on outcomes, Carruthers </w:t>
      </w:r>
      <w:r w:rsidR="004D6CFA">
        <w:rPr>
          <w:rFonts w:ascii="Times New Roman" w:hAnsi="Times New Roman" w:cs="Times New Roman"/>
        </w:rPr>
        <w:t xml:space="preserve">et al. </w:t>
      </w:r>
      <w:sdt>
        <w:sdtPr>
          <w:rPr>
            <w:rFonts w:ascii="Times New Roman" w:hAnsi="Times New Roman" w:cs="Times New Roman"/>
          </w:rPr>
          <w:id w:val="115132504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Car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(2023)</w:t>
          </w:r>
          <w:r w:rsidRPr="003C6DFC">
            <w:rPr>
              <w:rFonts w:ascii="Times New Roman" w:hAnsi="Times New Roman" w:cs="Times New Roman"/>
            </w:rPr>
            <w:fldChar w:fldCharType="end"/>
          </w:r>
        </w:sdtContent>
      </w:sdt>
      <w:r w:rsidRPr="003C6DFC">
        <w:rPr>
          <w:rFonts w:ascii="Times New Roman" w:hAnsi="Times New Roman" w:cs="Times New Roman"/>
        </w:rPr>
        <w:t xml:space="preserve"> called attention this when comparing results of their study on a local, last</w:t>
      </w:r>
      <w:r w:rsidR="00115F60">
        <w:rPr>
          <w:rFonts w:ascii="Times New Roman" w:hAnsi="Times New Roman" w:cs="Times New Roman"/>
        </w:rPr>
        <w:t>-</w:t>
      </w:r>
      <w:r w:rsidRPr="003C6DFC">
        <w:rPr>
          <w:rFonts w:ascii="Times New Roman" w:hAnsi="Times New Roman" w:cs="Times New Roman"/>
        </w:rPr>
        <w:t>dollar scholarship to a</w:t>
      </w:r>
      <w:r w:rsidR="00115F60">
        <w:rPr>
          <w:rFonts w:ascii="Times New Roman" w:hAnsi="Times New Roman" w:cs="Times New Roman"/>
        </w:rPr>
        <w:t xml:space="preserve"> second</w:t>
      </w:r>
      <w:r w:rsidRPr="003C6DFC">
        <w:rPr>
          <w:rFonts w:ascii="Times New Roman" w:hAnsi="Times New Roman" w:cs="Times New Roman"/>
        </w:rPr>
        <w:t xml:space="preserve"> </w:t>
      </w:r>
      <w:r w:rsidR="00115F60">
        <w:rPr>
          <w:rFonts w:ascii="Times New Roman" w:hAnsi="Times New Roman" w:cs="Times New Roman"/>
        </w:rPr>
        <w:t xml:space="preserve">local, </w:t>
      </w:r>
      <w:r w:rsidRPr="003C6DFC">
        <w:rPr>
          <w:rFonts w:ascii="Times New Roman" w:hAnsi="Times New Roman" w:cs="Times New Roman"/>
        </w:rPr>
        <w:t>first</w:t>
      </w:r>
      <w:r w:rsidR="00115F60">
        <w:rPr>
          <w:rFonts w:ascii="Times New Roman" w:hAnsi="Times New Roman" w:cs="Times New Roman"/>
        </w:rPr>
        <w:t>-</w:t>
      </w:r>
      <w:r w:rsidRPr="003C6DFC">
        <w:rPr>
          <w:rFonts w:ascii="Times New Roman" w:hAnsi="Times New Roman" w:cs="Times New Roman"/>
        </w:rPr>
        <w:t xml:space="preserve">dollar scholarship </w:t>
      </w:r>
      <w:r w:rsidR="00115F60">
        <w:rPr>
          <w:rFonts w:ascii="Times New Roman" w:hAnsi="Times New Roman" w:cs="Times New Roman"/>
        </w:rPr>
        <w:t xml:space="preserve">effects </w:t>
      </w:r>
      <w:r w:rsidRPr="003C6DFC">
        <w:rPr>
          <w:rFonts w:ascii="Times New Roman" w:hAnsi="Times New Roman" w:cs="Times New Roman"/>
        </w:rPr>
        <w:t xml:space="preserve">in findings from the aforementioned meta-analysis on grant aid from Nguyen et al. </w:t>
      </w:r>
      <w:sdt>
        <w:sdtPr>
          <w:rPr>
            <w:rFonts w:ascii="Times New Roman" w:hAnsi="Times New Roman" w:cs="Times New Roman"/>
          </w:rPr>
          <w:id w:val="1913188120"/>
          <w:citation/>
        </w:sdtPr>
        <w:sdtContent>
          <w:r w:rsidRPr="003C6DFC">
            <w:rPr>
              <w:rFonts w:ascii="Times New Roman" w:hAnsi="Times New Roman" w:cs="Times New Roman"/>
            </w:rPr>
            <w:fldChar w:fldCharType="begin"/>
          </w:r>
          <w:r w:rsidR="001C67C3">
            <w:rPr>
              <w:rFonts w:ascii="Times New Roman" w:hAnsi="Times New Roman" w:cs="Times New Roman"/>
            </w:rPr>
            <w:instrText xml:space="preserve">CITATION Ngu19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Carruthers </w:t>
      </w:r>
      <w:r w:rsidR="00E30C2B">
        <w:rPr>
          <w:rFonts w:ascii="Times New Roman" w:hAnsi="Times New Roman" w:cs="Times New Roman"/>
        </w:rPr>
        <w:t>et al.</w:t>
      </w:r>
      <w:r w:rsidRPr="003C6DFC">
        <w:rPr>
          <w:rFonts w:ascii="Times New Roman" w:hAnsi="Times New Roman" w:cs="Times New Roman"/>
        </w:rPr>
        <w:t xml:space="preserve"> </w:t>
      </w:r>
      <w:sdt>
        <w:sdtPr>
          <w:rPr>
            <w:rFonts w:ascii="Times New Roman" w:hAnsi="Times New Roman" w:cs="Times New Roman"/>
          </w:rPr>
          <w:id w:val="141382362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Car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(2023)</w:t>
          </w:r>
          <w:r w:rsidRPr="003C6DFC">
            <w:rPr>
              <w:rFonts w:ascii="Times New Roman" w:hAnsi="Times New Roman" w:cs="Times New Roman"/>
            </w:rPr>
            <w:fldChar w:fldCharType="end"/>
          </w:r>
        </w:sdtContent>
      </w:sdt>
      <w:r w:rsidRPr="003C6DFC">
        <w:rPr>
          <w:rFonts w:ascii="Times New Roman" w:hAnsi="Times New Roman" w:cs="Times New Roman"/>
        </w:rPr>
        <w:t xml:space="preserve"> noted this difference in effectiveness between promise and grant funding to be between 0.5 to 0.8 percentage points. </w:t>
      </w:r>
    </w:p>
    <w:p w14:paraId="7CC04AAD" w14:textId="1BDE4B95"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As Swanson et al. </w:t>
      </w:r>
      <w:sdt>
        <w:sdtPr>
          <w:rPr>
            <w:rFonts w:ascii="Times New Roman" w:hAnsi="Times New Roman" w:cs="Times New Roman"/>
          </w:rPr>
          <w:id w:val="-190135548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Swa20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and Dynarski et al. </w:t>
      </w:r>
      <w:sdt>
        <w:sdtPr>
          <w:rPr>
            <w:rFonts w:ascii="Times New Roman" w:hAnsi="Times New Roman" w:cs="Times New Roman"/>
          </w:rPr>
          <w:id w:val="-1053383664"/>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Dyn23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(2023)</w:t>
          </w:r>
          <w:r w:rsidRPr="003C6DFC">
            <w:rPr>
              <w:rFonts w:ascii="Times New Roman" w:hAnsi="Times New Roman" w:cs="Times New Roman"/>
            </w:rPr>
            <w:fldChar w:fldCharType="end"/>
          </w:r>
        </w:sdtContent>
      </w:sdt>
      <w:r w:rsidRPr="003C6DFC">
        <w:rPr>
          <w:rFonts w:ascii="Times New Roman" w:hAnsi="Times New Roman" w:cs="Times New Roman"/>
        </w:rPr>
        <w:t xml:space="preserve"> note there has been a numerous quasi-experimental research inquiries into promise programs. However, two issues contribute a lack of clarity to these programs. First is research on these programs is limited to the past two decades. For example, an early study on the earlier mentioned 21</w:t>
      </w:r>
      <w:r w:rsidRPr="003C6DFC">
        <w:rPr>
          <w:rFonts w:ascii="Times New Roman" w:hAnsi="Times New Roman" w:cs="Times New Roman"/>
          <w:vertAlign w:val="superscript"/>
        </w:rPr>
        <w:t>st</w:t>
      </w:r>
      <w:r w:rsidRPr="003C6DFC">
        <w:rPr>
          <w:rFonts w:ascii="Times New Roman" w:hAnsi="Times New Roman" w:cs="Times New Roman"/>
        </w:rPr>
        <w:t xml:space="preserve"> Century Scholars program in Indiana identified the positive results of promise programs as early as 2003 </w:t>
      </w:r>
      <w:sdt>
        <w:sdtPr>
          <w:rPr>
            <w:rFonts w:ascii="Times New Roman" w:hAnsi="Times New Roman" w:cs="Times New Roman"/>
          </w:rPr>
          <w:id w:val="136231989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StJ03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(St. John, Musoba, &amp; Simmons, 2003)</w:t>
          </w:r>
          <w:r w:rsidRPr="003C6DFC">
            <w:rPr>
              <w:rFonts w:ascii="Times New Roman" w:hAnsi="Times New Roman" w:cs="Times New Roman"/>
            </w:rPr>
            <w:fldChar w:fldCharType="end"/>
          </w:r>
        </w:sdtContent>
      </w:sdt>
      <w:r w:rsidRPr="003C6DFC">
        <w:rPr>
          <w:rFonts w:ascii="Times New Roman" w:hAnsi="Times New Roman" w:cs="Times New Roman"/>
        </w:rPr>
        <w:t xml:space="preserve">. Second, research has mostly centered the well-publicized early programs such as the Kalamazoo Promise and Tennessee Promise without attempts to consolidate research regarding these programs through more rigorous methods such as a meta-analysis. </w:t>
      </w:r>
    </w:p>
    <w:p w14:paraId="77FDCCCD" w14:textId="669806C2"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This created a challenge in assembling relevant promise program literature for this review. Studies on college promise programs studying either enrollment or other post-secondary outcomes are few in number </w:t>
      </w:r>
      <w:r w:rsidR="0098398E">
        <w:rPr>
          <w:rFonts w:ascii="Times New Roman" w:hAnsi="Times New Roman" w:cs="Times New Roman"/>
        </w:rPr>
        <w:t xml:space="preserve">and often study a limited number of longer established programs </w:t>
      </w:r>
      <w:r w:rsidRPr="003C6DFC">
        <w:rPr>
          <w:rFonts w:ascii="Times New Roman" w:hAnsi="Times New Roman" w:cs="Times New Roman"/>
        </w:rPr>
        <w:t>such as the Kalamazoo Promise</w:t>
      </w:r>
      <w:r w:rsidR="00DF1F52">
        <w:rPr>
          <w:rFonts w:ascii="Times New Roman" w:hAnsi="Times New Roman" w:cs="Times New Roman"/>
        </w:rPr>
        <w:t xml:space="preserve"> and Tennessee Promise</w:t>
      </w:r>
      <w:r w:rsidRPr="003C6DFC">
        <w:rPr>
          <w:rFonts w:ascii="Times New Roman" w:hAnsi="Times New Roman" w:cs="Times New Roman"/>
        </w:rPr>
        <w:t xml:space="preserve"> program</w:t>
      </w:r>
      <w:r w:rsidR="00DF1F52">
        <w:rPr>
          <w:rFonts w:ascii="Times New Roman" w:hAnsi="Times New Roman" w:cs="Times New Roman"/>
        </w:rPr>
        <w:t>s</w:t>
      </w:r>
      <w:r w:rsidR="008E1ADC">
        <w:rPr>
          <w:rFonts w:ascii="Times New Roman" w:hAnsi="Times New Roman" w:cs="Times New Roman"/>
        </w:rPr>
        <w:t xml:space="preserve">. </w:t>
      </w:r>
      <w:r w:rsidRPr="003C6DFC">
        <w:rPr>
          <w:rFonts w:ascii="Times New Roman" w:hAnsi="Times New Roman" w:cs="Times New Roman"/>
        </w:rPr>
        <w:t xml:space="preserve">While the scope of promise program research is narrow, researchers have still conducted numerous quasi-experimental studies that provide strong causal inferences regarding the effect of promise programs. </w:t>
      </w:r>
    </w:p>
    <w:p w14:paraId="5EA6BB59" w14:textId="77777777" w:rsidR="002E752C" w:rsidRPr="00B400CE" w:rsidRDefault="002E752C" w:rsidP="00CD45D6">
      <w:pPr>
        <w:pStyle w:val="Heading3"/>
        <w:spacing w:before="0" w:after="0"/>
      </w:pPr>
      <w:bookmarkStart w:id="32" w:name="_Toc183282266"/>
      <w:r w:rsidRPr="00B400CE">
        <w:lastRenderedPageBreak/>
        <w:t>Enrollment Related Outcomes</w:t>
      </w:r>
      <w:bookmarkEnd w:id="32"/>
    </w:p>
    <w:p w14:paraId="3D6E2E4F" w14:textId="1A5FA2B2"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Since the launch of the Kalamazoo Promise, studies on the effect of promise program adoption on enrollment have been a popular subject for researchers. Studies on changes to enrollment can be implemented more quickly than studies on graduation or post-graduation outcomes</w:t>
      </w:r>
      <w:r w:rsidR="0050113C">
        <w:rPr>
          <w:rFonts w:ascii="Times New Roman" w:hAnsi="Times New Roman" w:cs="Times New Roman"/>
        </w:rPr>
        <w:t>. This is due to</w:t>
      </w:r>
      <w:r w:rsidRPr="003C6DFC">
        <w:rPr>
          <w:rFonts w:ascii="Times New Roman" w:hAnsi="Times New Roman" w:cs="Times New Roman"/>
        </w:rPr>
        <w:t xml:space="preserve"> the time-lag </w:t>
      </w:r>
      <w:r w:rsidR="0050113C">
        <w:rPr>
          <w:rFonts w:ascii="Times New Roman" w:hAnsi="Times New Roman" w:cs="Times New Roman"/>
        </w:rPr>
        <w:t>needed</w:t>
      </w:r>
      <w:r w:rsidRPr="003C6DFC">
        <w:rPr>
          <w:rFonts w:ascii="Times New Roman" w:hAnsi="Times New Roman" w:cs="Times New Roman"/>
        </w:rPr>
        <w:t xml:space="preserve"> measure enrollment only </w:t>
      </w:r>
      <w:r w:rsidR="0050113C">
        <w:rPr>
          <w:rFonts w:ascii="Times New Roman" w:hAnsi="Times New Roman" w:cs="Times New Roman"/>
        </w:rPr>
        <w:t xml:space="preserve">being </w:t>
      </w:r>
      <w:r w:rsidRPr="003C6DFC">
        <w:rPr>
          <w:rFonts w:ascii="Times New Roman" w:hAnsi="Times New Roman" w:cs="Times New Roman"/>
        </w:rPr>
        <w:t xml:space="preserve">one admissions cycle whereas </w:t>
      </w:r>
      <w:r w:rsidR="0050113C">
        <w:rPr>
          <w:rFonts w:ascii="Times New Roman" w:hAnsi="Times New Roman" w:cs="Times New Roman"/>
        </w:rPr>
        <w:t>award</w:t>
      </w:r>
      <w:r w:rsidRPr="003C6DFC">
        <w:rPr>
          <w:rFonts w:ascii="Times New Roman" w:hAnsi="Times New Roman" w:cs="Times New Roman"/>
        </w:rPr>
        <w:t xml:space="preserve"> </w:t>
      </w:r>
      <w:r w:rsidR="0050113C">
        <w:rPr>
          <w:rFonts w:ascii="Times New Roman" w:hAnsi="Times New Roman" w:cs="Times New Roman"/>
        </w:rPr>
        <w:t>counts</w:t>
      </w:r>
      <w:r w:rsidRPr="003C6DFC">
        <w:rPr>
          <w:rFonts w:ascii="Times New Roman" w:hAnsi="Times New Roman" w:cs="Times New Roman"/>
        </w:rPr>
        <w:t xml:space="preserve"> may require 3 to 6 or more years before the evidence of this longer-term student outcome emerges. </w:t>
      </w:r>
    </w:p>
    <w:p w14:paraId="46F35288" w14:textId="0B8E607A" w:rsidR="002E752C" w:rsidRPr="003C6DFC" w:rsidRDefault="00115F60" w:rsidP="00CD45D6">
      <w:pPr>
        <w:spacing w:line="480" w:lineRule="auto"/>
        <w:ind w:firstLine="720"/>
        <w:rPr>
          <w:rFonts w:ascii="Times New Roman" w:hAnsi="Times New Roman" w:cs="Times New Roman"/>
        </w:rPr>
      </w:pPr>
      <w:r>
        <w:rPr>
          <w:rFonts w:ascii="Times New Roman" w:hAnsi="Times New Roman" w:cs="Times New Roman"/>
        </w:rPr>
        <w:t>P</w:t>
      </w:r>
      <w:r w:rsidR="002E752C" w:rsidRPr="003C6DFC">
        <w:rPr>
          <w:rFonts w:ascii="Times New Roman" w:hAnsi="Times New Roman" w:cs="Times New Roman"/>
        </w:rPr>
        <w:t xml:space="preserve">ositive effects on four-year enrollment through promise programs that can be utilized at a student’s choice of four-year or sub-baccalaureate institutions have been identified </w:t>
      </w:r>
      <w:sdt>
        <w:sdtPr>
          <w:rPr>
            <w:rFonts w:ascii="Times New Roman" w:hAnsi="Times New Roman" w:cs="Times New Roman"/>
          </w:rPr>
          <w:id w:val="302971226"/>
          <w:citation/>
        </w:sdtPr>
        <w:sdtContent>
          <w:r w:rsidR="00322738">
            <w:rPr>
              <w:rFonts w:ascii="Times New Roman" w:hAnsi="Times New Roman" w:cs="Times New Roman"/>
            </w:rPr>
            <w:fldChar w:fldCharType="begin"/>
          </w:r>
          <w:r w:rsidR="00322738">
            <w:rPr>
              <w:rFonts w:ascii="Times New Roman" w:hAnsi="Times New Roman" w:cs="Times New Roman"/>
            </w:rPr>
            <w:instrText xml:space="preserve"> CITATION Bar212 \l 1033 </w:instrText>
          </w:r>
          <w:r w:rsidR="00EE699F">
            <w:rPr>
              <w:rFonts w:ascii="Times New Roman" w:hAnsi="Times New Roman" w:cs="Times New Roman"/>
            </w:rPr>
            <w:instrText xml:space="preserve"> \m Bif19</w:instrText>
          </w:r>
          <w:r w:rsidR="00322738">
            <w:rPr>
              <w:rFonts w:ascii="Times New Roman" w:hAnsi="Times New Roman" w:cs="Times New Roman"/>
            </w:rPr>
            <w:fldChar w:fldCharType="separate"/>
          </w:r>
          <w:r w:rsidR="00A10468" w:rsidRPr="00A10468">
            <w:rPr>
              <w:rFonts w:ascii="Times New Roman" w:hAnsi="Times New Roman" w:cs="Times New Roman"/>
              <w:noProof/>
            </w:rPr>
            <w:t>(Bartik, Hershbein, &amp; Lachowska, 2021; Bifulco, 2019)</w:t>
          </w:r>
          <w:r w:rsidR="00322738">
            <w:rPr>
              <w:rFonts w:ascii="Times New Roman" w:hAnsi="Times New Roman" w:cs="Times New Roman"/>
            </w:rPr>
            <w:fldChar w:fldCharType="end"/>
          </w:r>
        </w:sdtContent>
      </w:sdt>
      <w:r w:rsidR="009D405E">
        <w:rPr>
          <w:rFonts w:ascii="Times New Roman" w:hAnsi="Times New Roman" w:cs="Times New Roman"/>
        </w:rPr>
        <w:t xml:space="preserve">. </w:t>
      </w:r>
      <w:r w:rsidR="00B35B15">
        <w:rPr>
          <w:rFonts w:ascii="Times New Roman" w:hAnsi="Times New Roman" w:cs="Times New Roman"/>
        </w:rPr>
        <w:t>Additionally</w:t>
      </w:r>
      <w:r w:rsidR="009D405E">
        <w:rPr>
          <w:rFonts w:ascii="Times New Roman" w:hAnsi="Times New Roman" w:cs="Times New Roman"/>
        </w:rPr>
        <w:t xml:space="preserve">, </w:t>
      </w:r>
      <w:r w:rsidR="00D00750">
        <w:rPr>
          <w:rFonts w:ascii="Times New Roman" w:hAnsi="Times New Roman" w:cs="Times New Roman"/>
        </w:rPr>
        <w:t xml:space="preserve">multiple studies have found that when </w:t>
      </w:r>
      <w:r w:rsidR="000223F9">
        <w:rPr>
          <w:rFonts w:ascii="Times New Roman" w:hAnsi="Times New Roman" w:cs="Times New Roman"/>
        </w:rPr>
        <w:t>only for use within the sub-</w:t>
      </w:r>
      <w:r w:rsidR="004F45AA">
        <w:rPr>
          <w:rFonts w:ascii="Times New Roman" w:hAnsi="Times New Roman" w:cs="Times New Roman"/>
        </w:rPr>
        <w:t>baccalaureate</w:t>
      </w:r>
      <w:r w:rsidR="000223F9">
        <w:rPr>
          <w:rFonts w:ascii="Times New Roman" w:hAnsi="Times New Roman" w:cs="Times New Roman"/>
        </w:rPr>
        <w:t xml:space="preserve"> that promise programs have a positive effect</w:t>
      </w:r>
      <w:r w:rsidR="00E04022">
        <w:rPr>
          <w:rFonts w:ascii="Times New Roman" w:hAnsi="Times New Roman" w:cs="Times New Roman"/>
        </w:rPr>
        <w:t>, increasing</w:t>
      </w:r>
      <w:r w:rsidR="000223F9">
        <w:rPr>
          <w:rFonts w:ascii="Times New Roman" w:hAnsi="Times New Roman" w:cs="Times New Roman"/>
        </w:rPr>
        <w:t xml:space="preserve"> enrollment</w:t>
      </w:r>
      <w:r w:rsidR="00E04022">
        <w:rPr>
          <w:rFonts w:ascii="Times New Roman" w:hAnsi="Times New Roman" w:cs="Times New Roman"/>
        </w:rPr>
        <w:t xml:space="preserve"> (</w:t>
      </w:r>
      <w:r w:rsidR="0094021F">
        <w:rPr>
          <w:rFonts w:ascii="Times New Roman" w:hAnsi="Times New Roman" w:cs="Times New Roman"/>
        </w:rPr>
        <w:t>Gurantz, 2020; House &amp; Dell, 2020</w:t>
      </w:r>
      <w:r w:rsidR="00E84559">
        <w:rPr>
          <w:rFonts w:ascii="Times New Roman" w:hAnsi="Times New Roman" w:cs="Times New Roman"/>
        </w:rPr>
        <w:t>; Nguyen, 2019</w:t>
      </w:r>
      <w:r w:rsidR="00E04022">
        <w:rPr>
          <w:rFonts w:ascii="Times New Roman" w:hAnsi="Times New Roman" w:cs="Times New Roman"/>
        </w:rPr>
        <w:t>).</w:t>
      </w:r>
      <w:r w:rsidR="000223F9">
        <w:rPr>
          <w:rFonts w:ascii="Times New Roman" w:hAnsi="Times New Roman" w:cs="Times New Roman"/>
        </w:rPr>
        <w:t xml:space="preserve"> </w:t>
      </w:r>
      <w:r w:rsidR="00D40948">
        <w:rPr>
          <w:rFonts w:ascii="Times New Roman" w:hAnsi="Times New Roman" w:cs="Times New Roman"/>
        </w:rPr>
        <w:t xml:space="preserve">However, it should be noted that current promise program research draws </w:t>
      </w:r>
      <w:r w:rsidR="00B35B15">
        <w:rPr>
          <w:rFonts w:ascii="Times New Roman" w:hAnsi="Times New Roman" w:cs="Times New Roman"/>
        </w:rPr>
        <w:t xml:space="preserve">heavily </w:t>
      </w:r>
      <w:r w:rsidR="00D40948">
        <w:rPr>
          <w:rFonts w:ascii="Times New Roman" w:hAnsi="Times New Roman" w:cs="Times New Roman"/>
        </w:rPr>
        <w:t xml:space="preserve">upon </w:t>
      </w:r>
      <w:r>
        <w:rPr>
          <w:rFonts w:ascii="Times New Roman" w:hAnsi="Times New Roman" w:cs="Times New Roman"/>
        </w:rPr>
        <w:t>a handful of long-standing</w:t>
      </w:r>
      <w:r w:rsidR="00D40948">
        <w:rPr>
          <w:rFonts w:ascii="Times New Roman" w:hAnsi="Times New Roman" w:cs="Times New Roman"/>
        </w:rPr>
        <w:t xml:space="preserve"> programs such as the Kalamazoo Promise, Tennessee Promise, Excelsior Scholarship</w:t>
      </w:r>
      <w:r w:rsidR="004B2511">
        <w:rPr>
          <w:rFonts w:ascii="Times New Roman" w:hAnsi="Times New Roman" w:cs="Times New Roman"/>
        </w:rPr>
        <w:t xml:space="preserve">, and El Dorado scholarships which may not be representative of </w:t>
      </w:r>
      <w:r w:rsidR="00B35B15">
        <w:rPr>
          <w:rFonts w:ascii="Times New Roman" w:hAnsi="Times New Roman" w:cs="Times New Roman"/>
        </w:rPr>
        <w:t xml:space="preserve">all </w:t>
      </w:r>
      <w:r w:rsidR="00FB2A8B">
        <w:rPr>
          <w:rFonts w:ascii="Times New Roman" w:hAnsi="Times New Roman" w:cs="Times New Roman"/>
        </w:rPr>
        <w:t>other promise programs. Thus, it is important to examine the effects fo</w:t>
      </w:r>
      <w:r w:rsidR="00E02AA6">
        <w:rPr>
          <w:rFonts w:ascii="Times New Roman" w:hAnsi="Times New Roman" w:cs="Times New Roman"/>
        </w:rPr>
        <w:t>r</w:t>
      </w:r>
      <w:r w:rsidR="00FB2A8B">
        <w:rPr>
          <w:rFonts w:ascii="Times New Roman" w:hAnsi="Times New Roman" w:cs="Times New Roman"/>
        </w:rPr>
        <w:t xml:space="preserve"> these programs in aggregate as my study does</w:t>
      </w:r>
      <w:r w:rsidR="00B35B15">
        <w:rPr>
          <w:rFonts w:ascii="Times New Roman" w:hAnsi="Times New Roman" w:cs="Times New Roman"/>
        </w:rPr>
        <w:t xml:space="preserve"> for the best understanding of promise program effects</w:t>
      </w:r>
      <w:r w:rsidR="00E02AA6">
        <w:rPr>
          <w:rFonts w:ascii="Times New Roman" w:hAnsi="Times New Roman" w:cs="Times New Roman"/>
        </w:rPr>
        <w:t>.</w:t>
      </w:r>
    </w:p>
    <w:p w14:paraId="17D1ABA9" w14:textId="77777777" w:rsidR="002E752C" w:rsidRPr="003C6DFC" w:rsidRDefault="002E752C" w:rsidP="00CD45D6">
      <w:pPr>
        <w:spacing w:line="480" w:lineRule="auto"/>
        <w:rPr>
          <w:rFonts w:ascii="Times New Roman" w:hAnsi="Times New Roman" w:cs="Times New Roman"/>
          <w:b/>
          <w:bCs/>
          <w:i/>
          <w:iCs/>
        </w:rPr>
      </w:pPr>
      <w:r w:rsidRPr="003C6DFC">
        <w:rPr>
          <w:rFonts w:ascii="Times New Roman" w:hAnsi="Times New Roman" w:cs="Times New Roman"/>
          <w:b/>
          <w:bCs/>
          <w:i/>
          <w:iCs/>
        </w:rPr>
        <w:t>Studies Comparing Multiple Promise Programs</w:t>
      </w:r>
    </w:p>
    <w:p w14:paraId="61B32678" w14:textId="5EB92265" w:rsidR="002E752C" w:rsidRPr="003C6DFC" w:rsidRDefault="00BD2259" w:rsidP="00CD45D6">
      <w:pPr>
        <w:spacing w:line="480" w:lineRule="auto"/>
        <w:ind w:firstLine="720"/>
        <w:rPr>
          <w:rFonts w:ascii="Times New Roman" w:hAnsi="Times New Roman" w:cs="Times New Roman"/>
        </w:rPr>
      </w:pPr>
      <w:r>
        <w:rPr>
          <w:rFonts w:ascii="Times New Roman" w:hAnsi="Times New Roman" w:cs="Times New Roman"/>
        </w:rPr>
        <w:t xml:space="preserve">Working toward establishing this aggregate effect for sub-baccalaureate enrollment, </w:t>
      </w:r>
      <w:r w:rsidR="002E752C" w:rsidRPr="003C6DFC">
        <w:rPr>
          <w:rFonts w:ascii="Times New Roman" w:hAnsi="Times New Roman" w:cs="Times New Roman"/>
        </w:rPr>
        <w:t xml:space="preserve">Li and Gándara </w:t>
      </w:r>
      <w:sdt>
        <w:sdtPr>
          <w:rPr>
            <w:rFonts w:ascii="Times New Roman" w:hAnsi="Times New Roman" w:cs="Times New Roman"/>
          </w:rPr>
          <w:id w:val="-302228495"/>
          <w:citation/>
        </w:sdtPr>
        <w:sdtContent>
          <w:r w:rsidR="002E752C" w:rsidRPr="003C6DFC">
            <w:rPr>
              <w:rFonts w:ascii="Times New Roman" w:hAnsi="Times New Roman" w:cs="Times New Roman"/>
            </w:rPr>
            <w:fldChar w:fldCharType="begin"/>
          </w:r>
          <w:r w:rsidR="002E752C" w:rsidRPr="003C6DFC">
            <w:rPr>
              <w:rFonts w:ascii="Times New Roman" w:hAnsi="Times New Roman" w:cs="Times New Roman"/>
            </w:rPr>
            <w:instrText xml:space="preserve">CITATION LiA20 \n  \t  \l 1033 </w:instrText>
          </w:r>
          <w:r w:rsidR="002E752C" w:rsidRPr="003C6DFC">
            <w:rPr>
              <w:rFonts w:ascii="Times New Roman" w:hAnsi="Times New Roman" w:cs="Times New Roman"/>
            </w:rPr>
            <w:fldChar w:fldCharType="separate"/>
          </w:r>
          <w:r w:rsidR="00A10468" w:rsidRPr="00A10468">
            <w:rPr>
              <w:rFonts w:ascii="Times New Roman" w:hAnsi="Times New Roman" w:cs="Times New Roman"/>
              <w:noProof/>
            </w:rPr>
            <w:t>(2020)</w:t>
          </w:r>
          <w:r w:rsidR="002E752C" w:rsidRPr="003C6DFC">
            <w:rPr>
              <w:rFonts w:ascii="Times New Roman" w:hAnsi="Times New Roman" w:cs="Times New Roman"/>
            </w:rPr>
            <w:fldChar w:fldCharType="end"/>
          </w:r>
        </w:sdtContent>
      </w:sdt>
      <w:r w:rsidR="002E752C" w:rsidRPr="003C6DFC">
        <w:rPr>
          <w:rFonts w:ascii="Times New Roman" w:hAnsi="Times New Roman" w:cs="Times New Roman"/>
        </w:rPr>
        <w:t xml:space="preserve"> utilized difference-in-difference methods to analyze enrollment data across 32 institutional-level promise programs at 31 two-year, public </w:t>
      </w:r>
      <w:r w:rsidR="002E752C" w:rsidRPr="003C6DFC">
        <w:rPr>
          <w:rFonts w:ascii="Times New Roman" w:hAnsi="Times New Roman" w:cs="Times New Roman"/>
        </w:rPr>
        <w:lastRenderedPageBreak/>
        <w:t>institutions.</w:t>
      </w:r>
      <w:r w:rsidR="00F745B7">
        <w:rPr>
          <w:rFonts w:ascii="Times New Roman" w:hAnsi="Times New Roman" w:cs="Times New Roman"/>
        </w:rPr>
        <w:t xml:space="preserve"> These </w:t>
      </w:r>
      <w:r w:rsidR="004B01E4">
        <w:rPr>
          <w:rFonts w:ascii="Times New Roman" w:hAnsi="Times New Roman" w:cs="Times New Roman"/>
        </w:rPr>
        <w:t xml:space="preserve">programs were identified using the </w:t>
      </w:r>
      <w:r w:rsidR="00623135" w:rsidRPr="004B01E4">
        <w:rPr>
          <w:rFonts w:ascii="Times New Roman" w:hAnsi="Times New Roman" w:cs="Times New Roman"/>
        </w:rPr>
        <w:t>PENNAhead</w:t>
      </w:r>
      <w:r w:rsidR="004B01E4" w:rsidRPr="004B01E4">
        <w:rPr>
          <w:rFonts w:ascii="Times New Roman" w:hAnsi="Times New Roman" w:cs="Times New Roman"/>
        </w:rPr>
        <w:t xml:space="preserve"> College Promise Programs inventory (Perna &amp; Leigh, 2016</w:t>
      </w:r>
      <w:r w:rsidR="004B01E4">
        <w:rPr>
          <w:rFonts w:ascii="Times New Roman" w:hAnsi="Times New Roman" w:cs="Times New Roman"/>
        </w:rPr>
        <w:t xml:space="preserve">) which is a small sub-set of privately </w:t>
      </w:r>
      <w:r w:rsidR="004B23AD">
        <w:rPr>
          <w:rFonts w:ascii="Times New Roman" w:hAnsi="Times New Roman" w:cs="Times New Roman"/>
        </w:rPr>
        <w:t>managed</w:t>
      </w:r>
      <w:r w:rsidR="004B01E4">
        <w:rPr>
          <w:rFonts w:ascii="Times New Roman" w:hAnsi="Times New Roman" w:cs="Times New Roman"/>
        </w:rPr>
        <w:t xml:space="preserve"> promise programs</w:t>
      </w:r>
      <w:r w:rsidR="004B23AD">
        <w:rPr>
          <w:rFonts w:ascii="Times New Roman" w:hAnsi="Times New Roman" w:cs="Times New Roman"/>
        </w:rPr>
        <w:t xml:space="preserve"> such as the Kalamazoo Promise</w:t>
      </w:r>
      <w:r w:rsidR="004B01E4">
        <w:rPr>
          <w:rFonts w:ascii="Times New Roman" w:hAnsi="Times New Roman" w:cs="Times New Roman"/>
        </w:rPr>
        <w:t xml:space="preserve"> that fit the Miller-Adams (2015) definition of promise programs</w:t>
      </w:r>
      <w:r w:rsidR="004B23AD">
        <w:rPr>
          <w:rFonts w:ascii="Times New Roman" w:hAnsi="Times New Roman" w:cs="Times New Roman"/>
        </w:rPr>
        <w:t xml:space="preserve">. </w:t>
      </w:r>
      <w:r w:rsidR="002E752C" w:rsidRPr="003C6DFC">
        <w:rPr>
          <w:rFonts w:ascii="Times New Roman" w:hAnsi="Times New Roman" w:cs="Times New Roman"/>
        </w:rPr>
        <w:t xml:space="preserve">In this study, Li and Gándara constructed multiple comparison groups that </w:t>
      </w:r>
      <w:r w:rsidR="00E611F4">
        <w:rPr>
          <w:rFonts w:ascii="Times New Roman" w:hAnsi="Times New Roman" w:cs="Times New Roman"/>
        </w:rPr>
        <w:t>fall</w:t>
      </w:r>
      <w:r w:rsidR="002E752C" w:rsidRPr="003C6DFC">
        <w:rPr>
          <w:rFonts w:ascii="Times New Roman" w:hAnsi="Times New Roman" w:cs="Times New Roman"/>
        </w:rPr>
        <w:t xml:space="preserve"> under one of two groups. The first considered both geo-graphically and </w:t>
      </w:r>
      <w:r w:rsidR="00115F60" w:rsidRPr="003C6DFC">
        <w:rPr>
          <w:rFonts w:ascii="Times New Roman" w:hAnsi="Times New Roman" w:cs="Times New Roman"/>
        </w:rPr>
        <w:t>assumabl</w:t>
      </w:r>
      <w:r w:rsidR="00115F60">
        <w:rPr>
          <w:rFonts w:ascii="Times New Roman" w:hAnsi="Times New Roman" w:cs="Times New Roman"/>
        </w:rPr>
        <w:t>y</w:t>
      </w:r>
      <w:r w:rsidR="002E752C" w:rsidRPr="003C6DFC">
        <w:rPr>
          <w:rFonts w:ascii="Times New Roman" w:hAnsi="Times New Roman" w:cs="Times New Roman"/>
        </w:rPr>
        <w:t xml:space="preserve"> similar institutions. Within the second group consisting of four comparison groups, Li and Gándara utilized state-level samples from surrounding and non-promise program offering states to account for potential regional-level enrollment changes caused by an institution with a promise program that was geographically close to an institution that did not offer a promise program. </w:t>
      </w:r>
    </w:p>
    <w:p w14:paraId="30D7ACA6" w14:textId="67588BA0"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Using difference-in-difference to account for fixed-effects in variation between years</w:t>
      </w:r>
      <w:r w:rsidR="00115F60">
        <w:rPr>
          <w:rFonts w:ascii="Times New Roman" w:hAnsi="Times New Roman" w:cs="Times New Roman"/>
        </w:rPr>
        <w:t>,</w:t>
      </w:r>
      <w:r w:rsidRPr="003C6DFC">
        <w:rPr>
          <w:rFonts w:ascii="Times New Roman" w:hAnsi="Times New Roman" w:cs="Times New Roman"/>
        </w:rPr>
        <w:t xml:space="preserve"> Li and Gándara </w:t>
      </w:r>
      <w:sdt>
        <w:sdtPr>
          <w:rPr>
            <w:rFonts w:ascii="Times New Roman" w:hAnsi="Times New Roman" w:cs="Times New Roman"/>
          </w:rPr>
          <w:id w:val="395254780"/>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LiA20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were able to identify the interaction between treatment (having a promise program at an institution) and amount of time in operation to find effects on enrollment among first-time-in-college, full-time students and how effects may vary across program type. Across all promise program offering institutions the average increase to enrollment following treatment was </w:t>
      </w:r>
      <w:r w:rsidR="00115F60">
        <w:rPr>
          <w:rFonts w:ascii="Times New Roman" w:hAnsi="Times New Roman" w:cs="Times New Roman"/>
        </w:rPr>
        <w:t xml:space="preserve">a </w:t>
      </w:r>
      <w:r w:rsidRPr="003C6DFC">
        <w:rPr>
          <w:rFonts w:ascii="Times New Roman" w:hAnsi="Times New Roman" w:cs="Times New Roman"/>
        </w:rPr>
        <w:t xml:space="preserve">22% increase of approximately 180 additional students. Regarding differences in effect between program types, the effect of program adoption was 20% lower when programs introduced need-based requirements to receive aid as compared to programs without a need-based requirement. Programs that did not require additional student engagement with support services had </w:t>
      </w:r>
      <w:r w:rsidR="00115F60">
        <w:rPr>
          <w:rFonts w:ascii="Times New Roman" w:hAnsi="Times New Roman" w:cs="Times New Roman"/>
        </w:rPr>
        <w:t xml:space="preserve">a </w:t>
      </w:r>
      <w:r w:rsidRPr="003C6DFC">
        <w:rPr>
          <w:rFonts w:ascii="Times New Roman" w:hAnsi="Times New Roman" w:cs="Times New Roman"/>
        </w:rPr>
        <w:t xml:space="preserve">22% higher increase in enrollment than programs that required engagement with student support </w:t>
      </w:r>
      <w:r w:rsidRPr="003C6DFC">
        <w:rPr>
          <w:rFonts w:ascii="Times New Roman" w:hAnsi="Times New Roman" w:cs="Times New Roman"/>
        </w:rPr>
        <w:lastRenderedPageBreak/>
        <w:t xml:space="preserve">services. Li and Gándara </w:t>
      </w:r>
      <w:sdt>
        <w:sdtPr>
          <w:rPr>
            <w:rFonts w:ascii="Times New Roman" w:hAnsi="Times New Roman" w:cs="Times New Roman"/>
          </w:rPr>
          <w:id w:val="-104482032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LiA20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found no statistically significant difference in effect on enrollment between last-dollar and first-dollar programs. </w:t>
      </w:r>
    </w:p>
    <w:p w14:paraId="5D073B16" w14:textId="3FFCEC59"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However, these findings are complicated by the caveat that comparisons between colleges with these additional requirements and those that did not were conducted across differing comparison groups. Li and Gándara </w:t>
      </w:r>
      <w:sdt>
        <w:sdtPr>
          <w:rPr>
            <w:rFonts w:ascii="Times New Roman" w:hAnsi="Times New Roman" w:cs="Times New Roman"/>
          </w:rPr>
          <w:id w:val="645405702"/>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LiA20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suggest that </w:t>
      </w:r>
      <w:r w:rsidR="00115F60">
        <w:rPr>
          <w:rFonts w:ascii="Times New Roman" w:hAnsi="Times New Roman" w:cs="Times New Roman"/>
        </w:rPr>
        <w:t xml:space="preserve">an </w:t>
      </w:r>
      <w:r w:rsidRPr="003C6DFC">
        <w:rPr>
          <w:rFonts w:ascii="Times New Roman" w:hAnsi="Times New Roman" w:cs="Times New Roman"/>
        </w:rPr>
        <w:t xml:space="preserve">over-arching, simpler message promoting free college </w:t>
      </w:r>
      <w:r w:rsidR="00115F60">
        <w:rPr>
          <w:rFonts w:ascii="Times New Roman" w:hAnsi="Times New Roman" w:cs="Times New Roman"/>
        </w:rPr>
        <w:t>could</w:t>
      </w:r>
      <w:r w:rsidRPr="003C6DFC">
        <w:rPr>
          <w:rFonts w:ascii="Times New Roman" w:hAnsi="Times New Roman" w:cs="Times New Roman"/>
        </w:rPr>
        <w:t xml:space="preserve"> be the most effective</w:t>
      </w:r>
      <w:r w:rsidR="00F2587D">
        <w:rPr>
          <w:rFonts w:ascii="Times New Roman" w:hAnsi="Times New Roman" w:cs="Times New Roman"/>
        </w:rPr>
        <w:t xml:space="preserve"> strategy to</w:t>
      </w:r>
      <w:r w:rsidRPr="003C6DFC">
        <w:rPr>
          <w:rFonts w:ascii="Times New Roman" w:hAnsi="Times New Roman" w:cs="Times New Roman"/>
        </w:rPr>
        <w:t xml:space="preserve"> increasing enrollment. </w:t>
      </w:r>
      <w:r w:rsidR="00F2587D">
        <w:rPr>
          <w:rFonts w:ascii="Times New Roman" w:hAnsi="Times New Roman" w:cs="Times New Roman"/>
        </w:rPr>
        <w:t>Conversely, they found</w:t>
      </w:r>
      <w:r w:rsidRPr="003C6DFC">
        <w:rPr>
          <w:rFonts w:ascii="Times New Roman" w:hAnsi="Times New Roman" w:cs="Times New Roman"/>
        </w:rPr>
        <w:t xml:space="preserve"> the inclusion</w:t>
      </w:r>
      <w:r w:rsidR="00B53E04">
        <w:rPr>
          <w:rFonts w:ascii="Times New Roman" w:hAnsi="Times New Roman" w:cs="Times New Roman"/>
        </w:rPr>
        <w:t xml:space="preserve"> of</w:t>
      </w:r>
      <w:r w:rsidRPr="003C6DFC">
        <w:rPr>
          <w:rFonts w:ascii="Times New Roman" w:hAnsi="Times New Roman" w:cs="Times New Roman"/>
        </w:rPr>
        <w:t xml:space="preserve"> additional requirements embedded in promise programs can reduce </w:t>
      </w:r>
      <w:r w:rsidR="00F2587D">
        <w:rPr>
          <w:rFonts w:ascii="Times New Roman" w:hAnsi="Times New Roman" w:cs="Times New Roman"/>
        </w:rPr>
        <w:t>the</w:t>
      </w:r>
      <w:r w:rsidR="00B53E04">
        <w:rPr>
          <w:rFonts w:ascii="Times New Roman" w:hAnsi="Times New Roman" w:cs="Times New Roman"/>
        </w:rPr>
        <w:t xml:space="preserve"> positive</w:t>
      </w:r>
      <w:r w:rsidRPr="003C6DFC">
        <w:rPr>
          <w:rFonts w:ascii="Times New Roman" w:hAnsi="Times New Roman" w:cs="Times New Roman"/>
        </w:rPr>
        <w:t xml:space="preserve"> effect </w:t>
      </w:r>
      <w:r w:rsidR="00245FBB">
        <w:rPr>
          <w:rFonts w:ascii="Times New Roman" w:hAnsi="Times New Roman" w:cs="Times New Roman"/>
        </w:rPr>
        <w:t xml:space="preserve">that </w:t>
      </w:r>
      <w:r w:rsidR="00B53E04">
        <w:rPr>
          <w:rFonts w:ascii="Times New Roman" w:hAnsi="Times New Roman" w:cs="Times New Roman"/>
        </w:rPr>
        <w:t xml:space="preserve">these programs have </w:t>
      </w:r>
      <w:r w:rsidRPr="003C6DFC">
        <w:rPr>
          <w:rFonts w:ascii="Times New Roman" w:hAnsi="Times New Roman" w:cs="Times New Roman"/>
        </w:rPr>
        <w:t>on increasing postsecondary enrollment.</w:t>
      </w:r>
    </w:p>
    <w:p w14:paraId="7972B293" w14:textId="71731D6F"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A second study by </w:t>
      </w:r>
      <w:r w:rsidR="004E3F2E" w:rsidRPr="003C6DFC">
        <w:rPr>
          <w:rFonts w:ascii="Times New Roman" w:hAnsi="Times New Roman" w:cs="Times New Roman"/>
        </w:rPr>
        <w:t>these two researchers</w:t>
      </w:r>
      <w:r w:rsidRPr="003C6DFC">
        <w:rPr>
          <w:rFonts w:ascii="Times New Roman" w:hAnsi="Times New Roman" w:cs="Times New Roman"/>
        </w:rPr>
        <w:t xml:space="preserve"> leverages </w:t>
      </w:r>
      <w:r w:rsidR="00C031F6">
        <w:rPr>
          <w:rFonts w:ascii="Times New Roman" w:hAnsi="Times New Roman" w:cs="Times New Roman"/>
        </w:rPr>
        <w:t xml:space="preserve">a sub-set of this </w:t>
      </w:r>
      <w:r w:rsidRPr="003C6DFC">
        <w:rPr>
          <w:rFonts w:ascii="Times New Roman" w:hAnsi="Times New Roman" w:cs="Times New Roman"/>
        </w:rPr>
        <w:t>data</w:t>
      </w:r>
      <w:r w:rsidR="00C031F6">
        <w:rPr>
          <w:rFonts w:ascii="Times New Roman" w:hAnsi="Times New Roman" w:cs="Times New Roman"/>
        </w:rPr>
        <w:t xml:space="preserve"> focused on the El Dorado Promise program to</w:t>
      </w:r>
      <w:r w:rsidRPr="003C6DFC">
        <w:rPr>
          <w:rFonts w:ascii="Times New Roman" w:hAnsi="Times New Roman" w:cs="Times New Roman"/>
        </w:rPr>
        <w:t xml:space="preserve"> examine</w:t>
      </w:r>
      <w:r w:rsidR="00C031F6">
        <w:rPr>
          <w:rFonts w:ascii="Times New Roman" w:hAnsi="Times New Roman" w:cs="Times New Roman"/>
        </w:rPr>
        <w:t xml:space="preserve"> t</w:t>
      </w:r>
      <w:r w:rsidRPr="003C6DFC">
        <w:rPr>
          <w:rFonts w:ascii="Times New Roman" w:hAnsi="Times New Roman" w:cs="Times New Roman"/>
        </w:rPr>
        <w:t xml:space="preserve">wo new research questions. This second study asks how 1) effects of promise program adoption vary across racial/ethnic and gender groups and 2) how effects on these groups varied across program differences. Across all programs, increases in enrollment where most pronounced for Black and Hispanic students. Black, male enrollment increased by 47% while Black, female enrollment increased by 49%. This is an increase of approximately 21 Black, male and 27 Black, female students across the average institution in the treatment group. For Hispanic, males the increase was approximately 40% or 20 additional students per institution offering a promise program and 52% or 30 students for Hispanic, females. </w:t>
      </w:r>
    </w:p>
    <w:p w14:paraId="4039ADB5" w14:textId="57A27296"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While White, male and White, female students were found to have smaller increases of 37% and 27% respectively, Gándara and Li </w:t>
      </w:r>
      <w:sdt>
        <w:sdtPr>
          <w:rPr>
            <w:rFonts w:ascii="Times New Roman" w:hAnsi="Times New Roman" w:cs="Times New Roman"/>
          </w:rPr>
          <w:id w:val="138205774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Gan20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found non-significant increases on enrollment for students from Asian and Pacific Islander backgrounds. </w:t>
      </w:r>
      <w:r w:rsidRPr="003C6DFC">
        <w:rPr>
          <w:rFonts w:ascii="Times New Roman" w:hAnsi="Times New Roman" w:cs="Times New Roman"/>
        </w:rPr>
        <w:lastRenderedPageBreak/>
        <w:t xml:space="preserve">Additional analysis of pre-event trends through an event study model included by Gándara and Li show no signs of pre-treatment trends affecting these findings. However, this event study approach did find statistically significant increases for Asian and Pacific Islander students albeit the increases are at a level that this group did not increase their share of enrollment in community colleges with promise programs. </w:t>
      </w:r>
    </w:p>
    <w:p w14:paraId="7FC9DFC7" w14:textId="1A9DBCF4"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Gándara and Li’s </w:t>
      </w:r>
      <w:sdt>
        <w:sdtPr>
          <w:rPr>
            <w:rFonts w:ascii="Times New Roman" w:hAnsi="Times New Roman" w:cs="Times New Roman"/>
          </w:rPr>
          <w:id w:val="-2039806452"/>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Gan20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analysis of differences between promise program designs found non-significant differences in enrollment increases between </w:t>
      </w:r>
      <w:r w:rsidR="004A242B" w:rsidRPr="003C6DFC">
        <w:rPr>
          <w:rFonts w:ascii="Times New Roman" w:hAnsi="Times New Roman" w:cs="Times New Roman"/>
        </w:rPr>
        <w:t>first dollar</w:t>
      </w:r>
      <w:r w:rsidRPr="003C6DFC">
        <w:rPr>
          <w:rFonts w:ascii="Times New Roman" w:hAnsi="Times New Roman" w:cs="Times New Roman"/>
        </w:rPr>
        <w:t xml:space="preserve"> and last-dollar programs for all racial groups except White students. This suggests that while non-White groups are similarly receptive to promise programs regardless of type, White students respond more through increased rates of enrollment to more generous, first-dollar programs. Income-requirements resulted in statistically significant, decreases in the overall positive effect of promise programs. This statistically significant decrease in effectiveness was observed across all racial/ethnic and gender subgroups except Black, males who experienced non-significant decreases. </w:t>
      </w:r>
    </w:p>
    <w:p w14:paraId="1395EB21" w14:textId="6D2CDCAE" w:rsidR="002E752C" w:rsidRPr="00042EFF"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Regarding promise program award amount</w:t>
      </w:r>
      <w:r w:rsidR="00245FBB">
        <w:rPr>
          <w:rFonts w:ascii="Times New Roman" w:hAnsi="Times New Roman" w:cs="Times New Roman"/>
        </w:rPr>
        <w:t>s</w:t>
      </w:r>
      <w:r w:rsidRPr="003C6DFC">
        <w:rPr>
          <w:rFonts w:ascii="Times New Roman" w:hAnsi="Times New Roman" w:cs="Times New Roman"/>
        </w:rPr>
        <w:t xml:space="preserve">, only Asian and Pacific Islander students responded with increased enrollment to more generous promise programs that covered full tuition costs as opposed to partial tuition costs. Other groups responded with non-significant differences between promise programs with varying levels of generosity. Finally, programs that required differences in enrollment between programs that required additional student support services and those that did not were statistically insignificant across all groups except Black, females who responded with higher rates of enrollment in programs that required participation in addition support services. Both the Li and </w:t>
      </w:r>
      <w:r w:rsidRPr="003C6DFC">
        <w:rPr>
          <w:rFonts w:ascii="Times New Roman" w:hAnsi="Times New Roman" w:cs="Times New Roman"/>
        </w:rPr>
        <w:lastRenderedPageBreak/>
        <w:t xml:space="preserve">Gándara </w:t>
      </w:r>
      <w:sdt>
        <w:sdtPr>
          <w:rPr>
            <w:rFonts w:ascii="Times New Roman" w:hAnsi="Times New Roman" w:cs="Times New Roman"/>
          </w:rPr>
          <w:id w:val="132400273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LiA20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and Gándara and Li </w:t>
      </w:r>
      <w:sdt>
        <w:sdtPr>
          <w:rPr>
            <w:rFonts w:ascii="Times New Roman" w:hAnsi="Times New Roman" w:cs="Times New Roman"/>
          </w:rPr>
          <w:id w:val="138406428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Gan20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studies are notable in the scope of the number of promise programs studied. While these two studies concerning effects on enrollment offer a unique</w:t>
      </w:r>
      <w:r w:rsidR="00A937D1">
        <w:rPr>
          <w:rFonts w:ascii="Times New Roman" w:hAnsi="Times New Roman" w:cs="Times New Roman"/>
        </w:rPr>
        <w:t xml:space="preserve"> </w:t>
      </w:r>
      <w:r w:rsidRPr="003C6DFC">
        <w:rPr>
          <w:rFonts w:ascii="Times New Roman" w:hAnsi="Times New Roman" w:cs="Times New Roman"/>
        </w:rPr>
        <w:t xml:space="preserve">sample of </w:t>
      </w:r>
      <w:r w:rsidR="009E6A0D">
        <w:rPr>
          <w:rFonts w:ascii="Times New Roman" w:hAnsi="Times New Roman" w:cs="Times New Roman"/>
        </w:rPr>
        <w:t xml:space="preserve">multiple </w:t>
      </w:r>
      <w:r w:rsidRPr="003C6DFC">
        <w:rPr>
          <w:rFonts w:ascii="Times New Roman" w:hAnsi="Times New Roman" w:cs="Times New Roman"/>
        </w:rPr>
        <w:t xml:space="preserve">promise programs, </w:t>
      </w:r>
      <w:r w:rsidR="009E6A0D">
        <w:rPr>
          <w:rFonts w:ascii="Times New Roman" w:hAnsi="Times New Roman" w:cs="Times New Roman"/>
        </w:rPr>
        <w:t>th</w:t>
      </w:r>
      <w:r w:rsidR="002D7F0D">
        <w:rPr>
          <w:rFonts w:ascii="Times New Roman" w:hAnsi="Times New Roman" w:cs="Times New Roman"/>
        </w:rPr>
        <w:t xml:space="preserve">ese </w:t>
      </w:r>
      <w:r w:rsidR="009E6A0D">
        <w:rPr>
          <w:rFonts w:ascii="Times New Roman" w:hAnsi="Times New Roman" w:cs="Times New Roman"/>
        </w:rPr>
        <w:t xml:space="preserve">studies </w:t>
      </w:r>
      <w:r w:rsidR="00703ECB">
        <w:rPr>
          <w:rFonts w:ascii="Times New Roman" w:hAnsi="Times New Roman" w:cs="Times New Roman"/>
        </w:rPr>
        <w:t>were conducted on a smaller sample that my present study</w:t>
      </w:r>
      <w:r w:rsidR="00564830">
        <w:rPr>
          <w:rFonts w:ascii="Times New Roman" w:hAnsi="Times New Roman" w:cs="Times New Roman"/>
        </w:rPr>
        <w:t xml:space="preserve"> which captures a wider range of free college programs and constructs a broad comparison group nationally.</w:t>
      </w:r>
    </w:p>
    <w:p w14:paraId="7969FC12" w14:textId="6E76D11E" w:rsidR="002E752C" w:rsidRPr="003C6DFC" w:rsidRDefault="00BC4610" w:rsidP="00CD45D6">
      <w:pPr>
        <w:spacing w:line="480" w:lineRule="auto"/>
        <w:rPr>
          <w:rFonts w:ascii="Times New Roman" w:hAnsi="Times New Roman" w:cs="Times New Roman"/>
          <w:b/>
          <w:bCs/>
          <w:i/>
          <w:iCs/>
        </w:rPr>
      </w:pPr>
      <w:r>
        <w:rPr>
          <w:rFonts w:ascii="Times New Roman" w:hAnsi="Times New Roman" w:cs="Times New Roman"/>
          <w:b/>
          <w:bCs/>
          <w:i/>
          <w:iCs/>
        </w:rPr>
        <w:t xml:space="preserve">Sub-Baccalaureate </w:t>
      </w:r>
      <w:r w:rsidR="002E752C" w:rsidRPr="003C6DFC">
        <w:rPr>
          <w:rFonts w:ascii="Times New Roman" w:hAnsi="Times New Roman" w:cs="Times New Roman"/>
          <w:b/>
          <w:bCs/>
          <w:i/>
          <w:iCs/>
        </w:rPr>
        <w:t>Promise Program Studies</w:t>
      </w:r>
    </w:p>
    <w:p w14:paraId="71F82962" w14:textId="3BE2309C"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Narrowing in focus to </w:t>
      </w:r>
      <w:r w:rsidR="00BC4610">
        <w:rPr>
          <w:rFonts w:ascii="Times New Roman" w:hAnsi="Times New Roman" w:cs="Times New Roman"/>
        </w:rPr>
        <w:t>the sub-baccalaureate</w:t>
      </w:r>
      <w:r w:rsidRPr="003C6DFC">
        <w:rPr>
          <w:rFonts w:ascii="Times New Roman" w:hAnsi="Times New Roman" w:cs="Times New Roman"/>
        </w:rPr>
        <w:t xml:space="preserve"> specifically, an early study by House and Dell</w:t>
      </w:r>
      <w:sdt>
        <w:sdtPr>
          <w:rPr>
            <w:rFonts w:ascii="Times New Roman" w:hAnsi="Times New Roman" w:cs="Times New Roman"/>
          </w:rPr>
          <w:id w:val="-178255751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Hou20 \n  \t  \l 1033 </w:instrText>
          </w:r>
          <w:r w:rsidRPr="003C6DFC">
            <w:rPr>
              <w:rFonts w:ascii="Times New Roman" w:hAnsi="Times New Roman" w:cs="Times New Roman"/>
            </w:rPr>
            <w:fldChar w:fldCharType="separate"/>
          </w:r>
          <w:r w:rsidR="00A10468">
            <w:rPr>
              <w:rFonts w:ascii="Times New Roman" w:hAnsi="Times New Roman" w:cs="Times New Roman"/>
              <w:noProof/>
            </w:rPr>
            <w:t xml:space="preserve"> </w:t>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on the state-wide Tennessee Promise also utilized a difference-in-difference design to compare changes in enrollment between Tennessee’s community colleges, bordering states’ community colleges, community college in states within the southern region, and community colleges nationally. House and Dell </w:t>
      </w:r>
      <w:sdt>
        <w:sdtPr>
          <w:rPr>
            <w:rFonts w:ascii="Times New Roman" w:hAnsi="Times New Roman" w:cs="Times New Roman"/>
          </w:rPr>
          <w:id w:val="-183822699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Hou20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identify positive effects for students overall but that for the Tennessee promise that results were most strongly concentrated among White students with weaker but also still significant results among Black students. Also, while not an aspect of their statistical analysis, House and Dell </w:t>
      </w:r>
      <w:sdt>
        <w:sdtPr>
          <w:rPr>
            <w:rFonts w:ascii="Times New Roman" w:hAnsi="Times New Roman" w:cs="Times New Roman"/>
          </w:rPr>
          <w:id w:val="1318542150"/>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Hou20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noted that enrolling community college students in Tennessee had higher adjusted gross incomes and greater expected family contributions following adoption of the Tennessee promise than before the program’s adoption. While studies that center student income as a</w:t>
      </w:r>
      <w:r w:rsidR="00C85C61">
        <w:rPr>
          <w:rFonts w:ascii="Times New Roman" w:hAnsi="Times New Roman" w:cs="Times New Roman"/>
        </w:rPr>
        <w:t>n</w:t>
      </w:r>
      <w:r w:rsidRPr="003C6DFC">
        <w:rPr>
          <w:rFonts w:ascii="Times New Roman" w:hAnsi="Times New Roman" w:cs="Times New Roman"/>
        </w:rPr>
        <w:t xml:space="preserve"> independent variable of interest have yet to be conducted, this means that </w:t>
      </w:r>
      <w:r w:rsidR="00564830">
        <w:rPr>
          <w:rFonts w:ascii="Times New Roman" w:hAnsi="Times New Roman" w:cs="Times New Roman"/>
        </w:rPr>
        <w:t xml:space="preserve">the </w:t>
      </w:r>
      <w:r w:rsidRPr="003C6DFC">
        <w:rPr>
          <w:rFonts w:ascii="Times New Roman" w:hAnsi="Times New Roman" w:cs="Times New Roman"/>
        </w:rPr>
        <w:t>Tennessee promise may have not caused new enrollment but rather changed the enrollment patterns of students who were likely to already go to four-year college</w:t>
      </w:r>
      <w:r w:rsidR="00564830">
        <w:rPr>
          <w:rFonts w:ascii="Times New Roman" w:hAnsi="Times New Roman" w:cs="Times New Roman"/>
        </w:rPr>
        <w:t>s</w:t>
      </w:r>
      <w:r w:rsidRPr="003C6DFC">
        <w:rPr>
          <w:rFonts w:ascii="Times New Roman" w:hAnsi="Times New Roman" w:cs="Times New Roman"/>
        </w:rPr>
        <w:t xml:space="preserve"> but have now chosen to attend a two-year college due to its free cost</w:t>
      </w:r>
      <w:r w:rsidR="00564830">
        <w:rPr>
          <w:rFonts w:ascii="Times New Roman" w:hAnsi="Times New Roman" w:cs="Times New Roman"/>
        </w:rPr>
        <w:t xml:space="preserve"> to them as a student</w:t>
      </w:r>
      <w:r w:rsidRPr="003C6DFC">
        <w:rPr>
          <w:rFonts w:ascii="Times New Roman" w:hAnsi="Times New Roman" w:cs="Times New Roman"/>
        </w:rPr>
        <w:t xml:space="preserve">. A study by Nguyen </w:t>
      </w:r>
      <w:sdt>
        <w:sdtPr>
          <w:rPr>
            <w:rFonts w:ascii="Times New Roman" w:hAnsi="Times New Roman" w:cs="Times New Roman"/>
          </w:rPr>
          <w:id w:val="-1153825945"/>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Ngu20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finds similar albeit slightly different results when </w:t>
      </w:r>
      <w:r w:rsidRPr="003C6DFC">
        <w:rPr>
          <w:rFonts w:ascii="Times New Roman" w:hAnsi="Times New Roman" w:cs="Times New Roman"/>
        </w:rPr>
        <w:lastRenderedPageBreak/>
        <w:t xml:space="preserve">employing a difference-in-difference </w:t>
      </w:r>
      <w:r w:rsidR="00564830">
        <w:rPr>
          <w:rFonts w:ascii="Times New Roman" w:hAnsi="Times New Roman" w:cs="Times New Roman"/>
        </w:rPr>
        <w:t xml:space="preserve">design </w:t>
      </w:r>
      <w:r w:rsidRPr="003C6DFC">
        <w:rPr>
          <w:rFonts w:ascii="Times New Roman" w:hAnsi="Times New Roman" w:cs="Times New Roman"/>
        </w:rPr>
        <w:t xml:space="preserve">using non-Tennessee community colleges in the US as a comparison group and a generalized synthetic control method. Largely, </w:t>
      </w:r>
      <w:r w:rsidR="001B2C10" w:rsidRPr="003C6DFC">
        <w:rPr>
          <w:rFonts w:ascii="Times New Roman" w:hAnsi="Times New Roman" w:cs="Times New Roman"/>
        </w:rPr>
        <w:t>Nguyen</w:t>
      </w:r>
      <w:r w:rsidR="001B2C10">
        <w:rPr>
          <w:rFonts w:ascii="Times New Roman" w:hAnsi="Times New Roman" w:cs="Times New Roman"/>
        </w:rPr>
        <w:t>’s</w:t>
      </w:r>
      <w:r w:rsidR="001B2C10" w:rsidRPr="003C6DFC">
        <w:rPr>
          <w:rFonts w:ascii="Times New Roman" w:hAnsi="Times New Roman" w:cs="Times New Roman"/>
        </w:rPr>
        <w:t xml:space="preserve"> </w:t>
      </w:r>
      <w:sdt>
        <w:sdtPr>
          <w:rPr>
            <w:rFonts w:ascii="Times New Roman" w:hAnsi="Times New Roman" w:cs="Times New Roman"/>
          </w:rPr>
          <w:id w:val="1395696681"/>
          <w:citation/>
        </w:sdtPr>
        <w:sdtContent>
          <w:r w:rsidR="001B2C10" w:rsidRPr="003C6DFC">
            <w:rPr>
              <w:rFonts w:ascii="Times New Roman" w:hAnsi="Times New Roman" w:cs="Times New Roman"/>
            </w:rPr>
            <w:fldChar w:fldCharType="begin"/>
          </w:r>
          <w:r w:rsidR="001B2C10" w:rsidRPr="003C6DFC">
            <w:rPr>
              <w:rFonts w:ascii="Times New Roman" w:hAnsi="Times New Roman" w:cs="Times New Roman"/>
            </w:rPr>
            <w:instrText xml:space="preserve">CITATION Ngu20 \n  \t  \l 1033 </w:instrText>
          </w:r>
          <w:r w:rsidR="001B2C10" w:rsidRPr="003C6DFC">
            <w:rPr>
              <w:rFonts w:ascii="Times New Roman" w:hAnsi="Times New Roman" w:cs="Times New Roman"/>
            </w:rPr>
            <w:fldChar w:fldCharType="separate"/>
          </w:r>
          <w:r w:rsidR="00A10468" w:rsidRPr="00A10468">
            <w:rPr>
              <w:rFonts w:ascii="Times New Roman" w:hAnsi="Times New Roman" w:cs="Times New Roman"/>
              <w:noProof/>
            </w:rPr>
            <w:t>(2020)</w:t>
          </w:r>
          <w:r w:rsidR="001B2C10" w:rsidRPr="003C6DFC">
            <w:rPr>
              <w:rFonts w:ascii="Times New Roman" w:hAnsi="Times New Roman" w:cs="Times New Roman"/>
            </w:rPr>
            <w:fldChar w:fldCharType="end"/>
          </w:r>
        </w:sdtContent>
      </w:sdt>
      <w:r w:rsidR="001B2C10" w:rsidRPr="003C6DFC">
        <w:rPr>
          <w:rFonts w:ascii="Times New Roman" w:hAnsi="Times New Roman" w:cs="Times New Roman"/>
        </w:rPr>
        <w:t xml:space="preserve"> </w:t>
      </w:r>
      <w:r w:rsidRPr="003C6DFC">
        <w:rPr>
          <w:rFonts w:ascii="Times New Roman" w:hAnsi="Times New Roman" w:cs="Times New Roman"/>
        </w:rPr>
        <w:t>findings reconfirm House and Dell’s</w:t>
      </w:r>
      <w:sdt>
        <w:sdtPr>
          <w:rPr>
            <w:rFonts w:ascii="Times New Roman" w:hAnsi="Times New Roman" w:cs="Times New Roman"/>
          </w:rPr>
          <w:id w:val="1250848236"/>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Hou20 \n  \t  \l 1033 </w:instrText>
          </w:r>
          <w:r w:rsidRPr="003C6DFC">
            <w:rPr>
              <w:rFonts w:ascii="Times New Roman" w:hAnsi="Times New Roman" w:cs="Times New Roman"/>
            </w:rPr>
            <w:fldChar w:fldCharType="separate"/>
          </w:r>
          <w:r w:rsidR="00A10468">
            <w:rPr>
              <w:rFonts w:ascii="Times New Roman" w:hAnsi="Times New Roman" w:cs="Times New Roman"/>
              <w:noProof/>
            </w:rPr>
            <w:t xml:space="preserve"> </w:t>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w:t>
      </w:r>
      <w:r w:rsidR="00564830">
        <w:rPr>
          <w:rFonts w:ascii="Times New Roman" w:hAnsi="Times New Roman" w:cs="Times New Roman"/>
        </w:rPr>
        <w:t xml:space="preserve">findings </w:t>
      </w:r>
      <w:r w:rsidRPr="003C6DFC">
        <w:rPr>
          <w:rFonts w:ascii="Times New Roman" w:hAnsi="Times New Roman" w:cs="Times New Roman"/>
        </w:rPr>
        <w:t xml:space="preserve">but also Nguyen found a statistically significant increase for the enrollment of Hispanic students in addition the increase for White and Black students found by House and Dell </w:t>
      </w:r>
      <w:sdt>
        <w:sdtPr>
          <w:rPr>
            <w:rFonts w:ascii="Times New Roman" w:hAnsi="Times New Roman" w:cs="Times New Roman"/>
          </w:rPr>
          <w:id w:val="66212604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Hou20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w:t>
      </w:r>
    </w:p>
    <w:p w14:paraId="585895B4" w14:textId="532263C9" w:rsidR="002E752C" w:rsidRPr="003C6DFC" w:rsidRDefault="002E752C" w:rsidP="00CD45D6">
      <w:pPr>
        <w:spacing w:line="480" w:lineRule="auto"/>
        <w:ind w:firstLine="720"/>
        <w:rPr>
          <w:rFonts w:ascii="Times New Roman" w:hAnsi="Times New Roman" w:cs="Times New Roman"/>
          <w:b/>
          <w:bCs/>
          <w:i/>
          <w:iCs/>
        </w:rPr>
      </w:pPr>
      <w:r w:rsidRPr="003C6DFC">
        <w:rPr>
          <w:rFonts w:ascii="Times New Roman" w:hAnsi="Times New Roman" w:cs="Times New Roman"/>
        </w:rPr>
        <w:t xml:space="preserve">Currently, a majority of promise program studies focus on outcomes for community college students which is reflective of the fact that most promise programs serve community college students. The inventory of programs provided by College Promise notes 182 </w:t>
      </w:r>
      <w:r w:rsidR="00D97770" w:rsidRPr="003C6DFC">
        <w:rPr>
          <w:rFonts w:ascii="Times New Roman" w:hAnsi="Times New Roman" w:cs="Times New Roman"/>
        </w:rPr>
        <w:t xml:space="preserve">of the 409 inventoried </w:t>
      </w:r>
      <w:r w:rsidRPr="003C6DFC">
        <w:rPr>
          <w:rFonts w:ascii="Times New Roman" w:hAnsi="Times New Roman" w:cs="Times New Roman"/>
        </w:rPr>
        <w:t xml:space="preserve">promise programs can be used at four-year colleges, while 315 can be utilized at 2-year colleges and 399 can be used for Career and Technical Education </w:t>
      </w:r>
      <w:sdt>
        <w:sdtPr>
          <w:rPr>
            <w:rFonts w:ascii="Times New Roman" w:hAnsi="Times New Roman" w:cs="Times New Roman"/>
          </w:rPr>
          <w:id w:val="-184084067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 CITATION Colnd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(College Promise, n.d.)</w:t>
          </w:r>
          <w:r w:rsidRPr="003C6DFC">
            <w:rPr>
              <w:rFonts w:ascii="Times New Roman" w:hAnsi="Times New Roman" w:cs="Times New Roman"/>
            </w:rPr>
            <w:fldChar w:fldCharType="end"/>
          </w:r>
        </w:sdtContent>
      </w:sdt>
    </w:p>
    <w:p w14:paraId="5973F308" w14:textId="77777777" w:rsidR="002E752C" w:rsidRPr="003C6DFC" w:rsidRDefault="002E752C" w:rsidP="00CD45D6">
      <w:pPr>
        <w:pStyle w:val="Heading3"/>
        <w:spacing w:before="0" w:after="0"/>
      </w:pPr>
      <w:bookmarkStart w:id="33" w:name="_Toc183282267"/>
      <w:r w:rsidRPr="003C6DFC">
        <w:t>Retention, Completion, and Post-Graduation Outcomes</w:t>
      </w:r>
      <w:bookmarkEnd w:id="33"/>
    </w:p>
    <w:p w14:paraId="27CD3FF3" w14:textId="163610E7"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In this section, I discuss relevant empirical findings linked to both graduation and degree attainment as well as other non-graduation and attainment outcomes such as employment and migration. </w:t>
      </w:r>
    </w:p>
    <w:p w14:paraId="081B1583" w14:textId="77777777" w:rsidR="002E752C" w:rsidRPr="003C6DFC" w:rsidRDefault="002E752C" w:rsidP="00CD45D6">
      <w:pPr>
        <w:spacing w:line="480" w:lineRule="auto"/>
        <w:rPr>
          <w:rFonts w:ascii="Times New Roman" w:hAnsi="Times New Roman" w:cs="Times New Roman"/>
          <w:b/>
          <w:bCs/>
          <w:i/>
          <w:iCs/>
        </w:rPr>
      </w:pPr>
      <w:r w:rsidRPr="003C6DFC">
        <w:rPr>
          <w:rFonts w:ascii="Times New Roman" w:hAnsi="Times New Roman" w:cs="Times New Roman"/>
          <w:b/>
          <w:bCs/>
          <w:i/>
          <w:iCs/>
        </w:rPr>
        <w:t xml:space="preserve">Graduation and Attainment Outcomes </w:t>
      </w:r>
    </w:p>
    <w:p w14:paraId="1214F9F7" w14:textId="6A8E16BD"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Like other forms of financial aid, research on promise programs generally point to a positive relationship with award attainment. Bartik et al. </w:t>
      </w:r>
      <w:sdt>
        <w:sdtPr>
          <w:rPr>
            <w:rFonts w:ascii="Times New Roman" w:hAnsi="Times New Roman" w:cs="Times New Roman"/>
          </w:rPr>
          <w:id w:val="-2081975592"/>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Bar212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conducted one of the first studies on the effect of promise programs on graduation rate using difference-in-difference design to study the Kalamazoo Promise program. They found that the adoption of the Kalamazoo</w:t>
      </w:r>
      <w:r w:rsidR="00564830">
        <w:rPr>
          <w:rFonts w:ascii="Times New Roman" w:hAnsi="Times New Roman" w:cs="Times New Roman"/>
        </w:rPr>
        <w:t xml:space="preserve"> Promise</w:t>
      </w:r>
      <w:r w:rsidRPr="003C6DFC">
        <w:rPr>
          <w:rFonts w:ascii="Times New Roman" w:hAnsi="Times New Roman" w:cs="Times New Roman"/>
        </w:rPr>
        <w:t xml:space="preserve"> resulted in a </w:t>
      </w:r>
      <w:r w:rsidR="004A242B" w:rsidRPr="003C6DFC">
        <w:rPr>
          <w:rFonts w:ascii="Times New Roman" w:hAnsi="Times New Roman" w:cs="Times New Roman"/>
        </w:rPr>
        <w:t>12-percentage</w:t>
      </w:r>
      <w:r w:rsidRPr="003C6DFC">
        <w:rPr>
          <w:rFonts w:ascii="Times New Roman" w:hAnsi="Times New Roman" w:cs="Times New Roman"/>
        </w:rPr>
        <w:t xml:space="preserve"> point increase in attaining any type of postsecondary award within six years. </w:t>
      </w:r>
      <w:r w:rsidR="000534D1">
        <w:rPr>
          <w:rFonts w:ascii="Times New Roman" w:hAnsi="Times New Roman" w:cs="Times New Roman"/>
        </w:rPr>
        <w:t>However</w:t>
      </w:r>
      <w:r w:rsidR="00AD4A5A">
        <w:rPr>
          <w:rFonts w:ascii="Times New Roman" w:hAnsi="Times New Roman" w:cs="Times New Roman"/>
        </w:rPr>
        <w:t>,</w:t>
      </w:r>
      <w:r w:rsidR="000534D1">
        <w:rPr>
          <w:rFonts w:ascii="Times New Roman" w:hAnsi="Times New Roman" w:cs="Times New Roman"/>
        </w:rPr>
        <w:t xml:space="preserve"> </w:t>
      </w:r>
      <w:r w:rsidR="000534D1">
        <w:rPr>
          <w:rFonts w:ascii="Times New Roman" w:hAnsi="Times New Roman" w:cs="Times New Roman"/>
          <w:noProof/>
        </w:rPr>
        <w:t xml:space="preserve">award production did not </w:t>
      </w:r>
      <w:r w:rsidR="000534D1">
        <w:rPr>
          <w:rFonts w:ascii="Times New Roman" w:hAnsi="Times New Roman" w:cs="Times New Roman"/>
          <w:noProof/>
        </w:rPr>
        <w:lastRenderedPageBreak/>
        <w:t xml:space="preserve">signifigantly increase for the sub-baccalaurate despite increasing four-year award production. </w:t>
      </w:r>
    </w:p>
    <w:p w14:paraId="49C6351F" w14:textId="0EE545AC"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Swanson and Ritter </w:t>
      </w:r>
      <w:sdt>
        <w:sdtPr>
          <w:rPr>
            <w:rFonts w:ascii="Times New Roman" w:hAnsi="Times New Roman" w:cs="Times New Roman"/>
          </w:rPr>
          <w:id w:val="-1477069291"/>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Swa201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(2020)</w:t>
          </w:r>
          <w:r w:rsidRPr="003C6DFC">
            <w:rPr>
              <w:rFonts w:ascii="Times New Roman" w:hAnsi="Times New Roman" w:cs="Times New Roman"/>
            </w:rPr>
            <w:fldChar w:fldCharType="end"/>
          </w:r>
        </w:sdtContent>
      </w:sdt>
      <w:r w:rsidRPr="003C6DFC">
        <w:rPr>
          <w:rFonts w:ascii="Times New Roman" w:hAnsi="Times New Roman" w:cs="Times New Roman"/>
        </w:rPr>
        <w:t xml:space="preserve"> provide initial results studying the El Dorado Promise program another local program in a working paper. Using difference-in-difference methods, Swanson and Ritter found that promise program implementation </w:t>
      </w:r>
      <w:r w:rsidR="00564830">
        <w:rPr>
          <w:rFonts w:ascii="Times New Roman" w:hAnsi="Times New Roman" w:cs="Times New Roman"/>
        </w:rPr>
        <w:t>resulted in a</w:t>
      </w:r>
      <w:r w:rsidRPr="003C6DFC">
        <w:rPr>
          <w:rFonts w:ascii="Times New Roman" w:hAnsi="Times New Roman" w:cs="Times New Roman"/>
        </w:rPr>
        <w:t xml:space="preserve"> </w:t>
      </w:r>
      <w:r w:rsidR="004A242B" w:rsidRPr="003C6DFC">
        <w:rPr>
          <w:rFonts w:ascii="Times New Roman" w:hAnsi="Times New Roman" w:cs="Times New Roman"/>
        </w:rPr>
        <w:t>1</w:t>
      </w:r>
      <w:r w:rsidR="004A242B">
        <w:rPr>
          <w:rFonts w:ascii="Times New Roman" w:hAnsi="Times New Roman" w:cs="Times New Roman"/>
        </w:rPr>
        <w:t>4</w:t>
      </w:r>
      <w:r w:rsidR="004A242B" w:rsidRPr="003C6DFC">
        <w:rPr>
          <w:rFonts w:ascii="Times New Roman" w:hAnsi="Times New Roman" w:cs="Times New Roman"/>
        </w:rPr>
        <w:t>-percentage</w:t>
      </w:r>
      <w:r w:rsidRPr="003C6DFC">
        <w:rPr>
          <w:rFonts w:ascii="Times New Roman" w:hAnsi="Times New Roman" w:cs="Times New Roman"/>
        </w:rPr>
        <w:t xml:space="preserve"> point increase in completion</w:t>
      </w:r>
      <w:r w:rsidR="00087A07">
        <w:rPr>
          <w:rFonts w:ascii="Times New Roman" w:hAnsi="Times New Roman" w:cs="Times New Roman"/>
        </w:rPr>
        <w:t xml:space="preserve"> but only statistically significant increases for four-year degrees</w:t>
      </w:r>
      <w:r w:rsidRPr="003C6DFC">
        <w:rPr>
          <w:rFonts w:ascii="Times New Roman" w:hAnsi="Times New Roman" w:cs="Times New Roman"/>
        </w:rPr>
        <w:t>.</w:t>
      </w:r>
      <w:r w:rsidR="00257806">
        <w:rPr>
          <w:rFonts w:ascii="Times New Roman" w:hAnsi="Times New Roman" w:cs="Times New Roman"/>
        </w:rPr>
        <w:t xml:space="preserve"> </w:t>
      </w:r>
      <w:r w:rsidR="00257806">
        <w:rPr>
          <w:rFonts w:ascii="Times New Roman" w:hAnsi="Times New Roman" w:cs="Times New Roman"/>
          <w:noProof/>
        </w:rPr>
        <w:t>Here again, I highlight that these</w:t>
      </w:r>
      <w:r w:rsidR="004F0ACF">
        <w:rPr>
          <w:rFonts w:ascii="Times New Roman" w:hAnsi="Times New Roman" w:cs="Times New Roman"/>
          <w:noProof/>
        </w:rPr>
        <w:t xml:space="preserve"> two</w:t>
      </w:r>
      <w:r w:rsidR="00257806">
        <w:rPr>
          <w:rFonts w:ascii="Times New Roman" w:hAnsi="Times New Roman" w:cs="Times New Roman"/>
          <w:noProof/>
        </w:rPr>
        <w:t xml:space="preserve"> studies suffer from a potential subsitution effect were students that were already planning to attend postsecondary educa</w:t>
      </w:r>
      <w:r w:rsidR="00564830">
        <w:rPr>
          <w:rFonts w:ascii="Times New Roman" w:hAnsi="Times New Roman" w:cs="Times New Roman"/>
          <w:noProof/>
        </w:rPr>
        <w:t>ti</w:t>
      </w:r>
      <w:r w:rsidR="00257806">
        <w:rPr>
          <w:rFonts w:ascii="Times New Roman" w:hAnsi="Times New Roman" w:cs="Times New Roman"/>
          <w:noProof/>
        </w:rPr>
        <w:t xml:space="preserve">on may have substituted away from the sub-baccularate when presented with these </w:t>
      </w:r>
      <w:r w:rsidR="00594B99">
        <w:rPr>
          <w:rFonts w:ascii="Times New Roman" w:hAnsi="Times New Roman" w:cs="Times New Roman"/>
          <w:noProof/>
        </w:rPr>
        <w:t>promise progr</w:t>
      </w:r>
      <w:r w:rsidR="00564830">
        <w:rPr>
          <w:rFonts w:ascii="Times New Roman" w:hAnsi="Times New Roman" w:cs="Times New Roman"/>
          <w:noProof/>
        </w:rPr>
        <w:t>a</w:t>
      </w:r>
      <w:r w:rsidR="00594B99">
        <w:rPr>
          <w:rFonts w:ascii="Times New Roman" w:hAnsi="Times New Roman" w:cs="Times New Roman"/>
          <w:noProof/>
        </w:rPr>
        <w:t>ms that allow for enrollment at either level of postsecondary education.</w:t>
      </w:r>
      <w:r w:rsidRPr="003C6DFC">
        <w:rPr>
          <w:rFonts w:ascii="Times New Roman" w:hAnsi="Times New Roman" w:cs="Times New Roman"/>
        </w:rPr>
        <w:t xml:space="preserve"> </w:t>
      </w:r>
    </w:p>
    <w:p w14:paraId="53F0CF89" w14:textId="421278EF" w:rsidR="002E752C" w:rsidRPr="003C6DFC" w:rsidRDefault="006B694A" w:rsidP="00CD45D6">
      <w:pPr>
        <w:spacing w:line="480" w:lineRule="auto"/>
        <w:ind w:firstLine="720"/>
        <w:rPr>
          <w:rFonts w:ascii="Times New Roman" w:hAnsi="Times New Roman" w:cs="Times New Roman"/>
        </w:rPr>
      </w:pPr>
      <w:r>
        <w:rPr>
          <w:rFonts w:ascii="Times New Roman" w:hAnsi="Times New Roman" w:cs="Times New Roman"/>
        </w:rPr>
        <w:t>Turning to sub-baccalaureate only promise programs, I highlight</w:t>
      </w:r>
      <w:r w:rsidR="002E752C" w:rsidRPr="003C6DFC">
        <w:rPr>
          <w:rFonts w:ascii="Times New Roman" w:hAnsi="Times New Roman" w:cs="Times New Roman"/>
        </w:rPr>
        <w:t xml:space="preserve"> </w:t>
      </w:r>
      <w:r w:rsidR="006D573C">
        <w:rPr>
          <w:rFonts w:ascii="Times New Roman" w:hAnsi="Times New Roman" w:cs="Times New Roman"/>
        </w:rPr>
        <w:t>Knox Achieves</w:t>
      </w:r>
      <w:r w:rsidR="009052AB">
        <w:rPr>
          <w:rFonts w:ascii="Times New Roman" w:hAnsi="Times New Roman" w:cs="Times New Roman"/>
        </w:rPr>
        <w:t>, which eventually became the model</w:t>
      </w:r>
      <w:r>
        <w:rPr>
          <w:rFonts w:ascii="Times New Roman" w:hAnsi="Times New Roman" w:cs="Times New Roman"/>
        </w:rPr>
        <w:t xml:space="preserve"> program</w:t>
      </w:r>
      <w:r w:rsidR="009052AB">
        <w:rPr>
          <w:rFonts w:ascii="Times New Roman" w:hAnsi="Times New Roman" w:cs="Times New Roman"/>
        </w:rPr>
        <w:t xml:space="preserve"> that </w:t>
      </w:r>
      <w:r w:rsidR="002E752C" w:rsidRPr="003C6DFC">
        <w:rPr>
          <w:rFonts w:ascii="Times New Roman" w:hAnsi="Times New Roman" w:cs="Times New Roman"/>
        </w:rPr>
        <w:t>Tennessee Promise</w:t>
      </w:r>
      <w:r>
        <w:rPr>
          <w:rFonts w:ascii="Times New Roman" w:hAnsi="Times New Roman" w:cs="Times New Roman"/>
        </w:rPr>
        <w:t xml:space="preserve"> was based on</w:t>
      </w:r>
      <w:r w:rsidR="000534D1">
        <w:rPr>
          <w:rFonts w:ascii="Times New Roman" w:hAnsi="Times New Roman" w:cs="Times New Roman"/>
        </w:rPr>
        <w:t xml:space="preserve">. </w:t>
      </w:r>
      <w:r w:rsidR="002E752C" w:rsidRPr="003C6DFC">
        <w:rPr>
          <w:rFonts w:ascii="Times New Roman" w:hAnsi="Times New Roman" w:cs="Times New Roman"/>
        </w:rPr>
        <w:t xml:space="preserve">Carruthers </w:t>
      </w:r>
      <w:r w:rsidR="00AF5349">
        <w:rPr>
          <w:rFonts w:ascii="Times New Roman" w:hAnsi="Times New Roman" w:cs="Times New Roman"/>
        </w:rPr>
        <w:t xml:space="preserve">et al. </w:t>
      </w:r>
      <w:sdt>
        <w:sdtPr>
          <w:rPr>
            <w:rFonts w:ascii="Times New Roman" w:hAnsi="Times New Roman" w:cs="Times New Roman"/>
          </w:rPr>
          <w:id w:val="-2032642178"/>
          <w:citation/>
        </w:sdtPr>
        <w:sdtContent>
          <w:r w:rsidR="002E752C" w:rsidRPr="003C6DFC">
            <w:rPr>
              <w:rFonts w:ascii="Times New Roman" w:hAnsi="Times New Roman" w:cs="Times New Roman"/>
            </w:rPr>
            <w:fldChar w:fldCharType="begin"/>
          </w:r>
          <w:r w:rsidR="002E752C" w:rsidRPr="003C6DFC">
            <w:rPr>
              <w:rFonts w:ascii="Times New Roman" w:hAnsi="Times New Roman" w:cs="Times New Roman"/>
            </w:rPr>
            <w:instrText xml:space="preserve">CITATION Car \n  \t  \l 1033 </w:instrText>
          </w:r>
          <w:r w:rsidR="002E752C" w:rsidRPr="003C6DFC">
            <w:rPr>
              <w:rFonts w:ascii="Times New Roman" w:hAnsi="Times New Roman" w:cs="Times New Roman"/>
            </w:rPr>
            <w:fldChar w:fldCharType="separate"/>
          </w:r>
          <w:r w:rsidR="00A10468" w:rsidRPr="00A10468">
            <w:rPr>
              <w:rFonts w:ascii="Times New Roman" w:hAnsi="Times New Roman" w:cs="Times New Roman"/>
              <w:noProof/>
            </w:rPr>
            <w:t>(2023)</w:t>
          </w:r>
          <w:r w:rsidR="002E752C" w:rsidRPr="003C6DFC">
            <w:rPr>
              <w:rFonts w:ascii="Times New Roman" w:hAnsi="Times New Roman" w:cs="Times New Roman"/>
            </w:rPr>
            <w:fldChar w:fldCharType="end"/>
          </w:r>
        </w:sdtContent>
      </w:sdt>
      <w:r w:rsidR="002E752C" w:rsidRPr="003C6DFC">
        <w:rPr>
          <w:rFonts w:ascii="Times New Roman" w:hAnsi="Times New Roman" w:cs="Times New Roman"/>
        </w:rPr>
        <w:t xml:space="preserve"> find that participants in a promise program with specialized advising requirements were 24 percent more likely to attain an associate’s degree within 9 years of graduating high school as compared to students that were not able to access the studied promise program. However, their use of a two-way fixed effects model used to identify intent-to-treat of program eligibility found non-significant positive returns on bachelor’s degree attainment. </w:t>
      </w:r>
      <w:r w:rsidR="00F75B4C">
        <w:rPr>
          <w:rFonts w:ascii="Times New Roman" w:hAnsi="Times New Roman" w:cs="Times New Roman"/>
        </w:rPr>
        <w:t xml:space="preserve">This suggests that </w:t>
      </w:r>
      <w:r w:rsidR="0011300F">
        <w:rPr>
          <w:rFonts w:ascii="Times New Roman" w:hAnsi="Times New Roman" w:cs="Times New Roman"/>
        </w:rPr>
        <w:t>in certain scenarios, promise programs can significantly increase sub-baccalaureate award production</w:t>
      </w:r>
      <w:r w:rsidR="00BF733E">
        <w:rPr>
          <w:rFonts w:ascii="Times New Roman" w:hAnsi="Times New Roman" w:cs="Times New Roman"/>
        </w:rPr>
        <w:t xml:space="preserve"> which in turn justifies the need to further explore the effect of promise programs at a national level</w:t>
      </w:r>
      <w:r w:rsidR="0098006D">
        <w:rPr>
          <w:rFonts w:ascii="Times New Roman" w:hAnsi="Times New Roman" w:cs="Times New Roman"/>
        </w:rPr>
        <w:t xml:space="preserve">, especially </w:t>
      </w:r>
      <w:r w:rsidR="00445E88">
        <w:rPr>
          <w:rFonts w:ascii="Times New Roman" w:hAnsi="Times New Roman" w:cs="Times New Roman"/>
        </w:rPr>
        <w:t>in regard to</w:t>
      </w:r>
      <w:r w:rsidR="0098006D">
        <w:rPr>
          <w:rFonts w:ascii="Times New Roman" w:hAnsi="Times New Roman" w:cs="Times New Roman"/>
        </w:rPr>
        <w:t xml:space="preserve"> credential awards which researchers have not attended to in these studies. </w:t>
      </w:r>
    </w:p>
    <w:p w14:paraId="3B9471AD" w14:textId="2B94954D" w:rsidR="00445E88" w:rsidRDefault="002E752C" w:rsidP="00CD45D6">
      <w:pPr>
        <w:spacing w:line="480" w:lineRule="auto"/>
        <w:ind w:firstLine="720"/>
        <w:rPr>
          <w:rFonts w:ascii="Times New Roman" w:hAnsi="Times New Roman" w:cs="Times New Roman"/>
          <w:b/>
          <w:bCs/>
          <w:i/>
          <w:iCs/>
        </w:rPr>
      </w:pPr>
      <w:r w:rsidRPr="003C6DFC">
        <w:rPr>
          <w:rFonts w:ascii="Times New Roman" w:hAnsi="Times New Roman" w:cs="Times New Roman"/>
        </w:rPr>
        <w:lastRenderedPageBreak/>
        <w:t xml:space="preserve">Referencing Nguyen et al.’s </w:t>
      </w:r>
      <w:sdt>
        <w:sdtPr>
          <w:rPr>
            <w:rFonts w:ascii="Times New Roman" w:hAnsi="Times New Roman" w:cs="Times New Roman"/>
          </w:rPr>
          <w:id w:val="1981647170"/>
          <w:citation/>
        </w:sdtPr>
        <w:sdtContent>
          <w:r w:rsidRPr="003C6DFC">
            <w:rPr>
              <w:rFonts w:ascii="Times New Roman" w:hAnsi="Times New Roman" w:cs="Times New Roman"/>
            </w:rPr>
            <w:fldChar w:fldCharType="begin"/>
          </w:r>
          <w:r w:rsidR="001C67C3">
            <w:rPr>
              <w:rFonts w:ascii="Times New Roman" w:hAnsi="Times New Roman" w:cs="Times New Roman"/>
            </w:rPr>
            <w:instrText xml:space="preserve">CITATION Ngu19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estimation that each $1,000 increase in grant </w:t>
      </w:r>
      <w:r w:rsidR="00564830">
        <w:rPr>
          <w:rFonts w:ascii="Times New Roman" w:hAnsi="Times New Roman" w:cs="Times New Roman"/>
        </w:rPr>
        <w:t xml:space="preserve">aid </w:t>
      </w:r>
      <w:r w:rsidRPr="003C6DFC">
        <w:rPr>
          <w:rFonts w:ascii="Times New Roman" w:hAnsi="Times New Roman" w:cs="Times New Roman"/>
        </w:rPr>
        <w:t xml:space="preserve">raises degree attainment by 1.8 to 2.2 percentage points, Carruthers </w:t>
      </w:r>
      <w:r w:rsidR="00B37E91">
        <w:rPr>
          <w:rFonts w:ascii="Times New Roman" w:hAnsi="Times New Roman" w:cs="Times New Roman"/>
        </w:rPr>
        <w:t>et al.</w:t>
      </w:r>
      <w:r w:rsidRPr="003C6DFC">
        <w:rPr>
          <w:rFonts w:ascii="Times New Roman" w:hAnsi="Times New Roman" w:cs="Times New Roman"/>
        </w:rPr>
        <w:t xml:space="preserve"> </w:t>
      </w:r>
      <w:sdt>
        <w:sdtPr>
          <w:rPr>
            <w:rFonts w:ascii="Times New Roman" w:hAnsi="Times New Roman" w:cs="Times New Roman"/>
          </w:rPr>
          <w:id w:val="1310366659"/>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Car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(2023)</w:t>
          </w:r>
          <w:r w:rsidRPr="003C6DFC">
            <w:rPr>
              <w:rFonts w:ascii="Times New Roman" w:hAnsi="Times New Roman" w:cs="Times New Roman"/>
            </w:rPr>
            <w:fldChar w:fldCharType="end"/>
          </w:r>
        </w:sdtContent>
      </w:sdt>
      <w:r w:rsidRPr="003C6DFC">
        <w:rPr>
          <w:rFonts w:ascii="Times New Roman" w:hAnsi="Times New Roman" w:cs="Times New Roman"/>
        </w:rPr>
        <w:t xml:space="preserve"> divide estimated percentage-point gains in any credential by average annual participant award amounts to create a comparison between the less expensive predecessor to Tennessee Promise and the more generous first-dollar Kalamazoo Promise program. They note that per $1,000 spent in their studied program that </w:t>
      </w:r>
      <w:r w:rsidR="0098006D">
        <w:rPr>
          <w:rFonts w:ascii="Times New Roman" w:hAnsi="Times New Roman" w:cs="Times New Roman"/>
        </w:rPr>
        <w:t xml:space="preserve">associate’s </w:t>
      </w:r>
      <w:r w:rsidRPr="003C6DFC">
        <w:rPr>
          <w:rFonts w:ascii="Times New Roman" w:hAnsi="Times New Roman" w:cs="Times New Roman"/>
        </w:rPr>
        <w:t xml:space="preserve">degree attainment rose by 1.3 to 1.4 percentage points. </w:t>
      </w:r>
    </w:p>
    <w:p w14:paraId="44CBD5E1" w14:textId="4F98FFA6" w:rsidR="002E752C" w:rsidRPr="003C6DFC" w:rsidRDefault="002E752C" w:rsidP="00CD45D6">
      <w:pPr>
        <w:spacing w:line="480" w:lineRule="auto"/>
        <w:rPr>
          <w:rFonts w:ascii="Times New Roman" w:hAnsi="Times New Roman" w:cs="Times New Roman"/>
          <w:b/>
          <w:bCs/>
          <w:i/>
          <w:iCs/>
        </w:rPr>
      </w:pPr>
      <w:r w:rsidRPr="003C6DFC">
        <w:rPr>
          <w:rFonts w:ascii="Times New Roman" w:hAnsi="Times New Roman" w:cs="Times New Roman"/>
          <w:b/>
          <w:bCs/>
          <w:i/>
          <w:iCs/>
        </w:rPr>
        <w:t xml:space="preserve">Other Non-Graduation and Attainment Outcomes </w:t>
      </w:r>
    </w:p>
    <w:p w14:paraId="4E46BBCD" w14:textId="1584752D"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Hershbein et al. </w:t>
      </w:r>
      <w:sdt>
        <w:sdtPr>
          <w:rPr>
            <w:rFonts w:ascii="Times New Roman" w:hAnsi="Times New Roman" w:cs="Times New Roman"/>
          </w:rPr>
          <w:id w:val="1748773077"/>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Her21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utilized difference-in-difference methods to examine the effect of </w:t>
      </w:r>
      <w:r w:rsidR="00564830">
        <w:rPr>
          <w:rFonts w:ascii="Times New Roman" w:hAnsi="Times New Roman" w:cs="Times New Roman"/>
        </w:rPr>
        <w:t xml:space="preserve">the </w:t>
      </w:r>
      <w:r w:rsidRPr="003C6DFC">
        <w:rPr>
          <w:rFonts w:ascii="Times New Roman" w:hAnsi="Times New Roman" w:cs="Times New Roman"/>
        </w:rPr>
        <w:t xml:space="preserve">Kalamazoo Promise program on degree attainment and earnings, comparing eligible students from the Kalamazoo district to ineligible students pre- and post-treatment. Hershbein et al. </w:t>
      </w:r>
      <w:sdt>
        <w:sdtPr>
          <w:rPr>
            <w:rFonts w:ascii="Times New Roman" w:hAnsi="Times New Roman" w:cs="Times New Roman"/>
          </w:rPr>
          <w:id w:val="-367462599"/>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Her21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found null results for the effect of</w:t>
      </w:r>
      <w:r w:rsidR="00564830">
        <w:rPr>
          <w:rFonts w:ascii="Times New Roman" w:hAnsi="Times New Roman" w:cs="Times New Roman"/>
        </w:rPr>
        <w:t xml:space="preserve"> the</w:t>
      </w:r>
      <w:r w:rsidRPr="003C6DFC">
        <w:rPr>
          <w:rFonts w:ascii="Times New Roman" w:hAnsi="Times New Roman" w:cs="Times New Roman"/>
        </w:rPr>
        <w:t xml:space="preserve"> Kalamazoo Promise receipt on rates of unemployment and inconclusive results regarding potential impact on earnings. However, recipients were also 9 and 17 percentage points more likely to remain in or 11 to 19 percentage points more likely to live within 20 miles of Kalamazoo, Michigan following high school graduation. </w:t>
      </w:r>
    </w:p>
    <w:p w14:paraId="0A9F8A9B" w14:textId="265EC310" w:rsidR="002E752C" w:rsidRPr="003C6DFC"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Hershbein et al. </w:t>
      </w:r>
      <w:sdt>
        <w:sdtPr>
          <w:rPr>
            <w:rFonts w:ascii="Times New Roman" w:hAnsi="Times New Roman" w:cs="Times New Roman"/>
          </w:rPr>
          <w:id w:val="-1095174968"/>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Her21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(2021)</w:t>
          </w:r>
          <w:r w:rsidRPr="003C6DFC">
            <w:rPr>
              <w:rFonts w:ascii="Times New Roman" w:hAnsi="Times New Roman" w:cs="Times New Roman"/>
            </w:rPr>
            <w:fldChar w:fldCharType="end"/>
          </w:r>
        </w:sdtContent>
      </w:sdt>
      <w:r w:rsidRPr="003C6DFC">
        <w:rPr>
          <w:rFonts w:ascii="Times New Roman" w:hAnsi="Times New Roman" w:cs="Times New Roman"/>
        </w:rPr>
        <w:t xml:space="preserve"> suggested that this effect on migration could limit the program’s economic uplift to the community but also represented evidence that the Kalamazoo Promise did achieve its goal of reducing the migration of young workers out of the community. While post-graduation migration is not a question considered by this study, it is important to note that educated laborers are more likely to migrated across state lines for employment opportunities</w:t>
      </w:r>
      <w:r w:rsidR="000436F9">
        <w:rPr>
          <w:rFonts w:ascii="Times New Roman" w:hAnsi="Times New Roman" w:cs="Times New Roman"/>
        </w:rPr>
        <w:t xml:space="preserve">. </w:t>
      </w:r>
      <w:r w:rsidRPr="003C6DFC">
        <w:rPr>
          <w:rFonts w:ascii="Times New Roman" w:hAnsi="Times New Roman" w:cs="Times New Roman"/>
        </w:rPr>
        <w:t xml:space="preserve">While this post-graduation migration for </w:t>
      </w:r>
      <w:r w:rsidRPr="003C6DFC">
        <w:rPr>
          <w:rFonts w:ascii="Times New Roman" w:hAnsi="Times New Roman" w:cs="Times New Roman"/>
        </w:rPr>
        <w:lastRenderedPageBreak/>
        <w:t xml:space="preserve">employment affects all graduates, I note this potential reduction in migration for promise participants as worth consideration </w:t>
      </w:r>
      <w:r w:rsidR="00564830">
        <w:rPr>
          <w:rFonts w:ascii="Times New Roman" w:hAnsi="Times New Roman" w:cs="Times New Roman"/>
        </w:rPr>
        <w:t xml:space="preserve">for </w:t>
      </w:r>
      <w:r w:rsidR="009851DE">
        <w:rPr>
          <w:rFonts w:ascii="Times New Roman" w:hAnsi="Times New Roman" w:cs="Times New Roman"/>
        </w:rPr>
        <w:t xml:space="preserve">future researchers </w:t>
      </w:r>
      <w:r w:rsidRPr="003C6DFC">
        <w:rPr>
          <w:rFonts w:ascii="Times New Roman" w:hAnsi="Times New Roman" w:cs="Times New Roman"/>
        </w:rPr>
        <w:t xml:space="preserve">because Scott-Clayton and Wen </w:t>
      </w:r>
      <w:sdt>
        <w:sdtPr>
          <w:rPr>
            <w:rFonts w:ascii="Times New Roman" w:hAnsi="Times New Roman" w:cs="Times New Roman"/>
          </w:rPr>
          <w:id w:val="-1700233403"/>
          <w:citation/>
        </w:sdtPr>
        <w:sdtContent>
          <w:r w:rsidRPr="003C6DFC">
            <w:rPr>
              <w:rFonts w:ascii="Times New Roman" w:hAnsi="Times New Roman" w:cs="Times New Roman"/>
            </w:rPr>
            <w:fldChar w:fldCharType="begin"/>
          </w:r>
          <w:r w:rsidRPr="003C6DFC">
            <w:rPr>
              <w:rFonts w:ascii="Times New Roman" w:hAnsi="Times New Roman" w:cs="Times New Roman"/>
            </w:rPr>
            <w:instrText xml:space="preserve">CITATION Sco191 \n  \t  \l 1033 </w:instrText>
          </w:r>
          <w:r w:rsidRPr="003C6DFC">
            <w:rPr>
              <w:rFonts w:ascii="Times New Roman" w:hAnsi="Times New Roman" w:cs="Times New Roman"/>
            </w:rPr>
            <w:fldChar w:fldCharType="separate"/>
          </w:r>
          <w:r w:rsidR="00A10468" w:rsidRPr="00A10468">
            <w:rPr>
              <w:rFonts w:ascii="Times New Roman" w:hAnsi="Times New Roman" w:cs="Times New Roman"/>
              <w:noProof/>
            </w:rPr>
            <w:t>(2019)</w:t>
          </w:r>
          <w:r w:rsidRPr="003C6DFC">
            <w:rPr>
              <w:rFonts w:ascii="Times New Roman" w:hAnsi="Times New Roman" w:cs="Times New Roman"/>
            </w:rPr>
            <w:fldChar w:fldCharType="end"/>
          </w:r>
        </w:sdtContent>
      </w:sdt>
      <w:r w:rsidRPr="003C6DFC">
        <w:rPr>
          <w:rFonts w:ascii="Times New Roman" w:hAnsi="Times New Roman" w:cs="Times New Roman"/>
        </w:rPr>
        <w:t xml:space="preserve"> note these migration patterns can bias estimates for effects on earnings </w:t>
      </w:r>
      <w:r w:rsidR="00441756">
        <w:rPr>
          <w:rFonts w:ascii="Times New Roman" w:hAnsi="Times New Roman" w:cs="Times New Roman"/>
        </w:rPr>
        <w:t xml:space="preserve">and </w:t>
      </w:r>
      <w:r w:rsidRPr="003C6DFC">
        <w:rPr>
          <w:rFonts w:ascii="Times New Roman" w:hAnsi="Times New Roman" w:cs="Times New Roman"/>
        </w:rPr>
        <w:t xml:space="preserve">employment records </w:t>
      </w:r>
      <w:r w:rsidR="00441756">
        <w:rPr>
          <w:rFonts w:ascii="Times New Roman" w:hAnsi="Times New Roman" w:cs="Times New Roman"/>
        </w:rPr>
        <w:t xml:space="preserve">as post-graduation outcomes which have become of increasing interest to policy leaders. </w:t>
      </w:r>
    </w:p>
    <w:p w14:paraId="25951BB3" w14:textId="77777777" w:rsidR="002E752C" w:rsidRPr="003C6DFC" w:rsidRDefault="002E752C" w:rsidP="00CD45D6">
      <w:pPr>
        <w:pStyle w:val="Heading2"/>
        <w:spacing w:before="0" w:after="0"/>
      </w:pPr>
      <w:bookmarkStart w:id="34" w:name="_Toc183282268"/>
      <w:r w:rsidRPr="003C6DFC">
        <w:t>Summary of Research Gap</w:t>
      </w:r>
      <w:bookmarkEnd w:id="34"/>
    </w:p>
    <w:p w14:paraId="5BB3F585" w14:textId="60A5E596" w:rsidR="003D4A35" w:rsidRDefault="002E752C" w:rsidP="00CD45D6">
      <w:pPr>
        <w:spacing w:line="480" w:lineRule="auto"/>
        <w:ind w:firstLine="720"/>
        <w:rPr>
          <w:rFonts w:ascii="Times New Roman" w:hAnsi="Times New Roman" w:cs="Times New Roman"/>
        </w:rPr>
      </w:pPr>
      <w:r w:rsidRPr="003C6DFC">
        <w:rPr>
          <w:rFonts w:ascii="Times New Roman" w:hAnsi="Times New Roman" w:cs="Times New Roman"/>
        </w:rPr>
        <w:t xml:space="preserve">As </w:t>
      </w:r>
      <w:r w:rsidR="006B0395">
        <w:rPr>
          <w:rFonts w:ascii="Times New Roman" w:hAnsi="Times New Roman" w:cs="Times New Roman"/>
        </w:rPr>
        <w:t>presented</w:t>
      </w:r>
      <w:r w:rsidRPr="003C6DFC">
        <w:rPr>
          <w:rFonts w:ascii="Times New Roman" w:hAnsi="Times New Roman" w:cs="Times New Roman"/>
        </w:rPr>
        <w:t xml:space="preserve"> in</w:t>
      </w:r>
      <w:r w:rsidR="00564830">
        <w:rPr>
          <w:rFonts w:ascii="Times New Roman" w:hAnsi="Times New Roman" w:cs="Times New Roman"/>
        </w:rPr>
        <w:t xml:space="preserve"> this</w:t>
      </w:r>
      <w:r w:rsidRPr="003C6DFC">
        <w:rPr>
          <w:rFonts w:ascii="Times New Roman" w:hAnsi="Times New Roman" w:cs="Times New Roman"/>
        </w:rPr>
        <w:t xml:space="preserve"> chapter, research</w:t>
      </w:r>
      <w:r w:rsidR="00564830">
        <w:rPr>
          <w:rFonts w:ascii="Times New Roman" w:hAnsi="Times New Roman" w:cs="Times New Roman"/>
        </w:rPr>
        <w:t>ers studying</w:t>
      </w:r>
      <w:r w:rsidRPr="003C6DFC">
        <w:rPr>
          <w:rFonts w:ascii="Times New Roman" w:hAnsi="Times New Roman" w:cs="Times New Roman"/>
        </w:rPr>
        <w:t xml:space="preserve"> promise programs </w:t>
      </w:r>
      <w:r w:rsidR="00564830">
        <w:rPr>
          <w:rFonts w:ascii="Times New Roman" w:hAnsi="Times New Roman" w:cs="Times New Roman"/>
        </w:rPr>
        <w:t>have</w:t>
      </w:r>
      <w:r w:rsidRPr="003C6DFC">
        <w:rPr>
          <w:rFonts w:ascii="Times New Roman" w:hAnsi="Times New Roman" w:cs="Times New Roman"/>
        </w:rPr>
        <w:t xml:space="preserve"> largely studied the effects of </w:t>
      </w:r>
      <w:r w:rsidR="00775AA8">
        <w:rPr>
          <w:rFonts w:ascii="Times New Roman" w:hAnsi="Times New Roman" w:cs="Times New Roman"/>
        </w:rPr>
        <w:t>increasing college affordability through increased financial aid</w:t>
      </w:r>
      <w:r w:rsidR="006B0395">
        <w:rPr>
          <w:rFonts w:ascii="Times New Roman" w:hAnsi="Times New Roman" w:cs="Times New Roman"/>
        </w:rPr>
        <w:t xml:space="preserve"> as other researchers have done for need-, merit, and loan-based aid. These projects have largely</w:t>
      </w:r>
      <w:r w:rsidR="00F66C32">
        <w:rPr>
          <w:rFonts w:ascii="Times New Roman" w:hAnsi="Times New Roman" w:cs="Times New Roman"/>
        </w:rPr>
        <w:t xml:space="preserve"> </w:t>
      </w:r>
      <w:r w:rsidR="006B0395">
        <w:rPr>
          <w:rFonts w:ascii="Times New Roman" w:hAnsi="Times New Roman" w:cs="Times New Roman"/>
        </w:rPr>
        <w:t>studied</w:t>
      </w:r>
      <w:r w:rsidR="00F66C32">
        <w:rPr>
          <w:rFonts w:ascii="Times New Roman" w:hAnsi="Times New Roman" w:cs="Times New Roman"/>
        </w:rPr>
        <w:t xml:space="preserve"> individual programs which can affect </w:t>
      </w:r>
      <w:r w:rsidR="00EF2BF7">
        <w:rPr>
          <w:rFonts w:ascii="Times New Roman" w:hAnsi="Times New Roman" w:cs="Times New Roman"/>
        </w:rPr>
        <w:t>as few as one</w:t>
      </w:r>
      <w:r w:rsidR="006B0395">
        <w:rPr>
          <w:rFonts w:ascii="Times New Roman" w:hAnsi="Times New Roman" w:cs="Times New Roman"/>
        </w:rPr>
        <w:t xml:space="preserve"> institution</w:t>
      </w:r>
      <w:r w:rsidR="00EF2BF7">
        <w:rPr>
          <w:rFonts w:ascii="Times New Roman" w:hAnsi="Times New Roman" w:cs="Times New Roman"/>
        </w:rPr>
        <w:t xml:space="preserve"> to as many as an entire </w:t>
      </w:r>
      <w:r w:rsidR="00C3128B">
        <w:rPr>
          <w:rFonts w:ascii="Times New Roman" w:hAnsi="Times New Roman" w:cs="Times New Roman"/>
        </w:rPr>
        <w:t xml:space="preserve">sector of a state’s higher education system. However, </w:t>
      </w:r>
      <w:r w:rsidR="000563A7">
        <w:rPr>
          <w:rFonts w:ascii="Times New Roman" w:hAnsi="Times New Roman" w:cs="Times New Roman"/>
        </w:rPr>
        <w:t>researchers have yet to</w:t>
      </w:r>
      <w:r w:rsidR="00EF6BBB">
        <w:rPr>
          <w:rFonts w:ascii="Times New Roman" w:hAnsi="Times New Roman" w:cs="Times New Roman"/>
        </w:rPr>
        <w:t xml:space="preserve"> investigate for a</w:t>
      </w:r>
      <w:r w:rsidR="008F288A">
        <w:rPr>
          <w:rFonts w:ascii="Times New Roman" w:hAnsi="Times New Roman" w:cs="Times New Roman"/>
        </w:rPr>
        <w:t xml:space="preserve"> </w:t>
      </w:r>
      <w:r w:rsidR="004004E1">
        <w:rPr>
          <w:rFonts w:ascii="Times New Roman" w:hAnsi="Times New Roman" w:cs="Times New Roman"/>
        </w:rPr>
        <w:t xml:space="preserve">national-level </w:t>
      </w:r>
      <w:r w:rsidR="008F288A">
        <w:rPr>
          <w:rFonts w:ascii="Times New Roman" w:hAnsi="Times New Roman" w:cs="Times New Roman"/>
        </w:rPr>
        <w:t xml:space="preserve">estimate for </w:t>
      </w:r>
      <w:r w:rsidR="0069693C">
        <w:rPr>
          <w:rFonts w:ascii="Times New Roman" w:hAnsi="Times New Roman" w:cs="Times New Roman"/>
        </w:rPr>
        <w:t xml:space="preserve">the effect of promise programs on </w:t>
      </w:r>
      <w:r w:rsidR="004004E1">
        <w:rPr>
          <w:rFonts w:ascii="Times New Roman" w:hAnsi="Times New Roman" w:cs="Times New Roman"/>
        </w:rPr>
        <w:t>sub-baccalaureate</w:t>
      </w:r>
      <w:r w:rsidR="00186422">
        <w:rPr>
          <w:rFonts w:ascii="Times New Roman" w:hAnsi="Times New Roman" w:cs="Times New Roman"/>
        </w:rPr>
        <w:t xml:space="preserve"> completions. </w:t>
      </w:r>
      <w:r w:rsidR="00D433D7">
        <w:rPr>
          <w:rFonts w:ascii="Times New Roman" w:hAnsi="Times New Roman" w:cs="Times New Roman"/>
        </w:rPr>
        <w:t xml:space="preserve">Additionally, past research has not attended to the credential production of the sub-baccalaureate </w:t>
      </w:r>
      <w:r w:rsidR="00A958CD">
        <w:rPr>
          <w:rFonts w:ascii="Times New Roman" w:hAnsi="Times New Roman" w:cs="Times New Roman"/>
        </w:rPr>
        <w:t>and focused almost entirely on two-year degrees. Further,</w:t>
      </w:r>
      <w:r w:rsidR="00D433D7">
        <w:rPr>
          <w:rFonts w:ascii="Times New Roman" w:hAnsi="Times New Roman" w:cs="Times New Roman"/>
        </w:rPr>
        <w:t xml:space="preserve"> findings on two-year degree production are conflicting. I believe conflicting evidence on two-year degree production may stem from confounding effects of certain promise program design</w:t>
      </w:r>
      <w:r w:rsidR="00E7051A">
        <w:rPr>
          <w:rFonts w:ascii="Times New Roman" w:hAnsi="Times New Roman" w:cs="Times New Roman"/>
        </w:rPr>
        <w:t xml:space="preserve"> features </w:t>
      </w:r>
      <w:r w:rsidR="00D433D7">
        <w:rPr>
          <w:rFonts w:ascii="Times New Roman" w:hAnsi="Times New Roman" w:cs="Times New Roman"/>
        </w:rPr>
        <w:t xml:space="preserve">such as the ability for an award to be utilized at either the four-year or sub-baccalaureate level. Therefore, I remove these programs from my study to better understand award production at the sub-baccalaureate level. </w:t>
      </w:r>
    </w:p>
    <w:p w14:paraId="4CB7DE13" w14:textId="148D88EB" w:rsidR="00714495" w:rsidRDefault="00EF6BBB" w:rsidP="00CD45D6">
      <w:pPr>
        <w:spacing w:line="480" w:lineRule="auto"/>
        <w:ind w:firstLine="720"/>
        <w:rPr>
          <w:rFonts w:ascii="Times New Roman" w:hAnsi="Times New Roman" w:cs="Times New Roman"/>
        </w:rPr>
      </w:pPr>
      <w:r>
        <w:rPr>
          <w:rFonts w:ascii="Times New Roman" w:hAnsi="Times New Roman" w:cs="Times New Roman"/>
        </w:rPr>
        <w:t>From a methodological perspective there</w:t>
      </w:r>
      <w:r w:rsidR="003D4A35">
        <w:rPr>
          <w:rFonts w:ascii="Times New Roman" w:hAnsi="Times New Roman" w:cs="Times New Roman"/>
        </w:rPr>
        <w:t xml:space="preserve"> have been </w:t>
      </w:r>
      <w:r>
        <w:rPr>
          <w:rFonts w:ascii="Times New Roman" w:hAnsi="Times New Roman" w:cs="Times New Roman"/>
        </w:rPr>
        <w:t xml:space="preserve">several barriers </w:t>
      </w:r>
      <w:r w:rsidR="003D4A35">
        <w:rPr>
          <w:rFonts w:ascii="Times New Roman" w:hAnsi="Times New Roman" w:cs="Times New Roman"/>
        </w:rPr>
        <w:t xml:space="preserve">to conducting a study </w:t>
      </w:r>
      <w:r w:rsidR="001E23FC">
        <w:rPr>
          <w:rFonts w:ascii="Times New Roman" w:hAnsi="Times New Roman" w:cs="Times New Roman"/>
        </w:rPr>
        <w:t>such as my own</w:t>
      </w:r>
      <w:r w:rsidR="0045308E">
        <w:rPr>
          <w:rFonts w:ascii="Times New Roman" w:hAnsi="Times New Roman" w:cs="Times New Roman"/>
        </w:rPr>
        <w:t xml:space="preserve"> that have only recently been addressed.</w:t>
      </w:r>
      <w:r w:rsidR="003D4A35">
        <w:rPr>
          <w:rFonts w:ascii="Times New Roman" w:hAnsi="Times New Roman" w:cs="Times New Roman"/>
        </w:rPr>
        <w:t xml:space="preserve"> </w:t>
      </w:r>
      <w:r w:rsidR="0045308E">
        <w:rPr>
          <w:rFonts w:ascii="Times New Roman" w:hAnsi="Times New Roman" w:cs="Times New Roman"/>
        </w:rPr>
        <w:t>In the following chapter, I present a strategy for working through these barriers</w:t>
      </w:r>
      <w:r>
        <w:rPr>
          <w:rFonts w:ascii="Times New Roman" w:hAnsi="Times New Roman" w:cs="Times New Roman"/>
        </w:rPr>
        <w:t xml:space="preserve"> using recent advancements in </w:t>
      </w:r>
      <w:r>
        <w:rPr>
          <w:rFonts w:ascii="Times New Roman" w:hAnsi="Times New Roman" w:cs="Times New Roman"/>
        </w:rPr>
        <w:lastRenderedPageBreak/>
        <w:t>econometric design</w:t>
      </w:r>
      <w:r w:rsidR="0045308E">
        <w:rPr>
          <w:rFonts w:ascii="Times New Roman" w:hAnsi="Times New Roman" w:cs="Times New Roman"/>
        </w:rPr>
        <w:t xml:space="preserve">. </w:t>
      </w:r>
      <w:r w:rsidR="008825B7">
        <w:rPr>
          <w:rFonts w:ascii="Times New Roman" w:hAnsi="Times New Roman" w:cs="Times New Roman"/>
        </w:rPr>
        <w:t xml:space="preserve">Currently, </w:t>
      </w:r>
      <w:r w:rsidR="002E2D78">
        <w:rPr>
          <w:rFonts w:ascii="Times New Roman" w:hAnsi="Times New Roman" w:cs="Times New Roman"/>
        </w:rPr>
        <w:t xml:space="preserve">the use </w:t>
      </w:r>
      <w:r w:rsidR="00A958CD">
        <w:rPr>
          <w:rFonts w:ascii="Times New Roman" w:hAnsi="Times New Roman" w:cs="Times New Roman"/>
        </w:rPr>
        <w:t xml:space="preserve">of </w:t>
      </w:r>
      <w:r w:rsidR="008825B7">
        <w:rPr>
          <w:rFonts w:ascii="Times New Roman" w:hAnsi="Times New Roman" w:cs="Times New Roman"/>
        </w:rPr>
        <w:t xml:space="preserve">staggered difference-in-difference designs </w:t>
      </w:r>
      <w:r w:rsidR="007A3772">
        <w:rPr>
          <w:rFonts w:ascii="Times New Roman" w:hAnsi="Times New Roman" w:cs="Times New Roman"/>
        </w:rPr>
        <w:t xml:space="preserve">to study promise programs </w:t>
      </w:r>
      <w:r w:rsidR="002E2D78">
        <w:rPr>
          <w:rFonts w:ascii="Times New Roman" w:hAnsi="Times New Roman" w:cs="Times New Roman"/>
        </w:rPr>
        <w:t xml:space="preserve">has been limited to the </w:t>
      </w:r>
      <w:r w:rsidR="002E2D78" w:rsidRPr="003C6DFC">
        <w:rPr>
          <w:rFonts w:ascii="Times New Roman" w:hAnsi="Times New Roman" w:cs="Times New Roman"/>
        </w:rPr>
        <w:t xml:space="preserve">Gándara </w:t>
      </w:r>
      <w:r w:rsidR="002E2D78">
        <w:rPr>
          <w:rFonts w:ascii="Times New Roman" w:hAnsi="Times New Roman" w:cs="Times New Roman"/>
        </w:rPr>
        <w:t xml:space="preserve">and Li (2020) as well as the Li and </w:t>
      </w:r>
      <w:r w:rsidR="002E2D78" w:rsidRPr="003C6DFC">
        <w:rPr>
          <w:rFonts w:ascii="Times New Roman" w:hAnsi="Times New Roman" w:cs="Times New Roman"/>
        </w:rPr>
        <w:t>Gándara</w:t>
      </w:r>
      <w:r w:rsidR="002E2D78">
        <w:rPr>
          <w:rFonts w:ascii="Times New Roman" w:hAnsi="Times New Roman" w:cs="Times New Roman"/>
        </w:rPr>
        <w:t xml:space="preserve"> (2020) event study projects that only studied enrollment in response </w:t>
      </w:r>
      <w:r w:rsidR="002F2406">
        <w:rPr>
          <w:rFonts w:ascii="Times New Roman" w:hAnsi="Times New Roman" w:cs="Times New Roman"/>
        </w:rPr>
        <w:t xml:space="preserve">to </w:t>
      </w:r>
      <w:r w:rsidR="007A3772">
        <w:rPr>
          <w:rFonts w:ascii="Times New Roman" w:hAnsi="Times New Roman" w:cs="Times New Roman"/>
        </w:rPr>
        <w:t xml:space="preserve">promise </w:t>
      </w:r>
      <w:r w:rsidR="002F2406">
        <w:rPr>
          <w:rFonts w:ascii="Times New Roman" w:hAnsi="Times New Roman" w:cs="Times New Roman"/>
        </w:rPr>
        <w:t>program</w:t>
      </w:r>
      <w:r w:rsidR="007A3772">
        <w:rPr>
          <w:rFonts w:ascii="Times New Roman" w:hAnsi="Times New Roman" w:cs="Times New Roman"/>
        </w:rPr>
        <w:t xml:space="preserve"> adoption.</w:t>
      </w:r>
      <w:r w:rsidR="002F2406">
        <w:rPr>
          <w:rFonts w:ascii="Times New Roman" w:hAnsi="Times New Roman" w:cs="Times New Roman"/>
        </w:rPr>
        <w:t xml:space="preserve"> </w:t>
      </w:r>
      <w:r w:rsidR="007A3772">
        <w:rPr>
          <w:rFonts w:ascii="Times New Roman" w:hAnsi="Times New Roman" w:cs="Times New Roman"/>
        </w:rPr>
        <w:t>Additionally, these studies relied on</w:t>
      </w:r>
      <w:r w:rsidR="002F2406">
        <w:rPr>
          <w:rFonts w:ascii="Times New Roman" w:hAnsi="Times New Roman" w:cs="Times New Roman"/>
        </w:rPr>
        <w:t xml:space="preserve"> the more limited PENNAhead data set where as my CollegePromise</w:t>
      </w:r>
      <w:r w:rsidR="00A958CD">
        <w:rPr>
          <w:rFonts w:ascii="Times New Roman" w:hAnsi="Times New Roman" w:cs="Times New Roman"/>
        </w:rPr>
        <w:t>.org</w:t>
      </w:r>
      <w:r w:rsidR="002F2406">
        <w:rPr>
          <w:rFonts w:ascii="Times New Roman" w:hAnsi="Times New Roman" w:cs="Times New Roman"/>
        </w:rPr>
        <w:t xml:space="preserve"> data set more </w:t>
      </w:r>
      <w:r w:rsidR="00C96C22">
        <w:rPr>
          <w:rFonts w:ascii="Times New Roman" w:hAnsi="Times New Roman" w:cs="Times New Roman"/>
        </w:rPr>
        <w:t>holistic</w:t>
      </w:r>
      <w:r w:rsidR="002F2406">
        <w:rPr>
          <w:rFonts w:ascii="Times New Roman" w:hAnsi="Times New Roman" w:cs="Times New Roman"/>
        </w:rPr>
        <w:t>ally captures what is colloquially considered to be promise programs</w:t>
      </w:r>
      <w:r w:rsidR="002E2D78">
        <w:rPr>
          <w:rFonts w:ascii="Times New Roman" w:hAnsi="Times New Roman" w:cs="Times New Roman"/>
        </w:rPr>
        <w:t xml:space="preserve">. </w:t>
      </w:r>
      <w:r w:rsidR="002F2406">
        <w:rPr>
          <w:rFonts w:ascii="Times New Roman" w:hAnsi="Times New Roman" w:cs="Times New Roman"/>
        </w:rPr>
        <w:t>Thus, I identify a</w:t>
      </w:r>
      <w:r w:rsidR="002E2D78">
        <w:rPr>
          <w:rFonts w:ascii="Times New Roman" w:hAnsi="Times New Roman" w:cs="Times New Roman"/>
        </w:rPr>
        <w:t xml:space="preserve"> considerable gap in the area of promise program research where </w:t>
      </w:r>
      <w:r w:rsidR="00661D04">
        <w:rPr>
          <w:rFonts w:ascii="Times New Roman" w:hAnsi="Times New Roman" w:cs="Times New Roman"/>
        </w:rPr>
        <w:t>there is a lack of an aggregate estimate of effect on completions (the goal of promise programs)</w:t>
      </w:r>
      <w:r w:rsidR="0088010C">
        <w:rPr>
          <w:rFonts w:ascii="Times New Roman" w:hAnsi="Times New Roman" w:cs="Times New Roman"/>
        </w:rPr>
        <w:t>, conflicting evidence regarding effect on completion with</w:t>
      </w:r>
      <w:r w:rsidR="00A958CD">
        <w:rPr>
          <w:rFonts w:ascii="Times New Roman" w:hAnsi="Times New Roman" w:cs="Times New Roman"/>
        </w:rPr>
        <w:t>in</w:t>
      </w:r>
      <w:r w:rsidR="0088010C">
        <w:rPr>
          <w:rFonts w:ascii="Times New Roman" w:hAnsi="Times New Roman" w:cs="Times New Roman"/>
        </w:rPr>
        <w:t xml:space="preserve"> the sub-baccalaureate, </w:t>
      </w:r>
      <w:r w:rsidR="00661D04">
        <w:rPr>
          <w:rFonts w:ascii="Times New Roman" w:hAnsi="Times New Roman" w:cs="Times New Roman"/>
        </w:rPr>
        <w:t xml:space="preserve">and </w:t>
      </w:r>
      <w:r w:rsidR="0088010C">
        <w:rPr>
          <w:rFonts w:ascii="Times New Roman" w:hAnsi="Times New Roman" w:cs="Times New Roman"/>
        </w:rPr>
        <w:t xml:space="preserve">an </w:t>
      </w:r>
      <w:r w:rsidR="00B4526C">
        <w:rPr>
          <w:rFonts w:ascii="Times New Roman" w:hAnsi="Times New Roman" w:cs="Times New Roman"/>
        </w:rPr>
        <w:t xml:space="preserve">opportunity to further apply staggered difference-in-difference design to study completions beyond enrollment as an outcome. </w:t>
      </w:r>
    </w:p>
    <w:p w14:paraId="1D7F26FE" w14:textId="77777777" w:rsidR="003C2524" w:rsidRDefault="003C2524" w:rsidP="00CD45D6">
      <w:pPr>
        <w:spacing w:line="480" w:lineRule="auto"/>
        <w:rPr>
          <w:rFonts w:ascii="Times New Roman" w:hAnsi="Times New Roman" w:cs="Times New Roman"/>
          <w:b/>
          <w:bCs/>
          <w:caps/>
          <w:color w:val="000000" w:themeColor="text1"/>
        </w:rPr>
      </w:pPr>
      <w:bookmarkStart w:id="35" w:name="_Toc420995900"/>
      <w:bookmarkStart w:id="36" w:name="_Toc422997487"/>
      <w:bookmarkStart w:id="37" w:name="_Toc427156470"/>
      <w:r>
        <w:br w:type="page"/>
      </w:r>
    </w:p>
    <w:p w14:paraId="57F30A14" w14:textId="3ACE7584" w:rsidR="002E752C" w:rsidRPr="00EB3E0B" w:rsidRDefault="00334F2A" w:rsidP="00CD45D6">
      <w:pPr>
        <w:pStyle w:val="Heading1"/>
      </w:pPr>
      <w:bookmarkStart w:id="38" w:name="_Toc183282269"/>
      <w:r w:rsidRPr="00EB3E0B">
        <w:lastRenderedPageBreak/>
        <w:t>Chapter 3</w:t>
      </w:r>
      <w:bookmarkEnd w:id="35"/>
      <w:bookmarkEnd w:id="36"/>
      <w:bookmarkEnd w:id="37"/>
      <w:bookmarkEnd w:id="38"/>
    </w:p>
    <w:p w14:paraId="21D6794F" w14:textId="415D2E32" w:rsidR="002E752C" w:rsidRPr="00334F2A" w:rsidRDefault="005C22FC" w:rsidP="00CD45D6">
      <w:pPr>
        <w:spacing w:line="480" w:lineRule="auto"/>
        <w:ind w:firstLine="720"/>
        <w:rPr>
          <w:rFonts w:ascii="Times New Roman" w:hAnsi="Times New Roman" w:cs="Times New Roman"/>
        </w:rPr>
      </w:pPr>
      <w:r>
        <w:rPr>
          <w:rFonts w:ascii="Times New Roman" w:hAnsi="Times New Roman" w:cs="Times New Roman"/>
        </w:rPr>
        <w:t xml:space="preserve">In the previous chapter, I </w:t>
      </w:r>
      <w:r w:rsidR="00D969CE">
        <w:rPr>
          <w:rFonts w:ascii="Times New Roman" w:hAnsi="Times New Roman" w:cs="Times New Roman"/>
        </w:rPr>
        <w:t>mentioned</w:t>
      </w:r>
      <w:r>
        <w:rPr>
          <w:rFonts w:ascii="Times New Roman" w:hAnsi="Times New Roman" w:cs="Times New Roman"/>
        </w:rPr>
        <w:t xml:space="preserve"> that there have been </w:t>
      </w:r>
      <w:r w:rsidR="000843F4">
        <w:rPr>
          <w:rFonts w:ascii="Times New Roman" w:hAnsi="Times New Roman" w:cs="Times New Roman"/>
        </w:rPr>
        <w:t>methodological</w:t>
      </w:r>
      <w:r>
        <w:rPr>
          <w:rFonts w:ascii="Times New Roman" w:hAnsi="Times New Roman" w:cs="Times New Roman"/>
        </w:rPr>
        <w:t xml:space="preserve"> </w:t>
      </w:r>
      <w:r w:rsidR="000843F4">
        <w:rPr>
          <w:rFonts w:ascii="Times New Roman" w:hAnsi="Times New Roman" w:cs="Times New Roman"/>
        </w:rPr>
        <w:t>barriers</w:t>
      </w:r>
      <w:r>
        <w:rPr>
          <w:rFonts w:ascii="Times New Roman" w:hAnsi="Times New Roman" w:cs="Times New Roman"/>
        </w:rPr>
        <w:t xml:space="preserve"> </w:t>
      </w:r>
      <w:r w:rsidR="00D02D27">
        <w:rPr>
          <w:rFonts w:ascii="Times New Roman" w:hAnsi="Times New Roman" w:cs="Times New Roman"/>
        </w:rPr>
        <w:t>to</w:t>
      </w:r>
      <w:r w:rsidR="00FD0F67">
        <w:rPr>
          <w:rFonts w:ascii="Times New Roman" w:hAnsi="Times New Roman" w:cs="Times New Roman"/>
        </w:rPr>
        <w:t xml:space="preserve"> </w:t>
      </w:r>
      <w:r w:rsidR="000843F4">
        <w:rPr>
          <w:rFonts w:ascii="Times New Roman" w:hAnsi="Times New Roman" w:cs="Times New Roman"/>
        </w:rPr>
        <w:t>establishing a national estimate for the potential effects of promise programs.</w:t>
      </w:r>
      <w:r w:rsidR="00BA53DD">
        <w:rPr>
          <w:rFonts w:ascii="Times New Roman" w:hAnsi="Times New Roman" w:cs="Times New Roman"/>
        </w:rPr>
        <w:t xml:space="preserve"> Additionally, </w:t>
      </w:r>
      <w:r w:rsidR="00D64DED">
        <w:rPr>
          <w:rFonts w:ascii="Times New Roman" w:hAnsi="Times New Roman" w:cs="Times New Roman"/>
        </w:rPr>
        <w:t>the</w:t>
      </w:r>
      <w:r w:rsidR="008963EC">
        <w:rPr>
          <w:rFonts w:ascii="Times New Roman" w:hAnsi="Times New Roman" w:cs="Times New Roman"/>
        </w:rPr>
        <w:t xml:space="preserve"> recent proliferation of programs also lends itself to </w:t>
      </w:r>
      <w:r w:rsidR="009808AB">
        <w:rPr>
          <w:rFonts w:ascii="Times New Roman" w:hAnsi="Times New Roman" w:cs="Times New Roman"/>
        </w:rPr>
        <w:t xml:space="preserve">only recently </w:t>
      </w:r>
      <w:r w:rsidR="00D436DF">
        <w:rPr>
          <w:rFonts w:ascii="Times New Roman" w:hAnsi="Times New Roman" w:cs="Times New Roman"/>
        </w:rPr>
        <w:t>establishing an appropriate sample size for a national-level study.</w:t>
      </w:r>
      <w:r w:rsidR="000843F4">
        <w:rPr>
          <w:rFonts w:ascii="Times New Roman" w:hAnsi="Times New Roman" w:cs="Times New Roman"/>
        </w:rPr>
        <w:t xml:space="preserve"> Only recent</w:t>
      </w:r>
      <w:r w:rsidR="00EA5B1E">
        <w:rPr>
          <w:rFonts w:ascii="Times New Roman" w:hAnsi="Times New Roman" w:cs="Times New Roman"/>
        </w:rPr>
        <w:t xml:space="preserve"> </w:t>
      </w:r>
      <w:r w:rsidR="000843F4">
        <w:rPr>
          <w:rFonts w:ascii="Times New Roman" w:hAnsi="Times New Roman" w:cs="Times New Roman"/>
        </w:rPr>
        <w:t>advances in econometric design</w:t>
      </w:r>
      <w:r w:rsidR="0057399B">
        <w:rPr>
          <w:rFonts w:ascii="Times New Roman" w:hAnsi="Times New Roman" w:cs="Times New Roman"/>
        </w:rPr>
        <w:t xml:space="preserve"> and associated statistical software packages </w:t>
      </w:r>
      <w:r w:rsidR="000843F4">
        <w:rPr>
          <w:rFonts w:ascii="Times New Roman" w:hAnsi="Times New Roman" w:cs="Times New Roman"/>
        </w:rPr>
        <w:t xml:space="preserve">have allowed for </w:t>
      </w:r>
      <w:r w:rsidR="009A080D">
        <w:rPr>
          <w:rFonts w:ascii="Times New Roman" w:hAnsi="Times New Roman" w:cs="Times New Roman"/>
        </w:rPr>
        <w:t xml:space="preserve">the type of analysis needed to establish these estimates. Here, I briefly review these issues and how </w:t>
      </w:r>
      <w:r w:rsidR="005D6C41">
        <w:rPr>
          <w:rFonts w:ascii="Times New Roman" w:hAnsi="Times New Roman" w:cs="Times New Roman"/>
        </w:rPr>
        <w:t>I address them</w:t>
      </w:r>
      <w:r w:rsidR="0057399B">
        <w:rPr>
          <w:rFonts w:ascii="Times New Roman" w:hAnsi="Times New Roman" w:cs="Times New Roman"/>
        </w:rPr>
        <w:t xml:space="preserve"> in this study</w:t>
      </w:r>
      <w:r w:rsidR="005D6C41">
        <w:rPr>
          <w:rFonts w:ascii="Times New Roman" w:hAnsi="Times New Roman" w:cs="Times New Roman"/>
        </w:rPr>
        <w:t xml:space="preserve">. Following this, I provide </w:t>
      </w:r>
      <w:r w:rsidR="009751AB">
        <w:rPr>
          <w:rFonts w:ascii="Times New Roman" w:hAnsi="Times New Roman" w:cs="Times New Roman"/>
        </w:rPr>
        <w:t>a review of how other researcher</w:t>
      </w:r>
      <w:r w:rsidR="000713BA">
        <w:rPr>
          <w:rFonts w:ascii="Times New Roman" w:hAnsi="Times New Roman" w:cs="Times New Roman"/>
        </w:rPr>
        <w:t>s</w:t>
      </w:r>
      <w:r w:rsidR="009751AB">
        <w:rPr>
          <w:rFonts w:ascii="Times New Roman" w:hAnsi="Times New Roman" w:cs="Times New Roman"/>
        </w:rPr>
        <w:t xml:space="preserve"> have utilized this method, my research questions</w:t>
      </w:r>
      <w:r w:rsidR="00AB132A">
        <w:rPr>
          <w:rFonts w:ascii="Times New Roman" w:hAnsi="Times New Roman" w:cs="Times New Roman"/>
        </w:rPr>
        <w:t>, study sample, data analysis</w:t>
      </w:r>
      <w:r w:rsidR="00566546">
        <w:rPr>
          <w:rFonts w:ascii="Times New Roman" w:hAnsi="Times New Roman" w:cs="Times New Roman"/>
        </w:rPr>
        <w:t xml:space="preserve">, </w:t>
      </w:r>
      <w:r w:rsidR="00AB132A">
        <w:rPr>
          <w:rFonts w:ascii="Times New Roman" w:hAnsi="Times New Roman" w:cs="Times New Roman"/>
        </w:rPr>
        <w:t xml:space="preserve">and </w:t>
      </w:r>
      <w:r w:rsidR="00566546">
        <w:rPr>
          <w:rFonts w:ascii="Times New Roman" w:hAnsi="Times New Roman" w:cs="Times New Roman"/>
        </w:rPr>
        <w:t xml:space="preserve">data </w:t>
      </w:r>
      <w:r w:rsidR="00AB132A">
        <w:rPr>
          <w:rFonts w:ascii="Times New Roman" w:hAnsi="Times New Roman" w:cs="Times New Roman"/>
        </w:rPr>
        <w:t>collection</w:t>
      </w:r>
      <w:r w:rsidR="00566546">
        <w:rPr>
          <w:rFonts w:ascii="Times New Roman" w:hAnsi="Times New Roman" w:cs="Times New Roman"/>
        </w:rPr>
        <w:t xml:space="preserve">. I close the chapter by laying out my studies assumptions and limitations. </w:t>
      </w:r>
    </w:p>
    <w:p w14:paraId="3BF88F96" w14:textId="77777777" w:rsidR="002E752C" w:rsidRPr="00334F2A" w:rsidRDefault="002E752C" w:rsidP="00CD45D6">
      <w:pPr>
        <w:pStyle w:val="Heading2"/>
        <w:spacing w:before="0" w:after="0"/>
      </w:pPr>
      <w:bookmarkStart w:id="39" w:name="_Toc183282270"/>
      <w:r w:rsidRPr="00334F2A">
        <w:t>Research Design – Staggered Difference-In-Difference</w:t>
      </w:r>
      <w:bookmarkEnd w:id="39"/>
      <w:r w:rsidRPr="00334F2A">
        <w:t xml:space="preserve"> </w:t>
      </w:r>
    </w:p>
    <w:p w14:paraId="78BFC49D" w14:textId="1077E994" w:rsidR="001F475F" w:rsidRDefault="00794CEA" w:rsidP="00CD45D6">
      <w:pPr>
        <w:spacing w:line="480" w:lineRule="auto"/>
        <w:ind w:firstLine="720"/>
        <w:rPr>
          <w:rFonts w:ascii="Times New Roman" w:hAnsi="Times New Roman" w:cs="Times New Roman"/>
        </w:rPr>
      </w:pPr>
      <w:bookmarkStart w:id="40" w:name="_Toc420995904"/>
      <w:bookmarkStart w:id="41" w:name="_Toc422997491"/>
      <w:bookmarkStart w:id="42" w:name="_Toc427156474"/>
      <w:r>
        <w:rPr>
          <w:rFonts w:ascii="Times New Roman" w:hAnsi="Times New Roman" w:cs="Times New Roman"/>
        </w:rPr>
        <w:t>At its simplest explanation, m</w:t>
      </w:r>
      <w:r w:rsidR="004C415A">
        <w:rPr>
          <w:rFonts w:ascii="Times New Roman" w:hAnsi="Times New Roman" w:cs="Times New Roman"/>
        </w:rPr>
        <w:t xml:space="preserve">y project </w:t>
      </w:r>
      <w:r>
        <w:rPr>
          <w:rFonts w:ascii="Times New Roman" w:hAnsi="Times New Roman" w:cs="Times New Roman"/>
        </w:rPr>
        <w:t>investigated</w:t>
      </w:r>
      <w:r w:rsidR="004C415A">
        <w:rPr>
          <w:rFonts w:ascii="Times New Roman" w:hAnsi="Times New Roman" w:cs="Times New Roman"/>
        </w:rPr>
        <w:t xml:space="preserve"> </w:t>
      </w:r>
      <w:r>
        <w:rPr>
          <w:rFonts w:ascii="Times New Roman" w:hAnsi="Times New Roman" w:cs="Times New Roman"/>
        </w:rPr>
        <w:t xml:space="preserve">for a </w:t>
      </w:r>
      <w:r w:rsidR="004C415A">
        <w:rPr>
          <w:rFonts w:ascii="Times New Roman" w:hAnsi="Times New Roman" w:cs="Times New Roman"/>
        </w:rPr>
        <w:t xml:space="preserve">change in </w:t>
      </w:r>
      <w:r w:rsidR="00652495">
        <w:rPr>
          <w:rFonts w:ascii="Times New Roman" w:hAnsi="Times New Roman" w:cs="Times New Roman"/>
        </w:rPr>
        <w:t>the number of graduates (a</w:t>
      </w:r>
      <w:r w:rsidR="004C415A">
        <w:rPr>
          <w:rFonts w:ascii="Times New Roman" w:hAnsi="Times New Roman" w:cs="Times New Roman"/>
        </w:rPr>
        <w:t xml:space="preserve"> count</w:t>
      </w:r>
      <w:r w:rsidR="00652495">
        <w:rPr>
          <w:rFonts w:ascii="Times New Roman" w:hAnsi="Times New Roman" w:cs="Times New Roman"/>
        </w:rPr>
        <w:t xml:space="preserve"> of awards conferred)</w:t>
      </w:r>
      <w:r w:rsidR="004C415A">
        <w:rPr>
          <w:rFonts w:ascii="Times New Roman" w:hAnsi="Times New Roman" w:cs="Times New Roman"/>
        </w:rPr>
        <w:t xml:space="preserve"> </w:t>
      </w:r>
      <w:r w:rsidR="003D54E3">
        <w:rPr>
          <w:rFonts w:ascii="Times New Roman" w:hAnsi="Times New Roman" w:cs="Times New Roman"/>
        </w:rPr>
        <w:t>after a</w:t>
      </w:r>
      <w:r w:rsidR="00507133">
        <w:rPr>
          <w:rFonts w:ascii="Times New Roman" w:hAnsi="Times New Roman" w:cs="Times New Roman"/>
        </w:rPr>
        <w:t>n institut</w:t>
      </w:r>
      <w:r w:rsidR="00C80CFC">
        <w:rPr>
          <w:rFonts w:ascii="Times New Roman" w:hAnsi="Times New Roman" w:cs="Times New Roman"/>
        </w:rPr>
        <w:t>ion</w:t>
      </w:r>
      <w:r w:rsidR="00507133">
        <w:rPr>
          <w:rFonts w:ascii="Times New Roman" w:hAnsi="Times New Roman" w:cs="Times New Roman"/>
        </w:rPr>
        <w:t xml:space="preserve"> adopts a </w:t>
      </w:r>
      <w:r w:rsidR="00652495">
        <w:rPr>
          <w:rFonts w:ascii="Times New Roman" w:hAnsi="Times New Roman" w:cs="Times New Roman"/>
        </w:rPr>
        <w:t>promise program (i.e. free college program)</w:t>
      </w:r>
      <w:r w:rsidR="003D54E3">
        <w:rPr>
          <w:rFonts w:ascii="Times New Roman" w:hAnsi="Times New Roman" w:cs="Times New Roman"/>
        </w:rPr>
        <w:t xml:space="preserve">. </w:t>
      </w:r>
      <w:r>
        <w:rPr>
          <w:rFonts w:ascii="Times New Roman" w:hAnsi="Times New Roman" w:cs="Times New Roman"/>
        </w:rPr>
        <w:t>Using a</w:t>
      </w:r>
      <w:r w:rsidR="003D54E3">
        <w:rPr>
          <w:rFonts w:ascii="Times New Roman" w:hAnsi="Times New Roman" w:cs="Times New Roman"/>
        </w:rPr>
        <w:t xml:space="preserve"> difference-in-difference design </w:t>
      </w:r>
      <w:r>
        <w:rPr>
          <w:rFonts w:ascii="Times New Roman" w:hAnsi="Times New Roman" w:cs="Times New Roman"/>
        </w:rPr>
        <w:t>offered</w:t>
      </w:r>
      <w:r w:rsidR="00993A28">
        <w:rPr>
          <w:rFonts w:ascii="Times New Roman" w:hAnsi="Times New Roman" w:cs="Times New Roman"/>
        </w:rPr>
        <w:t xml:space="preserve"> </w:t>
      </w:r>
      <w:r w:rsidR="00760586">
        <w:rPr>
          <w:rFonts w:ascii="Times New Roman" w:hAnsi="Times New Roman" w:cs="Times New Roman"/>
        </w:rPr>
        <w:t xml:space="preserve">me the ability to use </w:t>
      </w:r>
      <w:r w:rsidR="00993A28">
        <w:rPr>
          <w:rFonts w:ascii="Times New Roman" w:hAnsi="Times New Roman" w:cs="Times New Roman"/>
        </w:rPr>
        <w:t xml:space="preserve">an established framework for analysis </w:t>
      </w:r>
      <w:r w:rsidR="004753C2">
        <w:rPr>
          <w:rFonts w:ascii="Times New Roman" w:hAnsi="Times New Roman" w:cs="Times New Roman"/>
        </w:rPr>
        <w:t xml:space="preserve">that provides two advantages to me. First, this approach </w:t>
      </w:r>
      <w:r w:rsidR="00993A28">
        <w:rPr>
          <w:rFonts w:ascii="Times New Roman" w:hAnsi="Times New Roman" w:cs="Times New Roman"/>
        </w:rPr>
        <w:t xml:space="preserve">allows for comparisons </w:t>
      </w:r>
      <w:r w:rsidR="00DC553B">
        <w:rPr>
          <w:rFonts w:ascii="Times New Roman" w:hAnsi="Times New Roman" w:cs="Times New Roman"/>
        </w:rPr>
        <w:t>between units before and following policy adoption (</w:t>
      </w:r>
      <w:r w:rsidR="009D675F">
        <w:rPr>
          <w:rFonts w:ascii="Times New Roman" w:hAnsi="Times New Roman" w:cs="Times New Roman"/>
        </w:rPr>
        <w:t xml:space="preserve">i.e., </w:t>
      </w:r>
      <w:r w:rsidR="00E86060">
        <w:rPr>
          <w:rFonts w:ascii="Times New Roman" w:hAnsi="Times New Roman" w:cs="Times New Roman"/>
        </w:rPr>
        <w:t xml:space="preserve">a single treatment across two </w:t>
      </w:r>
      <w:r w:rsidR="00883EFD">
        <w:rPr>
          <w:rFonts w:ascii="Times New Roman" w:hAnsi="Times New Roman" w:cs="Times New Roman"/>
        </w:rPr>
        <w:t>discrete</w:t>
      </w:r>
      <w:r w:rsidR="00E86060">
        <w:rPr>
          <w:rFonts w:ascii="Times New Roman" w:hAnsi="Times New Roman" w:cs="Times New Roman"/>
        </w:rPr>
        <w:t xml:space="preserve"> time periods</w:t>
      </w:r>
      <w:r w:rsidR="00DC553B">
        <w:rPr>
          <w:rFonts w:ascii="Times New Roman" w:hAnsi="Times New Roman" w:cs="Times New Roman"/>
        </w:rPr>
        <w:t>)</w:t>
      </w:r>
      <w:r w:rsidR="004753C2">
        <w:rPr>
          <w:rFonts w:ascii="Times New Roman" w:hAnsi="Times New Roman" w:cs="Times New Roman"/>
        </w:rPr>
        <w:t xml:space="preserve">. Second, it </w:t>
      </w:r>
      <w:r w:rsidR="001F475F">
        <w:rPr>
          <w:rFonts w:ascii="Times New Roman" w:hAnsi="Times New Roman" w:cs="Times New Roman"/>
        </w:rPr>
        <w:t xml:space="preserve">allows for causal inference </w:t>
      </w:r>
      <w:r w:rsidR="005C1347">
        <w:rPr>
          <w:rFonts w:ascii="Times New Roman" w:hAnsi="Times New Roman" w:cs="Times New Roman"/>
        </w:rPr>
        <w:t>using</w:t>
      </w:r>
      <w:r w:rsidR="001F475F">
        <w:rPr>
          <w:rFonts w:ascii="Times New Roman" w:hAnsi="Times New Roman" w:cs="Times New Roman"/>
        </w:rPr>
        <w:t xml:space="preserve"> a comparison group</w:t>
      </w:r>
      <w:r w:rsidR="00E86060">
        <w:rPr>
          <w:rFonts w:ascii="Times New Roman" w:hAnsi="Times New Roman" w:cs="Times New Roman"/>
        </w:rPr>
        <w:t xml:space="preserve"> </w:t>
      </w:r>
      <w:r w:rsidR="005C1347">
        <w:rPr>
          <w:rFonts w:ascii="Times New Roman" w:hAnsi="Times New Roman" w:cs="Times New Roman"/>
        </w:rPr>
        <w:t xml:space="preserve">to net out </w:t>
      </w:r>
      <w:r w:rsidR="006627F4">
        <w:rPr>
          <w:rFonts w:ascii="Times New Roman" w:hAnsi="Times New Roman" w:cs="Times New Roman"/>
        </w:rPr>
        <w:t>changes that would have occurred regardless of treatment</w:t>
      </w:r>
      <w:r w:rsidR="001F475F">
        <w:rPr>
          <w:rFonts w:ascii="Times New Roman" w:hAnsi="Times New Roman" w:cs="Times New Roman"/>
        </w:rPr>
        <w:t>.</w:t>
      </w:r>
      <w:r w:rsidR="006B6272">
        <w:rPr>
          <w:rFonts w:ascii="Times New Roman" w:hAnsi="Times New Roman" w:cs="Times New Roman"/>
        </w:rPr>
        <w:t xml:space="preserve"> Even </w:t>
      </w:r>
      <w:r w:rsidR="00760586">
        <w:rPr>
          <w:rFonts w:ascii="Times New Roman" w:hAnsi="Times New Roman" w:cs="Times New Roman"/>
        </w:rPr>
        <w:t>though</w:t>
      </w:r>
      <w:r w:rsidR="006B6272">
        <w:rPr>
          <w:rFonts w:ascii="Times New Roman" w:hAnsi="Times New Roman" w:cs="Times New Roman"/>
        </w:rPr>
        <w:t xml:space="preserve"> </w:t>
      </w:r>
      <w:r w:rsidR="005B74B9">
        <w:rPr>
          <w:rFonts w:ascii="Times New Roman" w:hAnsi="Times New Roman" w:cs="Times New Roman"/>
        </w:rPr>
        <w:t>comparison group</w:t>
      </w:r>
      <w:r w:rsidR="00760586">
        <w:rPr>
          <w:rFonts w:ascii="Times New Roman" w:hAnsi="Times New Roman" w:cs="Times New Roman"/>
        </w:rPr>
        <w:t>s</w:t>
      </w:r>
      <w:r w:rsidR="005B74B9">
        <w:rPr>
          <w:rFonts w:ascii="Times New Roman" w:hAnsi="Times New Roman" w:cs="Times New Roman"/>
        </w:rPr>
        <w:t xml:space="preserve"> </w:t>
      </w:r>
      <w:r w:rsidR="00760586">
        <w:rPr>
          <w:rFonts w:ascii="Times New Roman" w:hAnsi="Times New Roman" w:cs="Times New Roman"/>
        </w:rPr>
        <w:t>in these quasi-experimental design</w:t>
      </w:r>
      <w:r w:rsidR="004A4D44">
        <w:rPr>
          <w:rFonts w:ascii="Times New Roman" w:hAnsi="Times New Roman" w:cs="Times New Roman"/>
        </w:rPr>
        <w:t>s</w:t>
      </w:r>
      <w:r w:rsidR="00760586">
        <w:rPr>
          <w:rFonts w:ascii="Times New Roman" w:hAnsi="Times New Roman" w:cs="Times New Roman"/>
        </w:rPr>
        <w:t xml:space="preserve"> are</w:t>
      </w:r>
      <w:r w:rsidR="005B74B9">
        <w:rPr>
          <w:rFonts w:ascii="Times New Roman" w:hAnsi="Times New Roman" w:cs="Times New Roman"/>
        </w:rPr>
        <w:t xml:space="preserve"> not identical to the treatment group</w:t>
      </w:r>
      <w:r w:rsidR="004A4D44">
        <w:rPr>
          <w:rFonts w:ascii="Times New Roman" w:hAnsi="Times New Roman" w:cs="Times New Roman"/>
        </w:rPr>
        <w:t xml:space="preserve">’s </w:t>
      </w:r>
      <w:r w:rsidR="00FA4BF8">
        <w:rPr>
          <w:rFonts w:ascii="Times New Roman" w:hAnsi="Times New Roman" w:cs="Times New Roman"/>
        </w:rPr>
        <w:t>outcome variable</w:t>
      </w:r>
      <w:r w:rsidR="005B74B9">
        <w:rPr>
          <w:rFonts w:ascii="Times New Roman" w:hAnsi="Times New Roman" w:cs="Times New Roman"/>
        </w:rPr>
        <w:t xml:space="preserve"> prior to treatment, </w:t>
      </w:r>
      <w:r w:rsidR="00B84906">
        <w:rPr>
          <w:rFonts w:ascii="Times New Roman" w:hAnsi="Times New Roman" w:cs="Times New Roman"/>
        </w:rPr>
        <w:t>comparisons between these groups may be made</w:t>
      </w:r>
      <w:r w:rsidR="005B74B9">
        <w:rPr>
          <w:rFonts w:ascii="Times New Roman" w:hAnsi="Times New Roman" w:cs="Times New Roman"/>
        </w:rPr>
        <w:t xml:space="preserve"> if the two groups’ </w:t>
      </w:r>
      <w:r w:rsidR="00FA4BF8">
        <w:rPr>
          <w:rFonts w:ascii="Times New Roman" w:hAnsi="Times New Roman" w:cs="Times New Roman"/>
        </w:rPr>
        <w:t xml:space="preserve">pre-treatment </w:t>
      </w:r>
      <w:r w:rsidR="005B74B9">
        <w:rPr>
          <w:rFonts w:ascii="Times New Roman" w:hAnsi="Times New Roman" w:cs="Times New Roman"/>
        </w:rPr>
        <w:t>trend</w:t>
      </w:r>
      <w:r w:rsidR="00FA4BF8">
        <w:rPr>
          <w:rFonts w:ascii="Times New Roman" w:hAnsi="Times New Roman" w:cs="Times New Roman"/>
        </w:rPr>
        <w:t>s</w:t>
      </w:r>
      <w:r w:rsidR="005B74B9">
        <w:rPr>
          <w:rFonts w:ascii="Times New Roman" w:hAnsi="Times New Roman" w:cs="Times New Roman"/>
        </w:rPr>
        <w:t xml:space="preserve"> </w:t>
      </w:r>
      <w:r w:rsidR="005B74B9">
        <w:rPr>
          <w:rFonts w:ascii="Times New Roman" w:hAnsi="Times New Roman" w:cs="Times New Roman"/>
        </w:rPr>
        <w:lastRenderedPageBreak/>
        <w:t>over time are similar enough to meet a parallel trends assumption</w:t>
      </w:r>
      <w:r w:rsidR="00E56F55">
        <w:rPr>
          <w:rFonts w:ascii="Times New Roman" w:hAnsi="Times New Roman" w:cs="Times New Roman"/>
        </w:rPr>
        <w:t xml:space="preserve"> – discussed later in the assumptions section of this chapter. </w:t>
      </w:r>
    </w:p>
    <w:p w14:paraId="7F81FDBC" w14:textId="6EC1DAF4" w:rsidR="001F475F" w:rsidRDefault="00CE5551" w:rsidP="00CD45D6">
      <w:pPr>
        <w:spacing w:line="480" w:lineRule="auto"/>
        <w:ind w:firstLine="720"/>
        <w:rPr>
          <w:rFonts w:ascii="Times New Roman" w:hAnsi="Times New Roman" w:cs="Times New Roman"/>
        </w:rPr>
      </w:pPr>
      <w:r>
        <w:rPr>
          <w:rFonts w:ascii="Times New Roman" w:hAnsi="Times New Roman" w:cs="Times New Roman"/>
        </w:rPr>
        <w:t xml:space="preserve">This comparison </w:t>
      </w:r>
      <w:r w:rsidR="007D231F">
        <w:rPr>
          <w:rFonts w:ascii="Times New Roman" w:hAnsi="Times New Roman" w:cs="Times New Roman"/>
        </w:rPr>
        <w:t xml:space="preserve">of trends </w:t>
      </w:r>
      <w:r w:rsidR="00D42D1B">
        <w:rPr>
          <w:rFonts w:ascii="Times New Roman" w:hAnsi="Times New Roman" w:cs="Times New Roman"/>
        </w:rPr>
        <w:t>in outcome variable</w:t>
      </w:r>
      <w:r w:rsidR="007F03F1">
        <w:rPr>
          <w:rFonts w:ascii="Times New Roman" w:hAnsi="Times New Roman" w:cs="Times New Roman"/>
        </w:rPr>
        <w:t>s</w:t>
      </w:r>
      <w:r w:rsidR="00D42D1B">
        <w:rPr>
          <w:rFonts w:ascii="Times New Roman" w:hAnsi="Times New Roman" w:cs="Times New Roman"/>
        </w:rPr>
        <w:t xml:space="preserve"> </w:t>
      </w:r>
      <w:r>
        <w:rPr>
          <w:rFonts w:ascii="Times New Roman" w:hAnsi="Times New Roman" w:cs="Times New Roman"/>
        </w:rPr>
        <w:t xml:space="preserve">allows for the identification of an estimate that is an </w:t>
      </w:r>
      <w:r w:rsidR="00C240C2">
        <w:rPr>
          <w:rFonts w:ascii="Times New Roman" w:hAnsi="Times New Roman" w:cs="Times New Roman"/>
        </w:rPr>
        <w:t xml:space="preserve">average treatment effect </w:t>
      </w:r>
      <w:r w:rsidR="00832077">
        <w:rPr>
          <w:rFonts w:ascii="Times New Roman" w:hAnsi="Times New Roman" w:cs="Times New Roman"/>
        </w:rPr>
        <w:t>(ATE)</w:t>
      </w:r>
      <w:r w:rsidR="001A30A9">
        <w:rPr>
          <w:rFonts w:ascii="Times New Roman" w:hAnsi="Times New Roman" w:cs="Times New Roman"/>
        </w:rPr>
        <w:t>. This represents</w:t>
      </w:r>
      <w:r w:rsidR="000A7D86">
        <w:rPr>
          <w:rFonts w:ascii="Times New Roman" w:hAnsi="Times New Roman" w:cs="Times New Roman"/>
        </w:rPr>
        <w:t xml:space="preserve"> the average difference between the </w:t>
      </w:r>
      <w:r w:rsidR="00CE45F7">
        <w:rPr>
          <w:rFonts w:ascii="Times New Roman" w:hAnsi="Times New Roman" w:cs="Times New Roman"/>
        </w:rPr>
        <w:t>comparison and treatment groups.</w:t>
      </w:r>
      <w:r w:rsidR="00C240C2">
        <w:rPr>
          <w:rFonts w:ascii="Times New Roman" w:hAnsi="Times New Roman" w:cs="Times New Roman"/>
        </w:rPr>
        <w:t xml:space="preserve"> </w:t>
      </w:r>
      <w:r w:rsidR="000A51F6">
        <w:rPr>
          <w:rFonts w:ascii="Times New Roman" w:hAnsi="Times New Roman" w:cs="Times New Roman"/>
        </w:rPr>
        <w:t xml:space="preserve">Scholars often </w:t>
      </w:r>
      <w:r w:rsidR="00832077">
        <w:rPr>
          <w:rFonts w:ascii="Times New Roman" w:hAnsi="Times New Roman" w:cs="Times New Roman"/>
        </w:rPr>
        <w:t xml:space="preserve">estimate this ATE through a use of regression that resembles </w:t>
      </w:r>
      <w:r w:rsidR="000E1569">
        <w:rPr>
          <w:rFonts w:ascii="Times New Roman" w:hAnsi="Times New Roman" w:cs="Times New Roman"/>
        </w:rPr>
        <w:t>the</w:t>
      </w:r>
      <w:r w:rsidR="00832077">
        <w:rPr>
          <w:rFonts w:ascii="Times New Roman" w:hAnsi="Times New Roman" w:cs="Times New Roman"/>
        </w:rPr>
        <w:t xml:space="preserve"> basic regression</w:t>
      </w:r>
      <w:r w:rsidR="000E1569">
        <w:rPr>
          <w:rFonts w:ascii="Times New Roman" w:hAnsi="Times New Roman" w:cs="Times New Roman"/>
        </w:rPr>
        <w:t xml:space="preserve"> that I provide in formula 1</w:t>
      </w:r>
      <w:r w:rsidR="00E84CDB">
        <w:rPr>
          <w:rFonts w:ascii="Times New Roman" w:hAnsi="Times New Roman" w:cs="Times New Roman"/>
        </w:rPr>
        <w:t xml:space="preserve"> where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oMath>
      <w:r w:rsidR="00E84CDB">
        <w:rPr>
          <w:rFonts w:ascii="Times New Roman" w:hAnsi="Times New Roman" w:cs="Times New Roman"/>
        </w:rPr>
        <w:t xml:space="preserve"> represents </w:t>
      </w:r>
      <w:r w:rsidR="007263A9">
        <w:rPr>
          <w:rFonts w:ascii="Times New Roman" w:hAnsi="Times New Roman" w:cs="Times New Roman"/>
        </w:rPr>
        <w:t>an ATE</w:t>
      </w:r>
      <w:r w:rsidR="00832077">
        <w:rPr>
          <w:rFonts w:ascii="Times New Roman" w:hAnsi="Times New Roman" w:cs="Times New Roman"/>
        </w:rPr>
        <w:t xml:space="preserve">: </w:t>
      </w:r>
    </w:p>
    <w:p w14:paraId="4FA7409F" w14:textId="30878C92" w:rsidR="000F0F5A" w:rsidRDefault="00000000" w:rsidP="00CD45D6">
      <w:pPr>
        <w:spacing w:line="480" w:lineRule="auto"/>
        <w:ind w:left="720" w:firstLine="720"/>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it</m:t>
            </m:r>
          </m:sub>
        </m:sSub>
        <m:r>
          <w:rPr>
            <w:rFonts w:ascii="Cambria Math" w:hAnsi="Cambria Math" w:cs="Times New Roman"/>
          </w:rPr>
          <m:t>=α+</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treat</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post</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treat</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post</m:t>
                </m:r>
              </m:e>
              <m:sub>
                <m:r>
                  <w:rPr>
                    <w:rFonts w:ascii="Cambria Math" w:hAnsi="Cambria Math" w:cs="Times New Roman"/>
                  </w:rPr>
                  <m:t>t</m:t>
                </m:r>
              </m:sub>
            </m:sSub>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it</m:t>
            </m:r>
          </m:sub>
        </m:sSub>
      </m:oMath>
      <w:r w:rsidR="009C7153">
        <w:rPr>
          <w:rFonts w:ascii="Times New Roman" w:hAnsi="Times New Roman" w:cs="Times New Roman"/>
        </w:rPr>
        <w:tab/>
      </w:r>
      <w:r w:rsidR="009C7153">
        <w:rPr>
          <w:rFonts w:ascii="Times New Roman" w:hAnsi="Times New Roman" w:cs="Times New Roman"/>
        </w:rPr>
        <w:tab/>
      </w:r>
      <w:r w:rsidR="00200918">
        <w:rPr>
          <w:rFonts w:ascii="Times New Roman" w:hAnsi="Times New Roman" w:cs="Times New Roman"/>
        </w:rPr>
        <w:t xml:space="preserve">       (1)</w:t>
      </w:r>
    </w:p>
    <w:p w14:paraId="5DAA1CAD" w14:textId="2B75A52B" w:rsidR="00652495" w:rsidRPr="00F33C7B" w:rsidRDefault="00F33C7B" w:rsidP="00CD45D6">
      <w:pPr>
        <w:spacing w:line="480" w:lineRule="auto"/>
        <w:rPr>
          <w:rFonts w:ascii="Times New Roman" w:hAnsi="Times New Roman" w:cs="Times New Roman"/>
        </w:rPr>
      </w:pPr>
      <w:r>
        <w:rPr>
          <w:rFonts w:ascii="Times New Roman" w:hAnsi="Times New Roman" w:cs="Times New Roman"/>
        </w:rPr>
        <w:t xml:space="preserve">In </w:t>
      </w:r>
      <w:r w:rsidR="00BC7F85">
        <w:rPr>
          <w:rFonts w:ascii="Times New Roman" w:hAnsi="Times New Roman" w:cs="Times New Roman"/>
        </w:rPr>
        <w:t>this formula</w:t>
      </w:r>
      <w:r w:rsidR="00D65C37">
        <w:rPr>
          <w:rFonts w:ascii="Times New Roman" w:hAnsi="Times New Roman" w:cs="Times New Roman"/>
        </w:rPr>
        <w:t xml:space="preserve"> adapted for use to my study</w:t>
      </w:r>
      <w:r w:rsidR="00652495">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it</m:t>
            </m:r>
          </m:sub>
        </m:sSub>
      </m:oMath>
      <w:r>
        <w:rPr>
          <w:rFonts w:ascii="Times New Roman" w:hAnsi="Times New Roman" w:cs="Times New Roman"/>
        </w:rPr>
        <w:t xml:space="preserve"> represents my outcome variable at time </w:t>
      </w:r>
      <w:r w:rsidRPr="00F33C7B">
        <w:rPr>
          <w:rFonts w:ascii="Times New Roman" w:hAnsi="Times New Roman" w:cs="Times New Roman"/>
          <w:i/>
          <w:iCs/>
        </w:rPr>
        <w:t xml:space="preserve">t </w:t>
      </w:r>
      <w:r>
        <w:rPr>
          <w:rFonts w:ascii="Times New Roman" w:hAnsi="Times New Roman" w:cs="Times New Roman"/>
        </w:rPr>
        <w:t xml:space="preserve">for institution </w:t>
      </w:r>
      <w:r>
        <w:rPr>
          <w:rFonts w:ascii="Times New Roman" w:hAnsi="Times New Roman" w:cs="Times New Roman"/>
          <w:i/>
          <w:iCs/>
        </w:rPr>
        <w:t xml:space="preserve">i </w:t>
      </w:r>
      <w:r w:rsidRPr="00F33C7B">
        <w:rPr>
          <w:rFonts w:ascii="Times New Roman" w:hAnsi="Times New Roman" w:cs="Times New Roman"/>
        </w:rPr>
        <w:t>and</w:t>
      </w:r>
      <w:r>
        <w:rPr>
          <w:rFonts w:ascii="Times New Roman" w:hAnsi="Times New Roman" w:cs="Times New Roman"/>
          <w:i/>
          <w:iCs/>
        </w:rPr>
        <w:t xml:space="preserve"> </w:t>
      </w:r>
      <m:oMath>
        <m:r>
          <w:rPr>
            <w:rFonts w:ascii="Cambria Math" w:hAnsi="Cambria Math" w:cs="Times New Roman"/>
          </w:rPr>
          <m:t>α</m:t>
        </m:r>
      </m:oMath>
      <w:r>
        <w:rPr>
          <w:rFonts w:ascii="Times New Roman" w:hAnsi="Times New Roman" w:cs="Times New Roman"/>
          <w:i/>
        </w:rPr>
        <w:t xml:space="preserve"> </w:t>
      </w:r>
      <w:r w:rsidRPr="00F33C7B">
        <w:rPr>
          <w:rFonts w:ascii="Times New Roman" w:hAnsi="Times New Roman" w:cs="Times New Roman"/>
          <w:iCs/>
        </w:rPr>
        <w:t>represents the y-intercept</w:t>
      </w:r>
      <w:r>
        <w:rPr>
          <w:rFonts w:ascii="Times New Roman" w:hAnsi="Times New Roman" w:cs="Times New Roman"/>
          <w:iCs/>
        </w:rPr>
        <w:t xml:space="preserve"> </w:t>
      </w:r>
      <w:r>
        <w:rPr>
          <w:rFonts w:ascii="Times New Roman" w:hAnsi="Times New Roman" w:cs="Times New Roman"/>
        </w:rPr>
        <w:t>in this specification</w:t>
      </w:r>
      <w:r w:rsidRPr="00F33C7B">
        <w:rPr>
          <w:rFonts w:ascii="Times New Roman" w:hAnsi="Times New Roman" w:cs="Times New Roman"/>
          <w:iCs/>
        </w:rPr>
        <w:t>.</w:t>
      </w:r>
      <w:r>
        <w:rPr>
          <w:rFonts w:ascii="Times New Roman" w:hAnsi="Times New Roman" w:cs="Times New Roman"/>
        </w:rPr>
        <w:t xml:space="preserve"> The</w:t>
      </w:r>
      <w:r w:rsidRPr="00F33C7B">
        <w:rPr>
          <w:rFonts w:ascii="Cambria Math" w:hAnsi="Cambria Math" w:cs="Times New Roman"/>
          <w:i/>
        </w:rPr>
        <w:t xml:space="preserve"> </w:t>
      </w:r>
      <m:oMath>
        <m:r>
          <w:rPr>
            <w:rFonts w:ascii="Cambria Math" w:hAnsi="Cambria Math" w:cs="Times New Roman"/>
          </w:rPr>
          <m:t>β</m:t>
        </m:r>
      </m:oMath>
      <w:r w:rsidRPr="00D65DD1">
        <w:rPr>
          <w:rFonts w:ascii="Times New Roman" w:hAnsi="Times New Roman" w:cs="Times New Roman"/>
          <w:i/>
        </w:rPr>
        <w:t xml:space="preserve"> </w:t>
      </w:r>
      <w:r w:rsidRPr="00D65DD1">
        <w:rPr>
          <w:rFonts w:ascii="Times New Roman" w:hAnsi="Times New Roman" w:cs="Times New Roman"/>
          <w:iCs/>
        </w:rPr>
        <w:t>coefficients represent the change in</w:t>
      </w:r>
      <w:r>
        <w:rPr>
          <w:rFonts w:ascii="Cambria Math" w:hAnsi="Cambria Math" w:cs="Times New Roman"/>
          <w:iCs/>
        </w:rPr>
        <w:t xml:space="preserve"> </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it</m:t>
            </m:r>
          </m:sub>
        </m:sSub>
      </m:oMath>
      <w:r>
        <w:rPr>
          <w:rFonts w:ascii="Times New Roman" w:hAnsi="Times New Roman" w:cs="Times New Roman"/>
        </w:rPr>
        <w:t xml:space="preserve"> for when dummy variables indicating treatment group (</w:t>
      </w:r>
      <w:r>
        <w:rPr>
          <w:rFonts w:ascii="Times New Roman" w:hAnsi="Times New Roman" w:cs="Times New Roman"/>
          <w:i/>
          <w:iCs/>
        </w:rPr>
        <w:t>treat</w:t>
      </w:r>
      <w:r w:rsidRPr="00F33C7B">
        <w:rPr>
          <w:rFonts w:ascii="Times New Roman" w:hAnsi="Times New Roman" w:cs="Times New Roman"/>
        </w:rPr>
        <w:t>)</w:t>
      </w:r>
      <w:r>
        <w:rPr>
          <w:rFonts w:ascii="Times New Roman" w:hAnsi="Times New Roman" w:cs="Times New Roman"/>
          <w:i/>
          <w:iCs/>
        </w:rPr>
        <w:t xml:space="preserve"> </w:t>
      </w:r>
      <w:r>
        <w:rPr>
          <w:rFonts w:ascii="Times New Roman" w:hAnsi="Times New Roman" w:cs="Times New Roman"/>
        </w:rPr>
        <w:t>and post-treatment period (</w:t>
      </w:r>
      <w:r>
        <w:rPr>
          <w:rFonts w:ascii="Times New Roman" w:hAnsi="Times New Roman" w:cs="Times New Roman"/>
          <w:i/>
          <w:iCs/>
        </w:rPr>
        <w:t>post</w:t>
      </w:r>
      <w:r>
        <w:rPr>
          <w:rFonts w:ascii="Times New Roman" w:hAnsi="Times New Roman" w:cs="Times New Roman"/>
        </w:rPr>
        <w:t xml:space="preserve">) are equal to one which represents a group being treated for </w:t>
      </w:r>
      <w:r>
        <w:rPr>
          <w:rFonts w:ascii="Times New Roman" w:hAnsi="Times New Roman" w:cs="Times New Roman"/>
          <w:i/>
          <w:iCs/>
        </w:rPr>
        <w:t>treat</w:t>
      </w:r>
      <w:r>
        <w:rPr>
          <w:rFonts w:ascii="Times New Roman" w:hAnsi="Times New Roman" w:cs="Times New Roman"/>
        </w:rPr>
        <w:t xml:space="preserve"> and it being the post-treatment for </w:t>
      </w:r>
      <w:r>
        <w:rPr>
          <w:rFonts w:ascii="Times New Roman" w:hAnsi="Times New Roman" w:cs="Times New Roman"/>
          <w:i/>
          <w:iCs/>
        </w:rPr>
        <w:t xml:space="preserve">post. </w:t>
      </w:r>
      <w:r>
        <w:rPr>
          <w:rFonts w:ascii="Times New Roman" w:hAnsi="Times New Roman" w:cs="Times New Roman"/>
        </w:rPr>
        <w:t xml:space="preserve">When institutions are not treated and/or it is prior to the treatment period, </w:t>
      </w:r>
      <w:r>
        <w:rPr>
          <w:rFonts w:ascii="Times New Roman" w:hAnsi="Times New Roman" w:cs="Times New Roman"/>
          <w:i/>
          <w:iCs/>
        </w:rPr>
        <w:t>treat</w:t>
      </w:r>
      <w:r>
        <w:rPr>
          <w:rFonts w:ascii="Times New Roman" w:hAnsi="Times New Roman" w:cs="Times New Roman"/>
        </w:rPr>
        <w:t xml:space="preserve"> and </w:t>
      </w:r>
      <w:r>
        <w:rPr>
          <w:rFonts w:ascii="Times New Roman" w:hAnsi="Times New Roman" w:cs="Times New Roman"/>
          <w:i/>
          <w:iCs/>
        </w:rPr>
        <w:t xml:space="preserve">post </w:t>
      </w:r>
      <w:r>
        <w:rPr>
          <w:rFonts w:ascii="Times New Roman" w:hAnsi="Times New Roman" w:cs="Times New Roman"/>
        </w:rPr>
        <w:t xml:space="preserve">are equal to zero. Among these coefficients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Pr>
          <w:rFonts w:ascii="Times New Roman" w:hAnsi="Times New Roman" w:cs="Times New Roman"/>
        </w:rPr>
        <w:t xml:space="preserve"> represents the change in </w:t>
      </w:r>
      <w:r>
        <w:rPr>
          <w:rFonts w:ascii="Times New Roman" w:hAnsi="Times New Roman" w:cs="Times New Roman"/>
          <w:i/>
          <w:iCs/>
        </w:rPr>
        <w:t>y</w:t>
      </w:r>
      <w:r>
        <w:rPr>
          <w:rFonts w:ascii="Times New Roman" w:hAnsi="Times New Roman" w:cs="Times New Roman"/>
        </w:rPr>
        <w:t xml:space="preserve"> due when an institution is in the treated group,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oMath>
      <w:r>
        <w:rPr>
          <w:rFonts w:ascii="Times New Roman" w:hAnsi="Times New Roman" w:cs="Times New Roman"/>
        </w:rPr>
        <w:t xml:space="preserve"> represents the change in </w:t>
      </w:r>
      <w:r>
        <w:rPr>
          <w:rFonts w:ascii="Times New Roman" w:hAnsi="Times New Roman" w:cs="Times New Roman"/>
          <w:i/>
          <w:iCs/>
        </w:rPr>
        <w:t>y</w:t>
      </w:r>
      <w:r>
        <w:rPr>
          <w:rFonts w:ascii="Times New Roman" w:hAnsi="Times New Roman" w:cs="Times New Roman"/>
        </w:rPr>
        <w:t xml:space="preserve"> due when an institution is in the post-treatment time period, and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treat</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post</m:t>
                </m:r>
              </m:e>
              <m:sub>
                <m:r>
                  <w:rPr>
                    <w:rFonts w:ascii="Cambria Math" w:hAnsi="Cambria Math" w:cs="Times New Roman"/>
                  </w:rPr>
                  <m:t>t</m:t>
                </m:r>
              </m:sub>
            </m:sSub>
          </m:e>
        </m:d>
      </m:oMath>
      <w:r>
        <w:rPr>
          <w:rFonts w:ascii="Times New Roman" w:hAnsi="Times New Roman" w:cs="Times New Roman"/>
        </w:rPr>
        <w:t xml:space="preserve"> represents when an institution is both in the treatment group and in a period following promise adoption. Finally, </w:t>
      </w:r>
      <m:oMath>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it</m:t>
            </m:r>
          </m:sub>
        </m:sSub>
      </m:oMath>
      <w:r>
        <w:rPr>
          <w:rFonts w:ascii="Times New Roman" w:hAnsi="Times New Roman" w:cs="Times New Roman"/>
        </w:rPr>
        <w:tab/>
        <w:t xml:space="preserve">represents an error term that contains both the fixed effects of </w:t>
      </w:r>
      <w:r w:rsidR="00F24771">
        <w:rPr>
          <w:rFonts w:ascii="Times New Roman" w:hAnsi="Times New Roman" w:cs="Times New Roman"/>
        </w:rPr>
        <w:t xml:space="preserve">institutions over time and error within the model itself as it fits a linear projection through my data set. </w:t>
      </w:r>
    </w:p>
    <w:p w14:paraId="5C18B3DA" w14:textId="52FB6F14" w:rsidR="00A874B2" w:rsidRDefault="00A874B2" w:rsidP="00CD45D6">
      <w:pPr>
        <w:spacing w:line="480" w:lineRule="auto"/>
        <w:ind w:firstLine="720"/>
        <w:rPr>
          <w:rFonts w:ascii="Cambria Math" w:hAnsi="Cambria Math" w:cs="Times New Roman"/>
        </w:rPr>
      </w:pPr>
      <w:r>
        <w:rPr>
          <w:rFonts w:ascii="Times New Roman" w:hAnsi="Times New Roman" w:cs="Times New Roman"/>
        </w:rPr>
        <w:t xml:space="preserve">A major advantage of this </w:t>
      </w:r>
      <w:r w:rsidR="00143F61">
        <w:rPr>
          <w:rFonts w:ascii="Times New Roman" w:hAnsi="Times New Roman" w:cs="Times New Roman"/>
        </w:rPr>
        <w:t>regression-based</w:t>
      </w:r>
      <w:r>
        <w:rPr>
          <w:rFonts w:ascii="Times New Roman" w:hAnsi="Times New Roman" w:cs="Times New Roman"/>
        </w:rPr>
        <w:t xml:space="preserve"> approach is </w:t>
      </w:r>
      <w:r w:rsidR="00D31B8E">
        <w:rPr>
          <w:rFonts w:ascii="Times New Roman" w:hAnsi="Times New Roman" w:cs="Times New Roman"/>
        </w:rPr>
        <w:t xml:space="preserve">its flexibility for </w:t>
      </w:r>
      <w:r w:rsidR="009B3E92">
        <w:rPr>
          <w:rFonts w:ascii="Times New Roman" w:hAnsi="Times New Roman" w:cs="Times New Roman"/>
        </w:rPr>
        <w:t xml:space="preserve">adding additional units, periods, </w:t>
      </w:r>
      <w:r w:rsidR="00921979">
        <w:rPr>
          <w:rFonts w:ascii="Times New Roman" w:hAnsi="Times New Roman" w:cs="Times New Roman"/>
        </w:rPr>
        <w:t>and covariates for analysis</w:t>
      </w:r>
      <w:r w:rsidR="00D774F6">
        <w:rPr>
          <w:rFonts w:ascii="Times New Roman" w:hAnsi="Times New Roman" w:cs="Times New Roman"/>
        </w:rPr>
        <w:t xml:space="preserve"> which allows for an expansion of </w:t>
      </w:r>
      <w:r w:rsidR="00D774F6">
        <w:rPr>
          <w:rFonts w:ascii="Times New Roman" w:hAnsi="Times New Roman" w:cs="Times New Roman"/>
        </w:rPr>
        <w:lastRenderedPageBreak/>
        <w:t xml:space="preserve">this method beyond a classic 2x2 design that compares a single pre- and post-treatment comparison across two groups. </w:t>
      </w:r>
      <w:r w:rsidR="00AF13D1">
        <w:rPr>
          <w:rFonts w:ascii="Times New Roman" w:hAnsi="Times New Roman" w:cs="Times New Roman"/>
        </w:rPr>
        <w:t>Past r</w:t>
      </w:r>
      <w:r w:rsidR="00AD2554">
        <w:rPr>
          <w:rFonts w:ascii="Times New Roman" w:hAnsi="Times New Roman" w:cs="Times New Roman"/>
        </w:rPr>
        <w:t xml:space="preserve">esearch has established that </w:t>
      </w:r>
      <w:r w:rsidR="00EB57A2">
        <w:rPr>
          <w:rFonts w:ascii="Times New Roman" w:hAnsi="Times New Roman" w:cs="Times New Roman"/>
        </w:rPr>
        <w:t xml:space="preserve">this </w:t>
      </w:r>
      <w:r w:rsidR="00AD2554">
        <w:rPr>
          <w:rFonts w:ascii="Times New Roman" w:hAnsi="Times New Roman" w:cs="Times New Roman"/>
        </w:rPr>
        <w:t>linear regression estimat</w:t>
      </w:r>
      <w:r w:rsidR="00D64F6D">
        <w:rPr>
          <w:rFonts w:ascii="Times New Roman" w:hAnsi="Times New Roman" w:cs="Times New Roman"/>
        </w:rPr>
        <w:t>ion</w:t>
      </w:r>
      <w:r w:rsidR="00AD2554">
        <w:rPr>
          <w:rFonts w:ascii="Times New Roman" w:hAnsi="Times New Roman" w:cs="Times New Roman"/>
        </w:rPr>
        <w:t xml:space="preserve"> and </w:t>
      </w:r>
      <w:r w:rsidR="00EB57A2">
        <w:rPr>
          <w:rFonts w:ascii="Times New Roman" w:hAnsi="Times New Roman" w:cs="Times New Roman"/>
        </w:rPr>
        <w:t xml:space="preserve">the </w:t>
      </w:r>
      <w:r w:rsidR="00AD2554">
        <w:rPr>
          <w:rFonts w:ascii="Times New Roman" w:hAnsi="Times New Roman" w:cs="Times New Roman"/>
        </w:rPr>
        <w:t xml:space="preserve">algebraic 2x2 </w:t>
      </w:r>
      <w:r w:rsidR="00B15862">
        <w:rPr>
          <w:rFonts w:ascii="Times New Roman" w:hAnsi="Times New Roman" w:cs="Times New Roman"/>
        </w:rPr>
        <w:t xml:space="preserve">design which </w:t>
      </w:r>
      <w:r w:rsidR="00ED52EB">
        <w:rPr>
          <w:rFonts w:ascii="Times New Roman" w:hAnsi="Times New Roman" w:cs="Times New Roman"/>
        </w:rPr>
        <w:t>calculates unit differences between treatment and control groups in</w:t>
      </w:r>
      <w:r w:rsidR="00011724">
        <w:rPr>
          <w:rFonts w:ascii="Times New Roman" w:hAnsi="Times New Roman" w:cs="Times New Roman"/>
        </w:rPr>
        <w:t xml:space="preserve"> both the pre- and post-treatment groups</w:t>
      </w:r>
      <w:r w:rsidR="00695891">
        <w:rPr>
          <w:rFonts w:ascii="Times New Roman" w:hAnsi="Times New Roman" w:cs="Times New Roman"/>
        </w:rPr>
        <w:t xml:space="preserve"> are equivalent</w:t>
      </w:r>
      <w:r w:rsidR="00AF13D1">
        <w:rPr>
          <w:rFonts w:ascii="Times New Roman" w:hAnsi="Times New Roman" w:cs="Times New Roman"/>
        </w:rPr>
        <w:t xml:space="preserve"> </w:t>
      </w:r>
      <w:sdt>
        <w:sdtPr>
          <w:rPr>
            <w:rFonts w:ascii="Times New Roman" w:hAnsi="Times New Roman" w:cs="Times New Roman"/>
          </w:rPr>
          <w:id w:val="420768398"/>
          <w:citation/>
        </w:sdtPr>
        <w:sdtContent>
          <w:r w:rsidR="000966E9">
            <w:rPr>
              <w:rFonts w:ascii="Times New Roman" w:hAnsi="Times New Roman" w:cs="Times New Roman"/>
            </w:rPr>
            <w:fldChar w:fldCharType="begin"/>
          </w:r>
          <w:r w:rsidR="000966E9">
            <w:rPr>
              <w:rFonts w:ascii="Times New Roman" w:hAnsi="Times New Roman" w:cs="Times New Roman"/>
            </w:rPr>
            <w:instrText xml:space="preserve"> CITATION Rot24 \l 1033 </w:instrText>
          </w:r>
          <w:r w:rsidR="000966E9">
            <w:rPr>
              <w:rFonts w:ascii="Times New Roman" w:hAnsi="Times New Roman" w:cs="Times New Roman"/>
            </w:rPr>
            <w:fldChar w:fldCharType="separate"/>
          </w:r>
          <w:r w:rsidR="00A10468" w:rsidRPr="00A10468">
            <w:rPr>
              <w:rFonts w:ascii="Times New Roman" w:hAnsi="Times New Roman" w:cs="Times New Roman"/>
              <w:noProof/>
            </w:rPr>
            <w:t>(Roth J. , 2024)</w:t>
          </w:r>
          <w:r w:rsidR="000966E9">
            <w:rPr>
              <w:rFonts w:ascii="Times New Roman" w:hAnsi="Times New Roman" w:cs="Times New Roman"/>
            </w:rPr>
            <w:fldChar w:fldCharType="end"/>
          </w:r>
        </w:sdtContent>
      </w:sdt>
      <w:r w:rsidR="0078371F">
        <w:rPr>
          <w:rFonts w:ascii="Times New Roman" w:hAnsi="Times New Roman" w:cs="Times New Roman"/>
        </w:rPr>
        <w:t>.</w:t>
      </w:r>
      <w:r w:rsidR="009B024D">
        <w:rPr>
          <w:rFonts w:ascii="Times New Roman" w:hAnsi="Times New Roman" w:cs="Times New Roman"/>
        </w:rPr>
        <w:t xml:space="preserve"> </w:t>
      </w:r>
      <w:r w:rsidR="00683A40">
        <w:rPr>
          <w:rFonts w:ascii="Times New Roman" w:hAnsi="Times New Roman" w:cs="Times New Roman"/>
        </w:rPr>
        <w:t xml:space="preserve">This regression-based expression can </w:t>
      </w:r>
      <w:r w:rsidR="008456ED">
        <w:rPr>
          <w:rFonts w:ascii="Times New Roman" w:hAnsi="Times New Roman" w:cs="Times New Roman"/>
        </w:rPr>
        <w:t xml:space="preserve">also be captured </w:t>
      </w:r>
      <w:r w:rsidR="00303B12">
        <w:rPr>
          <w:rFonts w:ascii="Times New Roman" w:hAnsi="Times New Roman" w:cs="Times New Roman"/>
        </w:rPr>
        <w:t xml:space="preserve">through a two-way fixed effects (TWFE) expression that </w:t>
      </w:r>
      <w:r w:rsidR="00543C9B">
        <w:rPr>
          <w:rFonts w:ascii="Times New Roman" w:hAnsi="Times New Roman" w:cs="Times New Roman"/>
        </w:rPr>
        <w:t xml:space="preserve">assigns unit and </w:t>
      </w:r>
      <w:r w:rsidR="00923620">
        <w:rPr>
          <w:rFonts w:ascii="Times New Roman" w:hAnsi="Times New Roman" w:cs="Times New Roman"/>
        </w:rPr>
        <w:t xml:space="preserve">period effects to </w:t>
      </w:r>
      <w:r w:rsidR="00765330" w:rsidRPr="005C4D0F">
        <w:rPr>
          <w:rFonts w:ascii="Cambria Math" w:hAnsi="Cambria Math" w:cs="Times New Roman"/>
        </w:rPr>
        <w:t>α</w:t>
      </w:r>
      <w:r w:rsidR="00765330">
        <w:rPr>
          <w:rFonts w:ascii="Times New Roman" w:hAnsi="Times New Roman" w:cs="Times New Roman"/>
        </w:rPr>
        <w:t xml:space="preserve"> and </w:t>
      </w:r>
      <w:r w:rsidR="005C4D0F" w:rsidRPr="005C4D0F">
        <w:rPr>
          <w:rFonts w:ascii="Cambria Math" w:hAnsi="Cambria Math" w:cs="Times New Roman"/>
        </w:rPr>
        <w:t>λ</w:t>
      </w:r>
      <w:r w:rsidR="003B5195">
        <w:rPr>
          <w:rFonts w:ascii="Cambria Math" w:hAnsi="Cambria Math" w:cs="Times New Roman"/>
        </w:rPr>
        <w:t xml:space="preserve"> </w:t>
      </w:r>
      <w:r w:rsidR="003B5195" w:rsidRPr="00215D9F">
        <w:rPr>
          <w:rFonts w:ascii="Times New Roman" w:hAnsi="Times New Roman" w:cs="Times New Roman"/>
        </w:rPr>
        <w:t xml:space="preserve">respectively. </w:t>
      </w:r>
      <w:r w:rsidR="005D6047" w:rsidRPr="00215D9F">
        <w:rPr>
          <w:rFonts w:ascii="Times New Roman" w:hAnsi="Times New Roman" w:cs="Times New Roman"/>
        </w:rPr>
        <w:t xml:space="preserve">This can be represented by </w:t>
      </w:r>
      <w:r w:rsidR="00C35923" w:rsidRPr="00215D9F">
        <w:rPr>
          <w:rFonts w:ascii="Times New Roman" w:hAnsi="Times New Roman" w:cs="Times New Roman"/>
        </w:rPr>
        <w:t>a</w:t>
      </w:r>
      <w:r w:rsidR="005D6047" w:rsidRPr="00215D9F">
        <w:rPr>
          <w:rFonts w:ascii="Times New Roman" w:hAnsi="Times New Roman" w:cs="Times New Roman"/>
        </w:rPr>
        <w:t xml:space="preserve"> regression </w:t>
      </w:r>
      <w:r w:rsidR="008A2F1D" w:rsidRPr="00215D9F">
        <w:rPr>
          <w:rFonts w:ascii="Times New Roman" w:hAnsi="Times New Roman" w:cs="Times New Roman"/>
        </w:rPr>
        <w:t>where</w:t>
      </w:r>
      <w:r w:rsidR="008A2F1D">
        <w:rPr>
          <w:rFonts w:ascii="Cambria Math" w:hAnsi="Cambria Math" w:cs="Times New Roman"/>
        </w:rPr>
        <w:t xml:space="preserv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treat</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post</m:t>
            </m:r>
          </m:e>
          <m:sub>
            <m:r>
              <w:rPr>
                <w:rFonts w:ascii="Cambria Math" w:hAnsi="Cambria Math" w:cs="Times New Roman"/>
              </w:rPr>
              <m:t>t</m:t>
            </m:r>
          </m:sub>
        </m:sSub>
      </m:oMath>
      <w:r w:rsidR="004223B8">
        <w:rPr>
          <w:rFonts w:ascii="Cambria Math" w:hAnsi="Cambria Math" w:cs="Times New Roman"/>
        </w:rPr>
        <w:t xml:space="preserve"> </w:t>
      </w:r>
      <w:r w:rsidR="004223B8" w:rsidRPr="00215D9F">
        <w:rPr>
          <w:rFonts w:ascii="Times New Roman" w:hAnsi="Times New Roman" w:cs="Times New Roman"/>
        </w:rPr>
        <w:t>and</w:t>
      </w:r>
      <w:r w:rsidR="004223B8">
        <w:rPr>
          <w:rFonts w:ascii="Cambria Math" w:hAnsi="Cambria Math" w:cs="Times New Roman"/>
        </w:rPr>
        <w:t xml:space="preserve"> </w:t>
      </w:r>
      <m:oMath>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DD</m:t>
            </m:r>
          </m:sup>
        </m:s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oMath>
      <w:r w:rsidR="004223B8">
        <w:rPr>
          <w:rFonts w:ascii="Cambria Math" w:hAnsi="Cambria Math" w:cs="Times New Roman"/>
        </w:rPr>
        <w:t>.</w:t>
      </w:r>
    </w:p>
    <w:p w14:paraId="215B9001" w14:textId="0471E3F8" w:rsidR="005D6047" w:rsidRDefault="00000000" w:rsidP="00CD45D6">
      <w:pPr>
        <w:spacing w:line="480" w:lineRule="auto"/>
        <w:ind w:left="2160" w:firstLine="720"/>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λ</m:t>
            </m:r>
          </m:e>
          <m:sub>
            <m:r>
              <w:rPr>
                <w:rFonts w:ascii="Cambria Math" w:hAnsi="Cambria Math" w:cs="Times New Roman"/>
              </w:rPr>
              <m:t>t</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DD</m:t>
            </m:r>
          </m:sup>
        </m:sSup>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it</m:t>
            </m:r>
          </m:sub>
        </m:sSub>
      </m:oMath>
      <w:r w:rsidR="005D6047">
        <w:rPr>
          <w:rFonts w:ascii="Times New Roman" w:hAnsi="Times New Roman" w:cs="Times New Roman"/>
        </w:rPr>
        <w:tab/>
      </w:r>
      <w:r w:rsidR="005D6047">
        <w:rPr>
          <w:rFonts w:ascii="Times New Roman" w:hAnsi="Times New Roman" w:cs="Times New Roman"/>
        </w:rPr>
        <w:tab/>
        <w:t xml:space="preserve"> </w:t>
      </w:r>
      <w:r w:rsidR="008A2F1D">
        <w:rPr>
          <w:rFonts w:ascii="Times New Roman" w:hAnsi="Times New Roman" w:cs="Times New Roman"/>
        </w:rPr>
        <w:tab/>
      </w:r>
      <w:r w:rsidR="008A2F1D">
        <w:rPr>
          <w:rFonts w:ascii="Times New Roman" w:hAnsi="Times New Roman" w:cs="Times New Roman"/>
        </w:rPr>
        <w:tab/>
      </w:r>
      <w:r w:rsidR="005D6047">
        <w:rPr>
          <w:rFonts w:ascii="Times New Roman" w:hAnsi="Times New Roman" w:cs="Times New Roman"/>
        </w:rPr>
        <w:t xml:space="preserve">      (2)</w:t>
      </w:r>
    </w:p>
    <w:p w14:paraId="64EB0B3E" w14:textId="74C8D6EF" w:rsidR="005D6047" w:rsidRDefault="00B45767" w:rsidP="00CD45D6">
      <w:pPr>
        <w:spacing w:line="480" w:lineRule="auto"/>
        <w:rPr>
          <w:rFonts w:ascii="Times New Roman" w:hAnsi="Times New Roman" w:cs="Times New Roman"/>
        </w:rPr>
      </w:pPr>
      <w:r>
        <w:rPr>
          <w:rFonts w:ascii="Times New Roman" w:hAnsi="Times New Roman" w:cs="Times New Roman"/>
        </w:rPr>
        <w:tab/>
        <w:t xml:space="preserve">However, this TWFE approach has been found to be problematic in settings with heterogenous </w:t>
      </w:r>
      <w:r w:rsidR="002C56FE">
        <w:rPr>
          <w:rFonts w:ascii="Times New Roman" w:hAnsi="Times New Roman" w:cs="Times New Roman"/>
        </w:rPr>
        <w:t>treatment adoption</w:t>
      </w:r>
      <w:r w:rsidR="0040536C">
        <w:rPr>
          <w:rFonts w:ascii="Times New Roman" w:hAnsi="Times New Roman" w:cs="Times New Roman"/>
        </w:rPr>
        <w:t xml:space="preserve">. </w:t>
      </w:r>
      <w:r w:rsidR="00C64137">
        <w:rPr>
          <w:rFonts w:ascii="Times New Roman" w:hAnsi="Times New Roman" w:cs="Times New Roman"/>
        </w:rPr>
        <w:t xml:space="preserve">Of primary concern is the interpretability of </w:t>
      </w:r>
      <m:oMath>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DD</m:t>
            </m:r>
          </m:sup>
        </m:sSup>
      </m:oMath>
      <w:r w:rsidR="00414E0C">
        <w:rPr>
          <w:rFonts w:ascii="Times New Roman" w:hAnsi="Times New Roman" w:cs="Times New Roman"/>
        </w:rPr>
        <w:t xml:space="preserve"> as it is </w:t>
      </w:r>
      <w:r w:rsidR="00D654A9">
        <w:rPr>
          <w:rFonts w:ascii="Times New Roman" w:hAnsi="Times New Roman" w:cs="Times New Roman"/>
        </w:rPr>
        <w:t xml:space="preserve">weighted average of </w:t>
      </w:r>
      <w:r w:rsidR="00AF3266">
        <w:rPr>
          <w:rFonts w:ascii="Times New Roman" w:hAnsi="Times New Roman" w:cs="Times New Roman"/>
        </w:rPr>
        <w:t xml:space="preserve">individual treatment effects across each potential period of treatment adoption within a sample. This creates situations where </w:t>
      </w:r>
      <w:r w:rsidR="00DE1E9F">
        <w:rPr>
          <w:rFonts w:ascii="Times New Roman" w:hAnsi="Times New Roman" w:cs="Times New Roman"/>
        </w:rPr>
        <w:t xml:space="preserve">weighted averaging can contribute to an </w:t>
      </w:r>
      <m:oMath>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DD</m:t>
            </m:r>
          </m:sup>
        </m:sSup>
      </m:oMath>
      <w:r w:rsidR="00DE1E9F">
        <w:rPr>
          <w:rFonts w:ascii="Times New Roman" w:hAnsi="Times New Roman" w:cs="Times New Roman"/>
        </w:rPr>
        <w:t xml:space="preserve"> that potentially has an opposite sign </w:t>
      </w:r>
      <w:r w:rsidR="00C7339C">
        <w:rPr>
          <w:rFonts w:ascii="Times New Roman" w:hAnsi="Times New Roman" w:cs="Times New Roman"/>
        </w:rPr>
        <w:t xml:space="preserve">of the effect of the true ATE or average treatment effect on the treated </w:t>
      </w:r>
      <w:r w:rsidR="008E2ECA">
        <w:rPr>
          <w:rFonts w:ascii="Times New Roman" w:hAnsi="Times New Roman" w:cs="Times New Roman"/>
        </w:rPr>
        <w:t xml:space="preserve">or </w:t>
      </w:r>
      <w:r w:rsidR="00C7339C">
        <w:rPr>
          <w:rFonts w:ascii="Times New Roman" w:hAnsi="Times New Roman" w:cs="Times New Roman"/>
        </w:rPr>
        <w:t>ATT</w:t>
      </w:r>
      <w:r w:rsidR="00700330">
        <w:rPr>
          <w:rFonts w:ascii="Times New Roman" w:hAnsi="Times New Roman" w:cs="Times New Roman"/>
        </w:rPr>
        <w:t xml:space="preserve"> </w:t>
      </w:r>
      <w:sdt>
        <w:sdtPr>
          <w:rPr>
            <w:rFonts w:ascii="Times New Roman" w:hAnsi="Times New Roman" w:cs="Times New Roman"/>
          </w:rPr>
          <w:id w:val="-1223828165"/>
          <w:citation/>
        </w:sdtPr>
        <w:sdtContent>
          <w:r w:rsidR="00700330">
            <w:rPr>
              <w:rFonts w:ascii="Times New Roman" w:hAnsi="Times New Roman" w:cs="Times New Roman"/>
            </w:rPr>
            <w:fldChar w:fldCharType="begin"/>
          </w:r>
          <w:r w:rsidR="00700330">
            <w:rPr>
              <w:rFonts w:ascii="Times New Roman" w:hAnsi="Times New Roman" w:cs="Times New Roman"/>
            </w:rPr>
            <w:instrText xml:space="preserve"> CITATION Ath17 \l 1033 </w:instrText>
          </w:r>
          <w:r w:rsidR="003C49CA">
            <w:rPr>
              <w:rFonts w:ascii="Times New Roman" w:hAnsi="Times New Roman" w:cs="Times New Roman"/>
            </w:rPr>
            <w:instrText xml:space="preserve"> \m Bor17</w:instrText>
          </w:r>
          <w:r w:rsidR="00446343">
            <w:rPr>
              <w:rFonts w:ascii="Times New Roman" w:hAnsi="Times New Roman" w:cs="Times New Roman"/>
            </w:rPr>
            <w:instrText xml:space="preserve"> \m Bra21</w:instrText>
          </w:r>
          <w:r w:rsidR="00AA01FB">
            <w:rPr>
              <w:rFonts w:ascii="Times New Roman" w:hAnsi="Times New Roman" w:cs="Times New Roman"/>
            </w:rPr>
            <w:instrText xml:space="preserve"> \m Goo21</w:instrText>
          </w:r>
          <w:r w:rsidR="0062243C">
            <w:rPr>
              <w:rFonts w:ascii="Times New Roman" w:hAnsi="Times New Roman" w:cs="Times New Roman"/>
            </w:rPr>
            <w:instrText xml:space="preserve"> \m Sun21</w:instrText>
          </w:r>
          <w:r w:rsidR="00700330">
            <w:rPr>
              <w:rFonts w:ascii="Times New Roman" w:hAnsi="Times New Roman" w:cs="Times New Roman"/>
            </w:rPr>
            <w:fldChar w:fldCharType="separate"/>
          </w:r>
          <w:r w:rsidR="00A10468" w:rsidRPr="00A10468">
            <w:rPr>
              <w:rFonts w:ascii="Times New Roman" w:hAnsi="Times New Roman" w:cs="Times New Roman"/>
              <w:noProof/>
            </w:rPr>
            <w:t>(Athey &amp; Imbens, 2017; Borusyak &amp; Jaravel, Consistency and inference in bartik research designs, 2017; Callaway &amp; Sant’Anna, 2021; Goodman-Bacon, 2021; Sun &amp; Abraham, 2021)</w:t>
          </w:r>
          <w:r w:rsidR="00700330">
            <w:rPr>
              <w:rFonts w:ascii="Times New Roman" w:hAnsi="Times New Roman" w:cs="Times New Roman"/>
            </w:rPr>
            <w:fldChar w:fldCharType="end"/>
          </w:r>
        </w:sdtContent>
      </w:sdt>
      <w:r w:rsidR="0062243C">
        <w:rPr>
          <w:rFonts w:ascii="Times New Roman" w:hAnsi="Times New Roman" w:cs="Times New Roman"/>
        </w:rPr>
        <w:t>.</w:t>
      </w:r>
    </w:p>
    <w:p w14:paraId="18907258" w14:textId="5AEB4EF0" w:rsidR="00FB2C51" w:rsidRDefault="00FB2C51" w:rsidP="00CD45D6">
      <w:pPr>
        <w:spacing w:line="480" w:lineRule="auto"/>
        <w:rPr>
          <w:rFonts w:ascii="Times New Roman" w:hAnsi="Times New Roman" w:cs="Times New Roman"/>
        </w:rPr>
      </w:pPr>
      <w:r>
        <w:rPr>
          <w:rFonts w:ascii="Times New Roman" w:hAnsi="Times New Roman" w:cs="Times New Roman"/>
        </w:rPr>
        <w:tab/>
        <w:t xml:space="preserve">With this caveat in mind, </w:t>
      </w:r>
      <w:r w:rsidR="00875C5C">
        <w:rPr>
          <w:rFonts w:ascii="Times New Roman" w:hAnsi="Times New Roman" w:cs="Times New Roman"/>
        </w:rPr>
        <w:t xml:space="preserve">recent advances have provided </w:t>
      </w:r>
      <w:r w:rsidR="00A406FB">
        <w:rPr>
          <w:rFonts w:ascii="Times New Roman" w:hAnsi="Times New Roman" w:cs="Times New Roman"/>
        </w:rPr>
        <w:t>methods for rese</w:t>
      </w:r>
      <w:r w:rsidR="005A4621">
        <w:rPr>
          <w:rFonts w:ascii="Times New Roman" w:hAnsi="Times New Roman" w:cs="Times New Roman"/>
        </w:rPr>
        <w:t xml:space="preserve">archers to address the shortcomings of the TWFE model through a variety of strategies. </w:t>
      </w:r>
      <w:r w:rsidR="00984376">
        <w:rPr>
          <w:rFonts w:ascii="Times New Roman" w:hAnsi="Times New Roman" w:cs="Times New Roman"/>
        </w:rPr>
        <w:t xml:space="preserve">I have identified </w:t>
      </w:r>
      <w:r w:rsidR="00783B6B">
        <w:rPr>
          <w:rFonts w:ascii="Times New Roman" w:hAnsi="Times New Roman" w:cs="Times New Roman"/>
        </w:rPr>
        <w:t>several approaches</w:t>
      </w:r>
      <w:r w:rsidR="00AA1CE0">
        <w:rPr>
          <w:rFonts w:ascii="Times New Roman" w:hAnsi="Times New Roman" w:cs="Times New Roman"/>
        </w:rPr>
        <w:t xml:space="preserve"> to assist me in addressing concerns </w:t>
      </w:r>
      <w:r w:rsidR="00DC52AB">
        <w:rPr>
          <w:rFonts w:ascii="Times New Roman" w:hAnsi="Times New Roman" w:cs="Times New Roman"/>
        </w:rPr>
        <w:t>in identifying my estimator of interest</w:t>
      </w:r>
      <w:r w:rsidR="00783B6B">
        <w:rPr>
          <w:rFonts w:ascii="Times New Roman" w:hAnsi="Times New Roman" w:cs="Times New Roman"/>
        </w:rPr>
        <w:t>:</w:t>
      </w:r>
      <w:r w:rsidR="00A5565C">
        <w:rPr>
          <w:rFonts w:ascii="Times New Roman" w:hAnsi="Times New Roman" w:cs="Times New Roman"/>
        </w:rPr>
        <w:t xml:space="preserve"> imputation-based </w:t>
      </w:r>
      <w:sdt>
        <w:sdtPr>
          <w:rPr>
            <w:rFonts w:ascii="Times New Roman" w:hAnsi="Times New Roman" w:cs="Times New Roman"/>
          </w:rPr>
          <w:id w:val="1186027193"/>
          <w:citation/>
        </w:sdtPr>
        <w:sdtContent>
          <w:r w:rsidR="00693706">
            <w:rPr>
              <w:rFonts w:ascii="Times New Roman" w:hAnsi="Times New Roman" w:cs="Times New Roman"/>
            </w:rPr>
            <w:fldChar w:fldCharType="begin"/>
          </w:r>
          <w:r w:rsidR="00693706">
            <w:rPr>
              <w:rFonts w:ascii="Times New Roman" w:hAnsi="Times New Roman" w:cs="Times New Roman"/>
            </w:rPr>
            <w:instrText xml:space="preserve">CITATION Bor24 \t  \l 1033 </w:instrText>
          </w:r>
          <w:r w:rsidR="00693706">
            <w:rPr>
              <w:rFonts w:ascii="Times New Roman" w:hAnsi="Times New Roman" w:cs="Times New Roman"/>
            </w:rPr>
            <w:fldChar w:fldCharType="separate"/>
          </w:r>
          <w:r w:rsidR="00A10468" w:rsidRPr="00A10468">
            <w:rPr>
              <w:rFonts w:ascii="Times New Roman" w:hAnsi="Times New Roman" w:cs="Times New Roman"/>
              <w:noProof/>
            </w:rPr>
            <w:t>(Borusyak, Jaravel, &amp; Spiess, 2024)</w:t>
          </w:r>
          <w:r w:rsidR="00693706">
            <w:rPr>
              <w:rFonts w:ascii="Times New Roman" w:hAnsi="Times New Roman" w:cs="Times New Roman"/>
            </w:rPr>
            <w:fldChar w:fldCharType="end"/>
          </w:r>
        </w:sdtContent>
      </w:sdt>
      <w:r w:rsidR="00C05BDE">
        <w:rPr>
          <w:rFonts w:ascii="Times New Roman" w:hAnsi="Times New Roman" w:cs="Times New Roman"/>
        </w:rPr>
        <w:t xml:space="preserve">, </w:t>
      </w:r>
      <w:r w:rsidR="00E93698">
        <w:rPr>
          <w:rFonts w:ascii="Times New Roman" w:hAnsi="Times New Roman" w:cs="Times New Roman"/>
        </w:rPr>
        <w:t xml:space="preserve">interaction-weighted </w:t>
      </w:r>
      <w:sdt>
        <w:sdtPr>
          <w:rPr>
            <w:rFonts w:ascii="Times New Roman" w:hAnsi="Times New Roman" w:cs="Times New Roman"/>
          </w:rPr>
          <w:id w:val="797955560"/>
          <w:citation/>
        </w:sdtPr>
        <w:sdtContent>
          <w:r w:rsidR="00693706">
            <w:rPr>
              <w:rFonts w:ascii="Times New Roman" w:hAnsi="Times New Roman" w:cs="Times New Roman"/>
            </w:rPr>
            <w:fldChar w:fldCharType="begin"/>
          </w:r>
          <w:r w:rsidR="00693706">
            <w:rPr>
              <w:rFonts w:ascii="Times New Roman" w:hAnsi="Times New Roman" w:cs="Times New Roman"/>
            </w:rPr>
            <w:instrText xml:space="preserve"> CITATION Sun21 \l 1033 </w:instrText>
          </w:r>
          <w:r w:rsidR="00693706">
            <w:rPr>
              <w:rFonts w:ascii="Times New Roman" w:hAnsi="Times New Roman" w:cs="Times New Roman"/>
            </w:rPr>
            <w:fldChar w:fldCharType="separate"/>
          </w:r>
          <w:r w:rsidR="00A10468" w:rsidRPr="00A10468">
            <w:rPr>
              <w:rFonts w:ascii="Times New Roman" w:hAnsi="Times New Roman" w:cs="Times New Roman"/>
              <w:noProof/>
            </w:rPr>
            <w:t>(Sun &amp; Abraham, 2021)</w:t>
          </w:r>
          <w:r w:rsidR="00693706">
            <w:rPr>
              <w:rFonts w:ascii="Times New Roman" w:hAnsi="Times New Roman" w:cs="Times New Roman"/>
            </w:rPr>
            <w:fldChar w:fldCharType="end"/>
          </w:r>
        </w:sdtContent>
      </w:sdt>
      <w:r w:rsidR="005B08C3">
        <w:rPr>
          <w:rFonts w:ascii="Times New Roman" w:hAnsi="Times New Roman" w:cs="Times New Roman"/>
        </w:rPr>
        <w:t xml:space="preserve">, and </w:t>
      </w:r>
      <w:r w:rsidR="00276535">
        <w:rPr>
          <w:rFonts w:ascii="Times New Roman" w:hAnsi="Times New Roman" w:cs="Times New Roman"/>
        </w:rPr>
        <w:t xml:space="preserve">decomposition </w:t>
      </w:r>
      <w:sdt>
        <w:sdtPr>
          <w:rPr>
            <w:rFonts w:ascii="Times New Roman" w:hAnsi="Times New Roman" w:cs="Times New Roman"/>
          </w:rPr>
          <w:id w:val="493381855"/>
          <w:citation/>
        </w:sdtPr>
        <w:sdtContent>
          <w:r w:rsidR="00425906">
            <w:rPr>
              <w:rFonts w:ascii="Times New Roman" w:hAnsi="Times New Roman" w:cs="Times New Roman"/>
            </w:rPr>
            <w:fldChar w:fldCharType="begin"/>
          </w:r>
          <w:r w:rsidR="00425906">
            <w:rPr>
              <w:rFonts w:ascii="Times New Roman" w:hAnsi="Times New Roman" w:cs="Times New Roman"/>
            </w:rPr>
            <w:instrText xml:space="preserve"> CITATION DeC20 \l 1033 </w:instrText>
          </w:r>
          <w:r w:rsidR="00425906">
            <w:rPr>
              <w:rFonts w:ascii="Times New Roman" w:hAnsi="Times New Roman" w:cs="Times New Roman"/>
            </w:rPr>
            <w:fldChar w:fldCharType="separate"/>
          </w:r>
          <w:r w:rsidR="00A10468" w:rsidRPr="00A10468">
            <w:rPr>
              <w:rFonts w:ascii="Times New Roman" w:hAnsi="Times New Roman" w:cs="Times New Roman"/>
              <w:noProof/>
            </w:rPr>
            <w:t xml:space="preserve">(De Chaisemartin &amp; </w:t>
          </w:r>
          <w:r w:rsidR="00A10468" w:rsidRPr="00A10468">
            <w:rPr>
              <w:rFonts w:ascii="Times New Roman" w:hAnsi="Times New Roman" w:cs="Times New Roman"/>
              <w:noProof/>
            </w:rPr>
            <w:lastRenderedPageBreak/>
            <w:t>d’Haultfoeuille, Two-way fixed effects estimators with heterogeneous treatment effects, 2020)</w:t>
          </w:r>
          <w:r w:rsidR="00425906">
            <w:rPr>
              <w:rFonts w:ascii="Times New Roman" w:hAnsi="Times New Roman" w:cs="Times New Roman"/>
            </w:rPr>
            <w:fldChar w:fldCharType="end"/>
          </w:r>
        </w:sdtContent>
      </w:sdt>
      <w:r w:rsidR="00A74875">
        <w:rPr>
          <w:rFonts w:ascii="Times New Roman" w:hAnsi="Times New Roman" w:cs="Times New Roman"/>
        </w:rPr>
        <w:t>.</w:t>
      </w:r>
      <w:r w:rsidR="002F5581">
        <w:rPr>
          <w:rFonts w:ascii="Times New Roman" w:hAnsi="Times New Roman" w:cs="Times New Roman"/>
        </w:rPr>
        <w:t xml:space="preserve"> </w:t>
      </w:r>
    </w:p>
    <w:p w14:paraId="25EB611D" w14:textId="71FEFC54" w:rsidR="004C415A" w:rsidRDefault="00DC52AB" w:rsidP="00CD45D6">
      <w:pPr>
        <w:spacing w:line="480" w:lineRule="auto"/>
        <w:ind w:firstLine="720"/>
        <w:rPr>
          <w:rFonts w:ascii="Times New Roman" w:hAnsi="Times New Roman" w:cs="Times New Roman"/>
        </w:rPr>
      </w:pPr>
      <w:r w:rsidRPr="00B4526C">
        <w:rPr>
          <w:rFonts w:ascii="Times New Roman" w:hAnsi="Times New Roman" w:cs="Times New Roman"/>
        </w:rPr>
        <w:t xml:space="preserve">I identified these estimators for use over </w:t>
      </w:r>
      <w:r w:rsidR="004504C6" w:rsidRPr="00B4526C">
        <w:rPr>
          <w:rFonts w:ascii="Times New Roman" w:hAnsi="Times New Roman" w:cs="Times New Roman"/>
        </w:rPr>
        <w:t>other</w:t>
      </w:r>
      <w:r w:rsidRPr="00B4526C">
        <w:rPr>
          <w:rFonts w:ascii="Times New Roman" w:hAnsi="Times New Roman" w:cs="Times New Roman"/>
        </w:rPr>
        <w:t xml:space="preserve"> potential other emerging estimators including </w:t>
      </w:r>
      <w:r w:rsidR="00A824CE" w:rsidRPr="00B4526C">
        <w:rPr>
          <w:rFonts w:ascii="Times New Roman" w:hAnsi="Times New Roman" w:cs="Times New Roman"/>
        </w:rPr>
        <w:t>Wool</w:t>
      </w:r>
      <w:r w:rsidR="00F24771" w:rsidRPr="00B4526C">
        <w:rPr>
          <w:rFonts w:ascii="Times New Roman" w:hAnsi="Times New Roman" w:cs="Times New Roman"/>
        </w:rPr>
        <w:t>d</w:t>
      </w:r>
      <w:r w:rsidR="00A824CE" w:rsidRPr="00B4526C">
        <w:rPr>
          <w:rFonts w:ascii="Times New Roman" w:hAnsi="Times New Roman" w:cs="Times New Roman"/>
        </w:rPr>
        <w:t>ridge’s Extended TWFE</w:t>
      </w:r>
      <w:r w:rsidR="007B5354" w:rsidRPr="00B4526C">
        <w:rPr>
          <w:rFonts w:ascii="Times New Roman" w:hAnsi="Times New Roman" w:cs="Times New Roman"/>
        </w:rPr>
        <w:t xml:space="preserve"> </w:t>
      </w:r>
      <w:sdt>
        <w:sdtPr>
          <w:rPr>
            <w:rFonts w:ascii="Times New Roman" w:hAnsi="Times New Roman" w:cs="Times New Roman"/>
          </w:rPr>
          <w:id w:val="-1683587118"/>
          <w:citation/>
        </w:sdtPr>
        <w:sdtContent>
          <w:r w:rsidR="00582ED5" w:rsidRPr="00B4526C">
            <w:rPr>
              <w:rFonts w:ascii="Times New Roman" w:hAnsi="Times New Roman" w:cs="Times New Roman"/>
            </w:rPr>
            <w:fldChar w:fldCharType="begin"/>
          </w:r>
          <w:r w:rsidR="00582ED5" w:rsidRPr="00B4526C">
            <w:rPr>
              <w:rFonts w:ascii="Times New Roman" w:hAnsi="Times New Roman" w:cs="Times New Roman"/>
            </w:rPr>
            <w:instrText xml:space="preserve">CITATION Woo21 \n  \t  \l 1033 </w:instrText>
          </w:r>
          <w:r w:rsidR="00582ED5" w:rsidRPr="00B4526C">
            <w:rPr>
              <w:rFonts w:ascii="Times New Roman" w:hAnsi="Times New Roman" w:cs="Times New Roman"/>
            </w:rPr>
            <w:fldChar w:fldCharType="separate"/>
          </w:r>
          <w:r w:rsidR="00A10468" w:rsidRPr="00A10468">
            <w:rPr>
              <w:rFonts w:ascii="Times New Roman" w:hAnsi="Times New Roman" w:cs="Times New Roman"/>
              <w:noProof/>
            </w:rPr>
            <w:t>(2021)</w:t>
          </w:r>
          <w:r w:rsidR="00582ED5" w:rsidRPr="00B4526C">
            <w:rPr>
              <w:rFonts w:ascii="Times New Roman" w:hAnsi="Times New Roman" w:cs="Times New Roman"/>
            </w:rPr>
            <w:fldChar w:fldCharType="end"/>
          </w:r>
        </w:sdtContent>
      </w:sdt>
      <w:r w:rsidR="00057684" w:rsidRPr="00B4526C">
        <w:rPr>
          <w:rFonts w:ascii="Times New Roman" w:hAnsi="Times New Roman" w:cs="Times New Roman"/>
        </w:rPr>
        <w:t xml:space="preserve"> </w:t>
      </w:r>
      <w:r w:rsidR="007B5354" w:rsidRPr="00B4526C">
        <w:rPr>
          <w:rFonts w:ascii="Times New Roman" w:hAnsi="Times New Roman" w:cs="Times New Roman"/>
        </w:rPr>
        <w:t xml:space="preserve">and </w:t>
      </w:r>
      <w:r w:rsidR="00AB2F55" w:rsidRPr="00B4526C">
        <w:rPr>
          <w:rFonts w:ascii="Times New Roman" w:hAnsi="Times New Roman" w:cs="Times New Roman"/>
        </w:rPr>
        <w:t>Call</w:t>
      </w:r>
      <w:r w:rsidR="00F24771" w:rsidRPr="00B4526C">
        <w:rPr>
          <w:rFonts w:ascii="Times New Roman" w:hAnsi="Times New Roman" w:cs="Times New Roman"/>
        </w:rPr>
        <w:t>a</w:t>
      </w:r>
      <w:r w:rsidR="00AB2F55" w:rsidRPr="00B4526C">
        <w:rPr>
          <w:rFonts w:ascii="Times New Roman" w:hAnsi="Times New Roman" w:cs="Times New Roman"/>
        </w:rPr>
        <w:t xml:space="preserve">way and Sant’Anna’s </w:t>
      </w:r>
      <w:sdt>
        <w:sdtPr>
          <w:rPr>
            <w:rFonts w:ascii="Times New Roman" w:hAnsi="Times New Roman" w:cs="Times New Roman"/>
          </w:rPr>
          <w:id w:val="2016406980"/>
          <w:citation/>
        </w:sdtPr>
        <w:sdtContent>
          <w:r w:rsidR="00582ED5" w:rsidRPr="00B4526C">
            <w:rPr>
              <w:rFonts w:ascii="Times New Roman" w:hAnsi="Times New Roman" w:cs="Times New Roman"/>
            </w:rPr>
            <w:fldChar w:fldCharType="begin"/>
          </w:r>
          <w:r w:rsidR="00582ED5" w:rsidRPr="00B4526C">
            <w:rPr>
              <w:rFonts w:ascii="Times New Roman" w:hAnsi="Times New Roman" w:cs="Times New Roman"/>
            </w:rPr>
            <w:instrText xml:space="preserve">CITATION Bra21 \n  \t  \l 1033 </w:instrText>
          </w:r>
          <w:r w:rsidR="00582ED5" w:rsidRPr="00B4526C">
            <w:rPr>
              <w:rFonts w:ascii="Times New Roman" w:hAnsi="Times New Roman" w:cs="Times New Roman"/>
            </w:rPr>
            <w:fldChar w:fldCharType="separate"/>
          </w:r>
          <w:r w:rsidR="00A10468" w:rsidRPr="00A10468">
            <w:rPr>
              <w:rFonts w:ascii="Times New Roman" w:hAnsi="Times New Roman" w:cs="Times New Roman"/>
              <w:noProof/>
            </w:rPr>
            <w:t>(2021)</w:t>
          </w:r>
          <w:r w:rsidR="00582ED5" w:rsidRPr="00B4526C">
            <w:rPr>
              <w:rFonts w:ascii="Times New Roman" w:hAnsi="Times New Roman" w:cs="Times New Roman"/>
            </w:rPr>
            <w:fldChar w:fldCharType="end"/>
          </w:r>
        </w:sdtContent>
      </w:sdt>
      <w:r w:rsidR="00582ED5" w:rsidRPr="00B4526C">
        <w:rPr>
          <w:rFonts w:ascii="Times New Roman" w:hAnsi="Times New Roman" w:cs="Times New Roman"/>
        </w:rPr>
        <w:t xml:space="preserve"> </w:t>
      </w:r>
      <w:r w:rsidR="00245B3F" w:rsidRPr="00B4526C">
        <w:rPr>
          <w:rFonts w:ascii="Times New Roman" w:hAnsi="Times New Roman" w:cs="Times New Roman"/>
        </w:rPr>
        <w:t xml:space="preserve">group-time average </w:t>
      </w:r>
      <w:r w:rsidR="006A5EDF" w:rsidRPr="00B4526C">
        <w:rPr>
          <w:rFonts w:ascii="Times New Roman" w:hAnsi="Times New Roman" w:cs="Times New Roman"/>
        </w:rPr>
        <w:t>because of their ability to account for unit-specific time trends in their set-ups</w:t>
      </w:r>
      <w:r w:rsidR="000E60CE" w:rsidRPr="00B4526C">
        <w:rPr>
          <w:rFonts w:ascii="Times New Roman" w:hAnsi="Times New Roman" w:cs="Times New Roman"/>
        </w:rPr>
        <w:t xml:space="preserve"> using currently available STATA packages</w:t>
      </w:r>
      <w:r w:rsidR="006A5EDF" w:rsidRPr="00B4526C">
        <w:rPr>
          <w:rFonts w:ascii="Times New Roman" w:hAnsi="Times New Roman" w:cs="Times New Roman"/>
        </w:rPr>
        <w:t xml:space="preserve">. </w:t>
      </w:r>
      <w:r w:rsidR="00F24771" w:rsidRPr="00B4526C">
        <w:rPr>
          <w:rFonts w:ascii="Times New Roman" w:hAnsi="Times New Roman" w:cs="Times New Roman"/>
        </w:rPr>
        <w:t>These</w:t>
      </w:r>
      <w:r w:rsidR="00F24771">
        <w:rPr>
          <w:rFonts w:ascii="Times New Roman" w:hAnsi="Times New Roman" w:cs="Times New Roman"/>
        </w:rPr>
        <w:t xml:space="preserve"> models produce outputs that are unable to establish the absence of significant pre-treatment parallel trends while not being compatible with the Rambachan and Roth </w:t>
      </w:r>
      <w:sdt>
        <w:sdtPr>
          <w:rPr>
            <w:rFonts w:ascii="Times New Roman" w:hAnsi="Times New Roman" w:cs="Times New Roman"/>
          </w:rPr>
          <w:id w:val="1889076265"/>
          <w:citation/>
        </w:sdtPr>
        <w:sdtContent>
          <w:r w:rsidR="00575614">
            <w:rPr>
              <w:rFonts w:ascii="Times New Roman" w:hAnsi="Times New Roman" w:cs="Times New Roman"/>
            </w:rPr>
            <w:fldChar w:fldCharType="begin"/>
          </w:r>
          <w:r w:rsidR="00575614">
            <w:rPr>
              <w:rFonts w:ascii="Times New Roman" w:hAnsi="Times New Roman" w:cs="Times New Roman"/>
            </w:rPr>
            <w:instrText xml:space="preserve">CITATION Ram23 \n  \t  \l 1033 </w:instrText>
          </w:r>
          <w:r w:rsidR="00575614">
            <w:rPr>
              <w:rFonts w:ascii="Times New Roman" w:hAnsi="Times New Roman" w:cs="Times New Roman"/>
            </w:rPr>
            <w:fldChar w:fldCharType="separate"/>
          </w:r>
          <w:r w:rsidR="00A10468" w:rsidRPr="00A10468">
            <w:rPr>
              <w:rFonts w:ascii="Times New Roman" w:hAnsi="Times New Roman" w:cs="Times New Roman"/>
              <w:noProof/>
            </w:rPr>
            <w:t>(2023)</w:t>
          </w:r>
          <w:r w:rsidR="00575614">
            <w:rPr>
              <w:rFonts w:ascii="Times New Roman" w:hAnsi="Times New Roman" w:cs="Times New Roman"/>
            </w:rPr>
            <w:fldChar w:fldCharType="end"/>
          </w:r>
        </w:sdtContent>
      </w:sdt>
      <w:r w:rsidR="00F24771">
        <w:rPr>
          <w:rFonts w:ascii="Times New Roman" w:hAnsi="Times New Roman" w:cs="Times New Roman"/>
        </w:rPr>
        <w:t xml:space="preserve"> </w:t>
      </w:r>
      <w:r w:rsidR="00F24771" w:rsidRPr="00F24771">
        <w:rPr>
          <w:rFonts w:ascii="Times New Roman" w:hAnsi="Times New Roman" w:cs="Times New Roman"/>
          <w:i/>
          <w:iCs/>
        </w:rPr>
        <w:t>honestdid</w:t>
      </w:r>
      <w:r w:rsidR="00F24771">
        <w:rPr>
          <w:rFonts w:ascii="Times New Roman" w:hAnsi="Times New Roman" w:cs="Times New Roman"/>
        </w:rPr>
        <w:t xml:space="preserve"> package to assess for when it is appropriate to still conduct a staggered difference-in-difference.</w:t>
      </w:r>
      <w:r w:rsidR="00287E3B">
        <w:rPr>
          <w:rFonts w:ascii="Times New Roman" w:hAnsi="Times New Roman" w:cs="Times New Roman"/>
        </w:rPr>
        <w:t xml:space="preserve"> While these models have been found to produce similar results, specific differences remain due the uniqueness of my data set’s unit-</w:t>
      </w:r>
      <w:r w:rsidR="001719C4">
        <w:rPr>
          <w:rFonts w:ascii="Times New Roman" w:hAnsi="Times New Roman" w:cs="Times New Roman"/>
        </w:rPr>
        <w:t>specific</w:t>
      </w:r>
      <w:r w:rsidR="00287E3B">
        <w:rPr>
          <w:rFonts w:ascii="Times New Roman" w:hAnsi="Times New Roman" w:cs="Times New Roman"/>
        </w:rPr>
        <w:t xml:space="preserve"> time trends </w:t>
      </w:r>
      <w:sdt>
        <w:sdtPr>
          <w:rPr>
            <w:rFonts w:ascii="Times New Roman" w:hAnsi="Times New Roman" w:cs="Times New Roman"/>
          </w:rPr>
          <w:id w:val="862404190"/>
          <w:citation/>
        </w:sdtPr>
        <w:sdtContent>
          <w:r w:rsidR="0044447D">
            <w:rPr>
              <w:rFonts w:ascii="Times New Roman" w:hAnsi="Times New Roman" w:cs="Times New Roman"/>
            </w:rPr>
            <w:fldChar w:fldCharType="begin"/>
          </w:r>
          <w:r w:rsidR="0044447D">
            <w:rPr>
              <w:rFonts w:ascii="Times New Roman" w:hAnsi="Times New Roman" w:cs="Times New Roman"/>
            </w:rPr>
            <w:instrText xml:space="preserve"> CITATION Bak22 \l 1033 </w:instrText>
          </w:r>
          <w:r w:rsidR="0044447D">
            <w:rPr>
              <w:rFonts w:ascii="Times New Roman" w:hAnsi="Times New Roman" w:cs="Times New Roman"/>
            </w:rPr>
            <w:fldChar w:fldCharType="separate"/>
          </w:r>
          <w:r w:rsidR="00A10468" w:rsidRPr="00A10468">
            <w:rPr>
              <w:rFonts w:ascii="Times New Roman" w:hAnsi="Times New Roman" w:cs="Times New Roman"/>
              <w:noProof/>
            </w:rPr>
            <w:t>(Baker, Larcker, &amp; Wang, 2022)</w:t>
          </w:r>
          <w:r w:rsidR="0044447D">
            <w:rPr>
              <w:rFonts w:ascii="Times New Roman" w:hAnsi="Times New Roman" w:cs="Times New Roman"/>
            </w:rPr>
            <w:fldChar w:fldCharType="end"/>
          </w:r>
        </w:sdtContent>
      </w:sdt>
      <w:r w:rsidR="00287E3B">
        <w:rPr>
          <w:rFonts w:ascii="Times New Roman" w:hAnsi="Times New Roman" w:cs="Times New Roman"/>
        </w:rPr>
        <w:t>.</w:t>
      </w:r>
      <w:r w:rsidR="00F24771">
        <w:rPr>
          <w:rFonts w:ascii="Times New Roman" w:hAnsi="Times New Roman" w:cs="Times New Roman"/>
        </w:rPr>
        <w:t xml:space="preserve"> Th</w:t>
      </w:r>
      <w:r w:rsidR="00287E3B">
        <w:rPr>
          <w:rFonts w:ascii="Times New Roman" w:hAnsi="Times New Roman" w:cs="Times New Roman"/>
        </w:rPr>
        <w:t>ese unit-</w:t>
      </w:r>
      <w:r w:rsidR="00C9123A">
        <w:rPr>
          <w:rFonts w:ascii="Times New Roman" w:hAnsi="Times New Roman" w:cs="Times New Roman"/>
        </w:rPr>
        <w:t>specific</w:t>
      </w:r>
      <w:r w:rsidR="00287E3B">
        <w:rPr>
          <w:rFonts w:ascii="Times New Roman" w:hAnsi="Times New Roman" w:cs="Times New Roman"/>
        </w:rPr>
        <w:t xml:space="preserve"> time trends occur</w:t>
      </w:r>
      <w:r w:rsidR="00F24771">
        <w:rPr>
          <w:rFonts w:ascii="Times New Roman" w:hAnsi="Times New Roman" w:cs="Times New Roman"/>
        </w:rPr>
        <w:t xml:space="preserve"> because </w:t>
      </w:r>
      <w:r w:rsidR="00063D8A">
        <w:rPr>
          <w:rFonts w:ascii="Times New Roman" w:hAnsi="Times New Roman" w:cs="Times New Roman"/>
        </w:rPr>
        <w:t>institution</w:t>
      </w:r>
      <w:r w:rsidR="006A7039">
        <w:rPr>
          <w:rFonts w:ascii="Times New Roman" w:hAnsi="Times New Roman" w:cs="Times New Roman"/>
        </w:rPr>
        <w:t>al</w:t>
      </w:r>
      <w:r w:rsidR="00CA1390">
        <w:rPr>
          <w:rFonts w:ascii="Times New Roman" w:hAnsi="Times New Roman" w:cs="Times New Roman"/>
        </w:rPr>
        <w:t xml:space="preserve"> and system</w:t>
      </w:r>
      <w:r w:rsidR="006A7039">
        <w:rPr>
          <w:rFonts w:ascii="Times New Roman" w:hAnsi="Times New Roman" w:cs="Times New Roman"/>
        </w:rPr>
        <w:t xml:space="preserve"> level</w:t>
      </w:r>
      <w:r w:rsidR="00CA1390">
        <w:rPr>
          <w:rFonts w:ascii="Times New Roman" w:hAnsi="Times New Roman" w:cs="Times New Roman"/>
        </w:rPr>
        <w:t xml:space="preserve"> decisions to adopt a pro</w:t>
      </w:r>
      <w:r w:rsidR="00336007">
        <w:rPr>
          <w:rFonts w:ascii="Times New Roman" w:hAnsi="Times New Roman" w:cs="Times New Roman"/>
        </w:rPr>
        <w:t xml:space="preserve">mise </w:t>
      </w:r>
      <w:r w:rsidR="00CA1390">
        <w:rPr>
          <w:rFonts w:ascii="Times New Roman" w:hAnsi="Times New Roman" w:cs="Times New Roman"/>
        </w:rPr>
        <w:t xml:space="preserve">program </w:t>
      </w:r>
      <w:r w:rsidR="006A7039">
        <w:rPr>
          <w:rFonts w:ascii="Times New Roman" w:hAnsi="Times New Roman" w:cs="Times New Roman"/>
        </w:rPr>
        <w:t>may be influenced</w:t>
      </w:r>
      <w:r w:rsidR="00336007">
        <w:rPr>
          <w:rFonts w:ascii="Times New Roman" w:hAnsi="Times New Roman" w:cs="Times New Roman"/>
        </w:rPr>
        <w:t xml:space="preserve"> by </w:t>
      </w:r>
      <w:r w:rsidR="006A7039">
        <w:rPr>
          <w:rFonts w:ascii="Times New Roman" w:hAnsi="Times New Roman" w:cs="Times New Roman"/>
        </w:rPr>
        <w:t>preceding</w:t>
      </w:r>
      <w:r w:rsidR="00D16E86">
        <w:rPr>
          <w:rFonts w:ascii="Times New Roman" w:hAnsi="Times New Roman" w:cs="Times New Roman"/>
        </w:rPr>
        <w:t xml:space="preserve"> </w:t>
      </w:r>
      <w:r w:rsidR="004504C6">
        <w:rPr>
          <w:rFonts w:ascii="Times New Roman" w:hAnsi="Times New Roman" w:cs="Times New Roman"/>
        </w:rPr>
        <w:t xml:space="preserve">enrollment and graduation trends, the inclusion of the ability to account for unit-specific time trends will be important to </w:t>
      </w:r>
      <w:r w:rsidR="00B43B45">
        <w:rPr>
          <w:rFonts w:ascii="Times New Roman" w:hAnsi="Times New Roman" w:cs="Times New Roman"/>
        </w:rPr>
        <w:t xml:space="preserve">account for non-zero </w:t>
      </w:r>
      <w:r w:rsidR="007946DF">
        <w:rPr>
          <w:rFonts w:ascii="Times New Roman" w:hAnsi="Times New Roman" w:cs="Times New Roman"/>
        </w:rPr>
        <w:t>pre-treatment trends in the treated sample</w:t>
      </w:r>
      <w:r w:rsidR="0044447D">
        <w:rPr>
          <w:rFonts w:ascii="Times New Roman" w:hAnsi="Times New Roman" w:cs="Times New Roman"/>
        </w:rPr>
        <w:t xml:space="preserve"> </w:t>
      </w:r>
      <w:sdt>
        <w:sdtPr>
          <w:rPr>
            <w:rFonts w:ascii="Times New Roman" w:hAnsi="Times New Roman" w:cs="Times New Roman"/>
          </w:rPr>
          <w:id w:val="1929778714"/>
          <w:citation/>
        </w:sdtPr>
        <w:sdtContent>
          <w:r w:rsidR="0044447D">
            <w:rPr>
              <w:rFonts w:ascii="Times New Roman" w:hAnsi="Times New Roman" w:cs="Times New Roman"/>
            </w:rPr>
            <w:fldChar w:fldCharType="begin"/>
          </w:r>
          <w:r w:rsidR="0044447D">
            <w:rPr>
              <w:rFonts w:ascii="Times New Roman" w:hAnsi="Times New Roman" w:cs="Times New Roman"/>
            </w:rPr>
            <w:instrText xml:space="preserve"> CITATION Bil18 \l 1033 </w:instrText>
          </w:r>
          <w:r w:rsidR="0044447D">
            <w:rPr>
              <w:rFonts w:ascii="Times New Roman" w:hAnsi="Times New Roman" w:cs="Times New Roman"/>
            </w:rPr>
            <w:fldChar w:fldCharType="separate"/>
          </w:r>
          <w:r w:rsidR="00A10468" w:rsidRPr="00A10468">
            <w:rPr>
              <w:rFonts w:ascii="Times New Roman" w:hAnsi="Times New Roman" w:cs="Times New Roman"/>
              <w:noProof/>
            </w:rPr>
            <w:t>(Billings, 2018)</w:t>
          </w:r>
          <w:r w:rsidR="0044447D">
            <w:rPr>
              <w:rFonts w:ascii="Times New Roman" w:hAnsi="Times New Roman" w:cs="Times New Roman"/>
            </w:rPr>
            <w:fldChar w:fldCharType="end"/>
          </w:r>
        </w:sdtContent>
      </w:sdt>
      <w:r w:rsidR="007946DF">
        <w:rPr>
          <w:rFonts w:ascii="Times New Roman" w:hAnsi="Times New Roman" w:cs="Times New Roman"/>
        </w:rPr>
        <w:t xml:space="preserve">. </w:t>
      </w:r>
    </w:p>
    <w:p w14:paraId="71177B52" w14:textId="77777777" w:rsidR="002E752C" w:rsidRPr="00334F2A" w:rsidRDefault="002E752C" w:rsidP="00CD45D6">
      <w:pPr>
        <w:pStyle w:val="Heading2"/>
        <w:spacing w:before="0" w:after="0"/>
      </w:pPr>
      <w:bookmarkStart w:id="43" w:name="_Toc420995907"/>
      <w:bookmarkStart w:id="44" w:name="_Toc422997494"/>
      <w:bookmarkStart w:id="45" w:name="_Toc427156477"/>
      <w:bookmarkStart w:id="46" w:name="_Toc183282271"/>
      <w:bookmarkEnd w:id="40"/>
      <w:bookmarkEnd w:id="41"/>
      <w:bookmarkEnd w:id="42"/>
      <w:r w:rsidRPr="00334F2A">
        <w:t>Research Questions</w:t>
      </w:r>
      <w:bookmarkEnd w:id="43"/>
      <w:bookmarkEnd w:id="44"/>
      <w:bookmarkEnd w:id="45"/>
      <w:bookmarkEnd w:id="46"/>
    </w:p>
    <w:p w14:paraId="5BDE960E" w14:textId="4EF60B6B" w:rsidR="0037163A" w:rsidRPr="00D5334B" w:rsidRDefault="0037163A" w:rsidP="00CD45D6">
      <w:pPr>
        <w:spacing w:line="480" w:lineRule="auto"/>
        <w:rPr>
          <w:rFonts w:ascii="Times New Roman" w:hAnsi="Times New Roman" w:cs="Times New Roman"/>
        </w:rPr>
      </w:pPr>
      <w:r>
        <w:rPr>
          <w:rFonts w:ascii="Times New Roman" w:hAnsi="Times New Roman" w:cs="Times New Roman"/>
        </w:rPr>
        <w:t xml:space="preserve">The </w:t>
      </w:r>
      <w:r w:rsidRPr="00D5334B">
        <w:rPr>
          <w:rFonts w:ascii="Times New Roman" w:hAnsi="Times New Roman" w:cs="Times New Roman"/>
        </w:rPr>
        <w:t xml:space="preserve">research questions for this study are: </w:t>
      </w:r>
    </w:p>
    <w:p w14:paraId="3FEF04D3" w14:textId="00F54181" w:rsidR="0037163A" w:rsidRPr="00D5334B" w:rsidRDefault="0037163A" w:rsidP="00CD45D6">
      <w:pPr>
        <w:pStyle w:val="ListParagraph"/>
        <w:numPr>
          <w:ilvl w:val="0"/>
          <w:numId w:val="21"/>
        </w:numPr>
        <w:rPr>
          <w:rFonts w:ascii="Times New Roman" w:hAnsi="Times New Roman" w:cs="Times New Roman"/>
        </w:rPr>
      </w:pPr>
      <w:r w:rsidRPr="00D5334B">
        <w:rPr>
          <w:rFonts w:ascii="Times New Roman" w:eastAsiaTheme="minorEastAsia" w:hAnsi="Times New Roman" w:cs="Times New Roman"/>
        </w:rPr>
        <w:t xml:space="preserve">What effect does the adoption of a free college program have on postsecondary program completions by program length (less than 1 year, 1 year to 2 years, and 2 years)? </w:t>
      </w:r>
    </w:p>
    <w:p w14:paraId="4C0F22E1" w14:textId="05144770" w:rsidR="002E752C" w:rsidRPr="00D5334B" w:rsidRDefault="0037163A" w:rsidP="00CD45D6">
      <w:pPr>
        <w:pStyle w:val="ListParagraph"/>
        <w:numPr>
          <w:ilvl w:val="0"/>
          <w:numId w:val="21"/>
        </w:numPr>
        <w:rPr>
          <w:rFonts w:ascii="Times New Roman" w:hAnsi="Times New Roman" w:cs="Times New Roman"/>
        </w:rPr>
      </w:pPr>
      <w:r w:rsidRPr="00D5334B">
        <w:rPr>
          <w:rFonts w:ascii="Times New Roman" w:eastAsiaTheme="minorEastAsia" w:hAnsi="Times New Roman" w:cs="Times New Roman"/>
        </w:rPr>
        <w:lastRenderedPageBreak/>
        <w:t>What effect does the adoption of a free college program have on postsecondary program completions by program’s academic focus?</w:t>
      </w:r>
    </w:p>
    <w:p w14:paraId="7BB9E6DA" w14:textId="77777777" w:rsidR="002E752C" w:rsidRPr="00827C3C" w:rsidRDefault="002E752C" w:rsidP="00CD45D6">
      <w:pPr>
        <w:pStyle w:val="Heading2"/>
        <w:spacing w:before="0" w:after="0"/>
      </w:pPr>
      <w:bookmarkStart w:id="47" w:name="_Toc183282272"/>
      <w:r w:rsidRPr="00827C3C">
        <w:t>Study Sample</w:t>
      </w:r>
      <w:bookmarkEnd w:id="47"/>
    </w:p>
    <w:p w14:paraId="6F105BAF" w14:textId="77777777" w:rsidR="000500FF" w:rsidRDefault="00802E7D"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27C3C">
        <w:rPr>
          <w:rFonts w:ascii="Times New Roman" w:hAnsi="Times New Roman" w:cs="Times New Roman"/>
        </w:rPr>
        <w:t xml:space="preserve"> </w:t>
      </w:r>
      <w:r w:rsidRPr="00827C3C">
        <w:rPr>
          <w:rFonts w:ascii="Times New Roman" w:hAnsi="Times New Roman" w:cs="Times New Roman"/>
        </w:rPr>
        <w:tab/>
      </w:r>
      <w:r w:rsidR="00C60F16" w:rsidRPr="00827C3C">
        <w:rPr>
          <w:rFonts w:ascii="Times New Roman" w:hAnsi="Times New Roman" w:cs="Times New Roman"/>
        </w:rPr>
        <w:t>Because this study is a national analysis of the effect of promise</w:t>
      </w:r>
      <w:r w:rsidR="00C60F16">
        <w:rPr>
          <w:rFonts w:ascii="Times New Roman" w:hAnsi="Times New Roman" w:cs="Times New Roman"/>
        </w:rPr>
        <w:t xml:space="preserve"> programs on </w:t>
      </w:r>
      <w:r w:rsidR="00E10A4D">
        <w:rPr>
          <w:rFonts w:ascii="Times New Roman" w:hAnsi="Times New Roman" w:cs="Times New Roman"/>
        </w:rPr>
        <w:t xml:space="preserve">sub-baccalaureate award </w:t>
      </w:r>
      <w:r w:rsidR="00C60F16">
        <w:rPr>
          <w:rFonts w:ascii="Times New Roman" w:hAnsi="Times New Roman" w:cs="Times New Roman"/>
        </w:rPr>
        <w:t>production</w:t>
      </w:r>
      <w:r w:rsidR="00E10A4D">
        <w:rPr>
          <w:rFonts w:ascii="Times New Roman" w:hAnsi="Times New Roman" w:cs="Times New Roman"/>
        </w:rPr>
        <w:t xml:space="preserve">, my sample’s unit of analysis are institutions that grant sub-baccalaureate awards. </w:t>
      </w:r>
      <w:r w:rsidR="00E727BA">
        <w:rPr>
          <w:rFonts w:ascii="Times New Roman" w:hAnsi="Times New Roman" w:cs="Times New Roman"/>
        </w:rPr>
        <w:t>To simplify analysis, I study institutions that were open for the entirety of my sample</w:t>
      </w:r>
      <w:r w:rsidR="000911BF">
        <w:rPr>
          <w:rFonts w:ascii="Times New Roman" w:hAnsi="Times New Roman" w:cs="Times New Roman"/>
        </w:rPr>
        <w:t>’s time range of 2000 through 2022 (23 years).</w:t>
      </w:r>
      <w:r w:rsidR="00AF6235">
        <w:rPr>
          <w:rFonts w:ascii="Times New Roman" w:hAnsi="Times New Roman" w:cs="Times New Roman"/>
        </w:rPr>
        <w:t xml:space="preserve"> </w:t>
      </w:r>
      <w:r w:rsidR="00846297">
        <w:rPr>
          <w:rFonts w:ascii="Times New Roman" w:hAnsi="Times New Roman" w:cs="Times New Roman"/>
        </w:rPr>
        <w:t xml:space="preserve">Once, I </w:t>
      </w:r>
      <w:r w:rsidR="00E00390">
        <w:rPr>
          <w:rFonts w:ascii="Times New Roman" w:hAnsi="Times New Roman" w:cs="Times New Roman"/>
        </w:rPr>
        <w:t xml:space="preserve">downloaded the completed data files for completions from IPEDS for 2000 through 2022, I </w:t>
      </w:r>
      <w:r w:rsidR="006D737F">
        <w:rPr>
          <w:rFonts w:ascii="Times New Roman" w:hAnsi="Times New Roman" w:cs="Times New Roman"/>
        </w:rPr>
        <w:t>removed award levels above the associates degree</w:t>
      </w:r>
      <w:r w:rsidR="00037BCA">
        <w:rPr>
          <w:rFonts w:ascii="Times New Roman" w:hAnsi="Times New Roman" w:cs="Times New Roman"/>
        </w:rPr>
        <w:t xml:space="preserve"> and appended these 23 files together into a single panel data set. </w:t>
      </w:r>
    </w:p>
    <w:p w14:paraId="2FF5687F" w14:textId="29E5E8DC" w:rsidR="004417D1" w:rsidRDefault="000500FF"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F242D4">
        <w:rPr>
          <w:rFonts w:ascii="Times New Roman" w:hAnsi="Times New Roman" w:cs="Times New Roman"/>
        </w:rPr>
        <w:t>T</w:t>
      </w:r>
      <w:r w:rsidR="007C7181">
        <w:rPr>
          <w:rFonts w:ascii="Times New Roman" w:hAnsi="Times New Roman" w:cs="Times New Roman"/>
        </w:rPr>
        <w:t>he complete data files when downloaded fr</w:t>
      </w:r>
      <w:r w:rsidR="004417D1">
        <w:rPr>
          <w:rFonts w:ascii="Times New Roman" w:hAnsi="Times New Roman" w:cs="Times New Roman"/>
        </w:rPr>
        <w:t>o</w:t>
      </w:r>
      <w:r w:rsidR="007C7181">
        <w:rPr>
          <w:rFonts w:ascii="Times New Roman" w:hAnsi="Times New Roman" w:cs="Times New Roman"/>
        </w:rPr>
        <w:t xml:space="preserve">m IPEDS have each level of award for each institution as their own separate row or observation in the data file. </w:t>
      </w:r>
      <w:r w:rsidR="004417D1">
        <w:rPr>
          <w:rFonts w:ascii="Times New Roman" w:hAnsi="Times New Roman" w:cs="Times New Roman"/>
        </w:rPr>
        <w:t xml:space="preserve">When an institution does not offer awards at this level, the institution does not have an observation row for that level of award. This means that when I removed baccalaureate </w:t>
      </w:r>
      <w:r w:rsidR="00E87B78">
        <w:rPr>
          <w:rFonts w:ascii="Times New Roman" w:hAnsi="Times New Roman" w:cs="Times New Roman"/>
        </w:rPr>
        <w:t xml:space="preserve">awards </w:t>
      </w:r>
      <w:r w:rsidR="004417D1">
        <w:rPr>
          <w:rFonts w:ascii="Times New Roman" w:hAnsi="Times New Roman" w:cs="Times New Roman"/>
        </w:rPr>
        <w:t xml:space="preserve">and higher from my sample, I in effect limited the complete data file downloads from IPEDS to institutions that award sub-baccalaureate awards. The total number of institutions at this point was </w:t>
      </w:r>
      <w:r w:rsidR="00B07A16">
        <w:rPr>
          <w:rFonts w:ascii="Times New Roman" w:hAnsi="Times New Roman" w:cs="Times New Roman"/>
        </w:rPr>
        <w:t>8,928 institutions</w:t>
      </w:r>
      <w:r w:rsidR="004417D1">
        <w:rPr>
          <w:rFonts w:ascii="Times New Roman" w:hAnsi="Times New Roman" w:cs="Times New Roman"/>
        </w:rPr>
        <w:t>.</w:t>
      </w:r>
    </w:p>
    <w:p w14:paraId="3650F390" w14:textId="25D26F39" w:rsidR="00B51572" w:rsidRDefault="004417D1"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993DC5">
        <w:rPr>
          <w:rFonts w:ascii="Times New Roman" w:hAnsi="Times New Roman" w:cs="Times New Roman"/>
        </w:rPr>
        <w:t xml:space="preserve">I then removed institutions that did not have observations at each year in the data set </w:t>
      </w:r>
      <w:r w:rsidR="00D569CF">
        <w:rPr>
          <w:rFonts w:ascii="Times New Roman" w:hAnsi="Times New Roman" w:cs="Times New Roman"/>
        </w:rPr>
        <w:t>(2,648 institutions</w:t>
      </w:r>
      <w:r w:rsidR="00207D6C">
        <w:rPr>
          <w:rFonts w:ascii="Times New Roman" w:hAnsi="Times New Roman" w:cs="Times New Roman"/>
        </w:rPr>
        <w:t xml:space="preserve"> in</w:t>
      </w:r>
      <w:r w:rsidR="00A03AC6">
        <w:rPr>
          <w:rFonts w:ascii="Times New Roman" w:hAnsi="Times New Roman" w:cs="Times New Roman"/>
        </w:rPr>
        <w:t xml:space="preserve"> my</w:t>
      </w:r>
      <w:r w:rsidR="00207D6C">
        <w:rPr>
          <w:rFonts w:ascii="Times New Roman" w:hAnsi="Times New Roman" w:cs="Times New Roman"/>
        </w:rPr>
        <w:t xml:space="preserve"> sample</w:t>
      </w:r>
      <w:r w:rsidR="00D569CF">
        <w:rPr>
          <w:rFonts w:ascii="Times New Roman" w:hAnsi="Times New Roman" w:cs="Times New Roman"/>
        </w:rPr>
        <w:t xml:space="preserve">). </w:t>
      </w:r>
      <w:r>
        <w:rPr>
          <w:rFonts w:ascii="Times New Roman" w:hAnsi="Times New Roman" w:cs="Times New Roman"/>
        </w:rPr>
        <w:t>For sub-baccalaureate only granting institutions, this effectively remove</w:t>
      </w:r>
      <w:r w:rsidR="00951F0F">
        <w:rPr>
          <w:rFonts w:ascii="Times New Roman" w:hAnsi="Times New Roman" w:cs="Times New Roman"/>
        </w:rPr>
        <w:t>d</w:t>
      </w:r>
      <w:r>
        <w:rPr>
          <w:rFonts w:ascii="Times New Roman" w:hAnsi="Times New Roman" w:cs="Times New Roman"/>
        </w:rPr>
        <w:t xml:space="preserve"> instances of institutional openings and closings. </w:t>
      </w:r>
      <w:r w:rsidR="000522F6">
        <w:rPr>
          <w:rFonts w:ascii="Times New Roman" w:hAnsi="Times New Roman" w:cs="Times New Roman"/>
        </w:rPr>
        <w:t xml:space="preserve">By doing this, I avoided issues where institutions that closed down throughout the sample may bias my estimates. </w:t>
      </w:r>
      <w:r>
        <w:rPr>
          <w:rFonts w:ascii="Times New Roman" w:hAnsi="Times New Roman" w:cs="Times New Roman"/>
        </w:rPr>
        <w:t>For four-year institutions that may offer sub-baccalaureate awards, this</w:t>
      </w:r>
      <w:r w:rsidR="00951F0F">
        <w:rPr>
          <w:rFonts w:ascii="Times New Roman" w:hAnsi="Times New Roman" w:cs="Times New Roman"/>
        </w:rPr>
        <w:t xml:space="preserve"> also</w:t>
      </w:r>
      <w:r>
        <w:rPr>
          <w:rFonts w:ascii="Times New Roman" w:hAnsi="Times New Roman" w:cs="Times New Roman"/>
        </w:rPr>
        <w:t xml:space="preserve"> </w:t>
      </w:r>
      <w:r>
        <w:rPr>
          <w:rFonts w:ascii="Times New Roman" w:hAnsi="Times New Roman" w:cs="Times New Roman"/>
        </w:rPr>
        <w:lastRenderedPageBreak/>
        <w:t xml:space="preserve">effectively </w:t>
      </w:r>
      <w:r w:rsidR="005F01D0">
        <w:rPr>
          <w:rFonts w:ascii="Times New Roman" w:hAnsi="Times New Roman" w:cs="Times New Roman"/>
        </w:rPr>
        <w:t>remove</w:t>
      </w:r>
      <w:r w:rsidR="00951F0F">
        <w:rPr>
          <w:rFonts w:ascii="Times New Roman" w:hAnsi="Times New Roman" w:cs="Times New Roman"/>
        </w:rPr>
        <w:t>d</w:t>
      </w:r>
      <w:r w:rsidR="005F01D0">
        <w:rPr>
          <w:rFonts w:ascii="Times New Roman" w:hAnsi="Times New Roman" w:cs="Times New Roman"/>
        </w:rPr>
        <w:t xml:space="preserve"> instances where a </w:t>
      </w:r>
      <w:r w:rsidR="006B534A">
        <w:rPr>
          <w:rFonts w:ascii="Times New Roman" w:hAnsi="Times New Roman" w:cs="Times New Roman"/>
        </w:rPr>
        <w:t>four-year institution begins</w:t>
      </w:r>
      <w:r w:rsidR="005F01D0">
        <w:rPr>
          <w:rFonts w:ascii="Times New Roman" w:hAnsi="Times New Roman" w:cs="Times New Roman"/>
        </w:rPr>
        <w:t xml:space="preserve"> to offer a sub-baccalaureate award between 2000-2022, which would be similar to an institutional opening and thus desirable to remove.</w:t>
      </w:r>
      <w:r>
        <w:rPr>
          <w:rFonts w:ascii="Times New Roman" w:hAnsi="Times New Roman" w:cs="Times New Roman"/>
        </w:rPr>
        <w:t xml:space="preserve"> </w:t>
      </w:r>
    </w:p>
    <w:p w14:paraId="2542CECD" w14:textId="212F1848" w:rsidR="006D05BC" w:rsidRDefault="00B51572"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C456E5">
        <w:rPr>
          <w:rFonts w:ascii="Times New Roman" w:hAnsi="Times New Roman" w:cs="Times New Roman"/>
        </w:rPr>
        <w:t xml:space="preserve">While removing </w:t>
      </w:r>
      <w:r w:rsidR="00D22B64">
        <w:rPr>
          <w:rFonts w:ascii="Times New Roman" w:hAnsi="Times New Roman" w:cs="Times New Roman"/>
        </w:rPr>
        <w:t xml:space="preserve">institutions that opened </w:t>
      </w:r>
      <w:r>
        <w:rPr>
          <w:rFonts w:ascii="Times New Roman" w:hAnsi="Times New Roman" w:cs="Times New Roman"/>
        </w:rPr>
        <w:t xml:space="preserve">throughout </w:t>
      </w:r>
      <w:r w:rsidR="00D22B64">
        <w:rPr>
          <w:rFonts w:ascii="Times New Roman" w:hAnsi="Times New Roman" w:cs="Times New Roman"/>
        </w:rPr>
        <w:t>my sample</w:t>
      </w:r>
      <w:r w:rsidR="00C456E5">
        <w:rPr>
          <w:rFonts w:ascii="Times New Roman" w:hAnsi="Times New Roman" w:cs="Times New Roman"/>
        </w:rPr>
        <w:t xml:space="preserve"> could potentially bias estimates of effect downwards</w:t>
      </w:r>
      <w:r w:rsidR="00D22B64">
        <w:rPr>
          <w:rFonts w:ascii="Times New Roman" w:hAnsi="Times New Roman" w:cs="Times New Roman"/>
        </w:rPr>
        <w:t xml:space="preserve">, I </w:t>
      </w:r>
      <w:r w:rsidR="000A5D81">
        <w:rPr>
          <w:rFonts w:ascii="Times New Roman" w:hAnsi="Times New Roman" w:cs="Times New Roman"/>
        </w:rPr>
        <w:t>opt in favor of a</w:t>
      </w:r>
      <w:r>
        <w:rPr>
          <w:rFonts w:ascii="Times New Roman" w:hAnsi="Times New Roman" w:cs="Times New Roman"/>
        </w:rPr>
        <w:t xml:space="preserve"> potentially</w:t>
      </w:r>
      <w:r w:rsidR="000A5D81">
        <w:rPr>
          <w:rFonts w:ascii="Times New Roman" w:hAnsi="Times New Roman" w:cs="Times New Roman"/>
        </w:rPr>
        <w:t xml:space="preserve"> more conservative first national estimate for the effect of promise programs. Additionally, </w:t>
      </w:r>
      <w:r w:rsidR="00517A75">
        <w:rPr>
          <w:rFonts w:ascii="Times New Roman" w:hAnsi="Times New Roman" w:cs="Times New Roman"/>
        </w:rPr>
        <w:t xml:space="preserve">as I am concerned with the number of graduates that an institution with a promise program produces, removing newer opening institutions allows me to consider </w:t>
      </w:r>
      <w:r w:rsidR="00824934">
        <w:rPr>
          <w:rFonts w:ascii="Times New Roman" w:hAnsi="Times New Roman" w:cs="Times New Roman"/>
        </w:rPr>
        <w:t>the</w:t>
      </w:r>
      <w:r w:rsidR="00367842">
        <w:rPr>
          <w:rFonts w:ascii="Times New Roman" w:hAnsi="Times New Roman" w:cs="Times New Roman"/>
        </w:rPr>
        <w:t xml:space="preserve"> potential</w:t>
      </w:r>
      <w:r w:rsidR="00824934">
        <w:rPr>
          <w:rFonts w:ascii="Times New Roman" w:hAnsi="Times New Roman" w:cs="Times New Roman"/>
        </w:rPr>
        <w:t xml:space="preserve"> influence of </w:t>
      </w:r>
      <w:r w:rsidR="00517A75">
        <w:rPr>
          <w:rFonts w:ascii="Times New Roman" w:hAnsi="Times New Roman" w:cs="Times New Roman"/>
        </w:rPr>
        <w:t xml:space="preserve">new institutions </w:t>
      </w:r>
      <w:r w:rsidR="00824934">
        <w:rPr>
          <w:rFonts w:ascii="Times New Roman" w:hAnsi="Times New Roman" w:cs="Times New Roman"/>
        </w:rPr>
        <w:t xml:space="preserve">opening on the enrollment and subsequent graduation </w:t>
      </w:r>
      <w:r w:rsidR="00367842">
        <w:rPr>
          <w:rFonts w:ascii="Times New Roman" w:hAnsi="Times New Roman" w:cs="Times New Roman"/>
        </w:rPr>
        <w:t>as a year-to-year market force</w:t>
      </w:r>
      <w:r w:rsidR="00D85C79">
        <w:rPr>
          <w:rFonts w:ascii="Times New Roman" w:hAnsi="Times New Roman" w:cs="Times New Roman"/>
        </w:rPr>
        <w:t xml:space="preserve"> captured in </w:t>
      </w:r>
      <w:r w:rsidR="00935BF6">
        <w:rPr>
          <w:rFonts w:ascii="Times New Roman" w:hAnsi="Times New Roman" w:cs="Times New Roman"/>
        </w:rPr>
        <w:t>my model’s</w:t>
      </w:r>
      <w:r w:rsidR="00D85C79">
        <w:rPr>
          <w:rFonts w:ascii="Times New Roman" w:hAnsi="Times New Roman" w:cs="Times New Roman"/>
        </w:rPr>
        <w:t xml:space="preserve"> year-to-year fixed effects</w:t>
      </w:r>
      <w:r w:rsidR="0026332A">
        <w:rPr>
          <w:rFonts w:ascii="Times New Roman" w:hAnsi="Times New Roman" w:cs="Times New Roman"/>
        </w:rPr>
        <w:t>.</w:t>
      </w:r>
      <w:r w:rsidR="009A108C">
        <w:rPr>
          <w:rFonts w:ascii="Times New Roman" w:hAnsi="Times New Roman" w:cs="Times New Roman"/>
        </w:rPr>
        <w:t xml:space="preserve"> </w:t>
      </w:r>
      <w:r w:rsidR="000500FF">
        <w:rPr>
          <w:rFonts w:ascii="Times New Roman" w:hAnsi="Times New Roman" w:cs="Times New Roman"/>
        </w:rPr>
        <w:t>I then</w:t>
      </w:r>
      <w:r w:rsidR="00561497">
        <w:rPr>
          <w:rFonts w:ascii="Times New Roman" w:hAnsi="Times New Roman" w:cs="Times New Roman"/>
        </w:rPr>
        <w:t xml:space="preserve"> also</w:t>
      </w:r>
      <w:r w:rsidR="000500FF">
        <w:rPr>
          <w:rFonts w:ascii="Times New Roman" w:hAnsi="Times New Roman" w:cs="Times New Roman"/>
        </w:rPr>
        <w:t xml:space="preserve"> removed institutions fr</w:t>
      </w:r>
      <w:r w:rsidR="004420CA">
        <w:rPr>
          <w:rFonts w:ascii="Times New Roman" w:hAnsi="Times New Roman" w:cs="Times New Roman"/>
        </w:rPr>
        <w:t>o</w:t>
      </w:r>
      <w:r w:rsidR="000500FF">
        <w:rPr>
          <w:rFonts w:ascii="Times New Roman" w:hAnsi="Times New Roman" w:cs="Times New Roman"/>
        </w:rPr>
        <w:t xml:space="preserve">m US </w:t>
      </w:r>
      <w:r w:rsidR="00207D6C">
        <w:rPr>
          <w:rFonts w:ascii="Times New Roman" w:hAnsi="Times New Roman" w:cs="Times New Roman"/>
        </w:rPr>
        <w:t>territories</w:t>
      </w:r>
      <w:r w:rsidR="000500FF">
        <w:rPr>
          <w:rFonts w:ascii="Times New Roman" w:hAnsi="Times New Roman" w:cs="Times New Roman"/>
        </w:rPr>
        <w:t xml:space="preserve"> in the sample (</w:t>
      </w:r>
      <w:r w:rsidR="00207D6C">
        <w:rPr>
          <w:rFonts w:ascii="Times New Roman" w:hAnsi="Times New Roman" w:cs="Times New Roman"/>
        </w:rPr>
        <w:t>2,575 institutions in sample)</w:t>
      </w:r>
      <w:r w:rsidR="005320BF">
        <w:rPr>
          <w:rFonts w:ascii="Times New Roman" w:hAnsi="Times New Roman" w:cs="Times New Roman"/>
        </w:rPr>
        <w:t xml:space="preserve"> and institutions</w:t>
      </w:r>
      <w:r w:rsidR="00823525">
        <w:rPr>
          <w:rFonts w:ascii="Times New Roman" w:hAnsi="Times New Roman" w:cs="Times New Roman"/>
        </w:rPr>
        <w:t xml:space="preserve"> treated by </w:t>
      </w:r>
      <w:r w:rsidR="00316805">
        <w:rPr>
          <w:rFonts w:ascii="Times New Roman" w:hAnsi="Times New Roman" w:cs="Times New Roman"/>
        </w:rPr>
        <w:t>multiple promise programs or similar unclear treatments</w:t>
      </w:r>
      <w:r w:rsidR="00473331">
        <w:rPr>
          <w:rFonts w:ascii="Times New Roman" w:hAnsi="Times New Roman" w:cs="Times New Roman"/>
        </w:rPr>
        <w:t>.</w:t>
      </w:r>
      <w:r w:rsidR="00316805">
        <w:rPr>
          <w:rFonts w:ascii="Times New Roman" w:hAnsi="Times New Roman" w:cs="Times New Roman"/>
        </w:rPr>
        <w:t xml:space="preserve"> </w:t>
      </w:r>
    </w:p>
    <w:p w14:paraId="5FE3404B" w14:textId="7F8F82E6" w:rsidR="00BD3BFB" w:rsidRDefault="006B534A"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9810C0">
        <w:rPr>
          <w:rFonts w:ascii="Times New Roman" w:hAnsi="Times New Roman" w:cs="Times New Roman"/>
        </w:rPr>
        <w:t xml:space="preserve">Later in this chapter, I will describe my process for </w:t>
      </w:r>
      <w:r w:rsidR="006C1FF4">
        <w:rPr>
          <w:rFonts w:ascii="Times New Roman" w:hAnsi="Times New Roman" w:cs="Times New Roman"/>
        </w:rPr>
        <w:t xml:space="preserve">identifying treatment. This merging in of treatment variables resulted in a final total of </w:t>
      </w:r>
      <w:r w:rsidR="00E24354">
        <w:rPr>
          <w:rFonts w:ascii="Times New Roman" w:hAnsi="Times New Roman" w:cs="Times New Roman"/>
        </w:rPr>
        <w:t xml:space="preserve"> </w:t>
      </w:r>
      <w:r w:rsidR="00E24354" w:rsidRPr="00E24354">
        <w:rPr>
          <w:rFonts w:ascii="Times New Roman" w:hAnsi="Times New Roman" w:cs="Times New Roman"/>
        </w:rPr>
        <w:t>n</w:t>
      </w:r>
      <w:r w:rsidR="00E24354">
        <w:rPr>
          <w:rFonts w:ascii="Times New Roman" w:hAnsi="Times New Roman" w:cs="Times New Roman"/>
        </w:rPr>
        <w:t xml:space="preserve"> = </w:t>
      </w:r>
      <w:r w:rsidR="001618A0" w:rsidRPr="00E24354">
        <w:rPr>
          <w:rFonts w:ascii="Times New Roman" w:hAnsi="Times New Roman" w:cs="Times New Roman"/>
        </w:rPr>
        <w:t>2</w:t>
      </w:r>
      <w:r w:rsidR="001618A0">
        <w:rPr>
          <w:rFonts w:ascii="Times New Roman" w:hAnsi="Times New Roman" w:cs="Times New Roman"/>
        </w:rPr>
        <w:t xml:space="preserve">,525 institutions in my </w:t>
      </w:r>
      <w:r w:rsidR="00DE3FC5">
        <w:rPr>
          <w:rFonts w:ascii="Times New Roman" w:hAnsi="Times New Roman" w:cs="Times New Roman"/>
        </w:rPr>
        <w:t xml:space="preserve">final </w:t>
      </w:r>
      <w:r w:rsidR="001618A0">
        <w:rPr>
          <w:rFonts w:ascii="Times New Roman" w:hAnsi="Times New Roman" w:cs="Times New Roman"/>
        </w:rPr>
        <w:t>sample</w:t>
      </w:r>
      <w:r w:rsidR="00DE3FC5">
        <w:rPr>
          <w:rFonts w:ascii="Times New Roman" w:hAnsi="Times New Roman" w:cs="Times New Roman"/>
        </w:rPr>
        <w:t xml:space="preserve"> containing public and both for-profit as well as non-profit private institutions</w:t>
      </w:r>
      <w:r w:rsidR="001618A0">
        <w:rPr>
          <w:rFonts w:ascii="Times New Roman" w:hAnsi="Times New Roman" w:cs="Times New Roman"/>
        </w:rPr>
        <w:t xml:space="preserve">. </w:t>
      </w:r>
      <w:r w:rsidR="008A7EDB">
        <w:rPr>
          <w:rFonts w:ascii="Times New Roman" w:hAnsi="Times New Roman" w:cs="Times New Roman"/>
        </w:rPr>
        <w:t>I then created three sub-samples for modeling purposes. These three sub-</w:t>
      </w:r>
      <w:r w:rsidR="004A2E0E">
        <w:rPr>
          <w:rFonts w:ascii="Times New Roman" w:hAnsi="Times New Roman" w:cs="Times New Roman"/>
        </w:rPr>
        <w:t>samples</w:t>
      </w:r>
      <w:r w:rsidR="008A7EDB">
        <w:rPr>
          <w:rFonts w:ascii="Times New Roman" w:hAnsi="Times New Roman" w:cs="Times New Roman"/>
        </w:rPr>
        <w:t xml:space="preserve"> consisted of a </w:t>
      </w:r>
      <w:r w:rsidR="00AB1531">
        <w:rPr>
          <w:rFonts w:ascii="Times New Roman" w:hAnsi="Times New Roman" w:cs="Times New Roman"/>
        </w:rPr>
        <w:t>sub-</w:t>
      </w:r>
      <w:r w:rsidR="008A7EDB">
        <w:rPr>
          <w:rFonts w:ascii="Times New Roman" w:hAnsi="Times New Roman" w:cs="Times New Roman"/>
        </w:rPr>
        <w:t xml:space="preserve">sample excluding for-profit private institutions, a second </w:t>
      </w:r>
      <w:r w:rsidR="00AB1531">
        <w:rPr>
          <w:rFonts w:ascii="Times New Roman" w:hAnsi="Times New Roman" w:cs="Times New Roman"/>
        </w:rPr>
        <w:t>sub-</w:t>
      </w:r>
      <w:r w:rsidR="008A7EDB">
        <w:rPr>
          <w:rFonts w:ascii="Times New Roman" w:hAnsi="Times New Roman" w:cs="Times New Roman"/>
        </w:rPr>
        <w:t xml:space="preserve">sample excluding all private institutions, and a third </w:t>
      </w:r>
      <w:r w:rsidR="00AB1531">
        <w:rPr>
          <w:rFonts w:ascii="Times New Roman" w:hAnsi="Times New Roman" w:cs="Times New Roman"/>
        </w:rPr>
        <w:t>sub-</w:t>
      </w:r>
      <w:r w:rsidR="008A7EDB">
        <w:rPr>
          <w:rFonts w:ascii="Times New Roman" w:hAnsi="Times New Roman" w:cs="Times New Roman"/>
        </w:rPr>
        <w:t xml:space="preserve">sample </w:t>
      </w:r>
      <w:r w:rsidR="00AB1531">
        <w:rPr>
          <w:rFonts w:ascii="Times New Roman" w:hAnsi="Times New Roman" w:cs="Times New Roman"/>
        </w:rPr>
        <w:t xml:space="preserve">of only state supported public institutions. </w:t>
      </w:r>
      <w:r w:rsidR="008A7EDB">
        <w:rPr>
          <w:rFonts w:ascii="Times New Roman" w:hAnsi="Times New Roman" w:cs="Times New Roman"/>
        </w:rPr>
        <w:t xml:space="preserve">I present </w:t>
      </w:r>
      <w:r w:rsidR="004A2E0E">
        <w:rPr>
          <w:rFonts w:ascii="Times New Roman" w:hAnsi="Times New Roman" w:cs="Times New Roman"/>
        </w:rPr>
        <w:t xml:space="preserve">distributions of these institutional types in </w:t>
      </w:r>
      <w:r w:rsidR="004A2E0E" w:rsidRPr="00CD45D6">
        <w:rPr>
          <w:rFonts w:ascii="Times New Roman" w:hAnsi="Times New Roman" w:cs="Times New Roman"/>
          <w:b/>
          <w:bCs/>
        </w:rPr>
        <w:t>Table 1</w:t>
      </w:r>
      <w:r w:rsidR="004420CA">
        <w:rPr>
          <w:rFonts w:ascii="Times New Roman" w:hAnsi="Times New Roman" w:cs="Times New Roman"/>
        </w:rPr>
        <w:t xml:space="preserve"> (</w:t>
      </w:r>
      <w:r w:rsidR="004420CA" w:rsidRPr="004420CA">
        <w:rPr>
          <w:rFonts w:ascii="Times New Roman" w:hAnsi="Times New Roman" w:cs="Times New Roman"/>
          <w:i/>
          <w:iCs/>
        </w:rPr>
        <w:t>n</w:t>
      </w:r>
      <w:r w:rsidR="004420CA">
        <w:rPr>
          <w:rFonts w:ascii="Times New Roman" w:hAnsi="Times New Roman" w:cs="Times New Roman"/>
        </w:rPr>
        <w:t xml:space="preserve"> = </w:t>
      </w:r>
      <w:r w:rsidR="004420CA" w:rsidRPr="004420CA">
        <w:rPr>
          <w:rFonts w:ascii="Times New Roman" w:hAnsi="Times New Roman" w:cs="Times New Roman"/>
        </w:rPr>
        <w:t>2</w:t>
      </w:r>
      <w:r w:rsidR="004420CA">
        <w:rPr>
          <w:rFonts w:ascii="Times New Roman" w:hAnsi="Times New Roman" w:cs="Times New Roman"/>
        </w:rPr>
        <w:t xml:space="preserve">,525 for all sub-baccalaureate institutions, </w:t>
      </w:r>
      <w:r w:rsidR="004420CA" w:rsidRPr="004420CA">
        <w:rPr>
          <w:rFonts w:ascii="Times New Roman" w:hAnsi="Times New Roman" w:cs="Times New Roman"/>
          <w:i/>
          <w:iCs/>
        </w:rPr>
        <w:t>n</w:t>
      </w:r>
      <w:r w:rsidR="004420CA">
        <w:rPr>
          <w:rFonts w:ascii="Times New Roman" w:hAnsi="Times New Roman" w:cs="Times New Roman"/>
        </w:rPr>
        <w:t xml:space="preserve"> = 1,786 for non-profit sub-baccalaureate </w:t>
      </w:r>
      <w:proofErr w:type="gramStart"/>
      <w:r w:rsidR="004420CA">
        <w:rPr>
          <w:rFonts w:ascii="Times New Roman" w:hAnsi="Times New Roman" w:cs="Times New Roman"/>
        </w:rPr>
        <w:t xml:space="preserve">institutions,  </w:t>
      </w:r>
      <w:r w:rsidR="004420CA" w:rsidRPr="004420CA">
        <w:rPr>
          <w:rFonts w:ascii="Times New Roman" w:hAnsi="Times New Roman" w:cs="Times New Roman"/>
          <w:i/>
          <w:iCs/>
        </w:rPr>
        <w:t>n</w:t>
      </w:r>
      <w:proofErr w:type="gramEnd"/>
      <w:r w:rsidR="004420CA">
        <w:rPr>
          <w:rFonts w:ascii="Times New Roman" w:hAnsi="Times New Roman" w:cs="Times New Roman"/>
        </w:rPr>
        <w:t xml:space="preserve"> = 1,322 for public sub-baccalaureate institutions, and </w:t>
      </w:r>
      <w:r w:rsidR="004420CA" w:rsidRPr="004420CA">
        <w:rPr>
          <w:rFonts w:ascii="Times New Roman" w:hAnsi="Times New Roman" w:cs="Times New Roman"/>
          <w:i/>
          <w:iCs/>
        </w:rPr>
        <w:t>n</w:t>
      </w:r>
      <w:r w:rsidR="004420CA">
        <w:rPr>
          <w:rFonts w:ascii="Times New Roman" w:hAnsi="Times New Roman" w:cs="Times New Roman"/>
        </w:rPr>
        <w:t xml:space="preserve"> = 1,173 for state- </w:t>
      </w:r>
    </w:p>
    <w:p w14:paraId="73B30537" w14:textId="77777777" w:rsidR="00504669" w:rsidRDefault="00504669" w:rsidP="00504669">
      <w:pPr>
        <w:pStyle w:val="Caption"/>
        <w:spacing w:before="0" w:after="0" w:line="240" w:lineRule="auto"/>
      </w:pPr>
      <w:bookmarkStart w:id="48" w:name="_Toc179136131"/>
      <w:bookmarkStart w:id="49" w:name="_Toc179888477"/>
      <w:bookmarkStart w:id="50" w:name="_Toc181297758"/>
      <w:bookmarkStart w:id="51" w:name="_Toc180144565"/>
    </w:p>
    <w:p w14:paraId="4E7897A1" w14:textId="4CD3C82B" w:rsidR="002C7A5A" w:rsidRPr="002C7A5A" w:rsidRDefault="002C7A5A" w:rsidP="00504669">
      <w:pPr>
        <w:pStyle w:val="Caption"/>
        <w:spacing w:before="0" w:after="0" w:line="240" w:lineRule="auto"/>
      </w:pPr>
      <w:r w:rsidRPr="002C7A5A">
        <w:t xml:space="preserve">Table </w:t>
      </w:r>
      <w:fldSimple w:instr=" SEQ Table \* ARABIC ">
        <w:r w:rsidR="00F33C7B">
          <w:rPr>
            <w:noProof/>
          </w:rPr>
          <w:t>1</w:t>
        </w:r>
        <w:bookmarkEnd w:id="48"/>
        <w:bookmarkEnd w:id="49"/>
        <w:bookmarkEnd w:id="50"/>
        <w:bookmarkEnd w:id="51"/>
      </w:fldSimple>
    </w:p>
    <w:p w14:paraId="799FE0CC" w14:textId="6166157A" w:rsidR="0085667B" w:rsidRDefault="0085667B" w:rsidP="005046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i/>
          <w:iCs/>
        </w:rPr>
      </w:pPr>
      <w:r>
        <w:rPr>
          <w:rFonts w:ascii="Times New Roman" w:hAnsi="Times New Roman" w:cs="Times New Roman"/>
          <w:i/>
          <w:iCs/>
        </w:rPr>
        <w:t>Distribution of Institutions in Sample</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
        <w:gridCol w:w="1627"/>
        <w:gridCol w:w="1440"/>
        <w:gridCol w:w="1350"/>
        <w:gridCol w:w="1350"/>
        <w:gridCol w:w="1530"/>
      </w:tblGrid>
      <w:tr w:rsidR="00F10940" w14:paraId="16AF4F9E" w14:textId="2B94C37F" w:rsidTr="00F10940">
        <w:tc>
          <w:tcPr>
            <w:tcW w:w="1343" w:type="dxa"/>
            <w:tcBorders>
              <w:bottom w:val="single" w:sz="4" w:space="0" w:color="auto"/>
            </w:tcBorders>
          </w:tcPr>
          <w:p w14:paraId="057FE19B" w14:textId="77777777"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tc>
        <w:tc>
          <w:tcPr>
            <w:tcW w:w="1627" w:type="dxa"/>
            <w:tcBorders>
              <w:bottom w:val="single" w:sz="4" w:space="0" w:color="auto"/>
            </w:tcBorders>
          </w:tcPr>
          <w:p w14:paraId="15FEB594" w14:textId="77777777"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 xml:space="preserve">All Sub-Baccalaureate Institutions </w:t>
            </w:r>
          </w:p>
        </w:tc>
        <w:tc>
          <w:tcPr>
            <w:tcW w:w="1440" w:type="dxa"/>
            <w:tcBorders>
              <w:bottom w:val="single" w:sz="4" w:space="0" w:color="auto"/>
            </w:tcBorders>
          </w:tcPr>
          <w:p w14:paraId="78C9BDE9" w14:textId="58B7D017"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 xml:space="preserve">For-Profit Sub-Bacc. Institutions. </w:t>
            </w:r>
          </w:p>
        </w:tc>
        <w:tc>
          <w:tcPr>
            <w:tcW w:w="1350" w:type="dxa"/>
            <w:tcBorders>
              <w:bottom w:val="single" w:sz="4" w:space="0" w:color="auto"/>
            </w:tcBorders>
          </w:tcPr>
          <w:p w14:paraId="124212D0" w14:textId="1B3C754D"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 xml:space="preserve">Non-Profit Sub-Bacc. Institutions </w:t>
            </w:r>
          </w:p>
        </w:tc>
        <w:tc>
          <w:tcPr>
            <w:tcW w:w="1350" w:type="dxa"/>
            <w:tcBorders>
              <w:bottom w:val="single" w:sz="4" w:space="0" w:color="auto"/>
            </w:tcBorders>
          </w:tcPr>
          <w:p w14:paraId="7233F231" w14:textId="77777777"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All Public Sub-Bacc.</w:t>
            </w:r>
          </w:p>
          <w:p w14:paraId="524E6F76" w14:textId="4DDF4992"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 xml:space="preserve">Institutions </w:t>
            </w:r>
          </w:p>
        </w:tc>
        <w:tc>
          <w:tcPr>
            <w:tcW w:w="1530" w:type="dxa"/>
            <w:tcBorders>
              <w:bottom w:val="single" w:sz="4" w:space="0" w:color="auto"/>
            </w:tcBorders>
          </w:tcPr>
          <w:p w14:paraId="6788A011" w14:textId="6888ADF4" w:rsidR="00F10940" w:rsidRPr="00B15651" w:rsidRDefault="00F10940" w:rsidP="00F10940">
            <w:pPr>
              <w:numPr>
                <w:ilvl w:val="12"/>
                <w:numId w:val="0"/>
              </w:numPr>
              <w:tabs>
                <w:tab w:val="left" w:pos="-1080"/>
                <w:tab w:val="left" w:pos="-720"/>
                <w:tab w:val="left" w:pos="0"/>
                <w:tab w:val="left" w:pos="720"/>
                <w:tab w:val="left" w:pos="1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70"/>
              <w:rPr>
                <w:rFonts w:ascii="Times New Roman" w:hAnsi="Times New Roman" w:cs="Times New Roman"/>
              </w:rPr>
            </w:pPr>
            <w:r w:rsidRPr="00B15651">
              <w:rPr>
                <w:rFonts w:ascii="Times New Roman" w:hAnsi="Times New Roman" w:cs="Times New Roman"/>
              </w:rPr>
              <w:t>Stated Funded Sub-Bacc. Institutions</w:t>
            </w:r>
          </w:p>
        </w:tc>
      </w:tr>
      <w:tr w:rsidR="00F10940" w14:paraId="0E2669FC" w14:textId="618D6E1F" w:rsidTr="00B15651">
        <w:trPr>
          <w:trHeight w:val="530"/>
        </w:trPr>
        <w:tc>
          <w:tcPr>
            <w:tcW w:w="1343" w:type="dxa"/>
            <w:tcBorders>
              <w:top w:val="single" w:sz="4" w:space="0" w:color="auto"/>
            </w:tcBorders>
          </w:tcPr>
          <w:p w14:paraId="0CD97BD3" w14:textId="18ED4EF3"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 xml:space="preserve">Total </w:t>
            </w:r>
          </w:p>
        </w:tc>
        <w:tc>
          <w:tcPr>
            <w:tcW w:w="1627" w:type="dxa"/>
            <w:tcBorders>
              <w:top w:val="single" w:sz="4" w:space="0" w:color="auto"/>
            </w:tcBorders>
          </w:tcPr>
          <w:p w14:paraId="0E7007BA" w14:textId="43B2B9C9"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2,525</w:t>
            </w:r>
          </w:p>
        </w:tc>
        <w:tc>
          <w:tcPr>
            <w:tcW w:w="1440" w:type="dxa"/>
            <w:tcBorders>
              <w:top w:val="single" w:sz="4" w:space="0" w:color="auto"/>
            </w:tcBorders>
          </w:tcPr>
          <w:p w14:paraId="019F4B4B" w14:textId="1EB6E1A1"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739</w:t>
            </w:r>
          </w:p>
        </w:tc>
        <w:tc>
          <w:tcPr>
            <w:tcW w:w="1350" w:type="dxa"/>
            <w:tcBorders>
              <w:top w:val="single" w:sz="4" w:space="0" w:color="auto"/>
            </w:tcBorders>
          </w:tcPr>
          <w:p w14:paraId="78AFA5BB" w14:textId="796CC21E"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464</w:t>
            </w:r>
          </w:p>
        </w:tc>
        <w:tc>
          <w:tcPr>
            <w:tcW w:w="1350" w:type="dxa"/>
            <w:tcBorders>
              <w:top w:val="single" w:sz="4" w:space="0" w:color="auto"/>
            </w:tcBorders>
          </w:tcPr>
          <w:p w14:paraId="4CE37A52" w14:textId="0A1644FA"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1,322</w:t>
            </w:r>
          </w:p>
        </w:tc>
        <w:tc>
          <w:tcPr>
            <w:tcW w:w="1530" w:type="dxa"/>
            <w:tcBorders>
              <w:top w:val="single" w:sz="4" w:space="0" w:color="auto"/>
            </w:tcBorders>
          </w:tcPr>
          <w:p w14:paraId="7AE51547" w14:textId="0EDC7E26"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1,173</w:t>
            </w:r>
          </w:p>
        </w:tc>
      </w:tr>
      <w:tr w:rsidR="00F10940" w14:paraId="6668E893" w14:textId="0B6AAFEA" w:rsidTr="00F10940">
        <w:trPr>
          <w:trHeight w:val="909"/>
        </w:trPr>
        <w:tc>
          <w:tcPr>
            <w:tcW w:w="1343" w:type="dxa"/>
          </w:tcPr>
          <w:p w14:paraId="4A415243" w14:textId="29108C77"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 xml:space="preserve">Less Than 2-Year Institutions </w:t>
            </w:r>
          </w:p>
        </w:tc>
        <w:tc>
          <w:tcPr>
            <w:tcW w:w="1627" w:type="dxa"/>
          </w:tcPr>
          <w:p w14:paraId="46FDBCDD" w14:textId="688A9EFF"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713</w:t>
            </w:r>
          </w:p>
        </w:tc>
        <w:tc>
          <w:tcPr>
            <w:tcW w:w="1440" w:type="dxa"/>
          </w:tcPr>
          <w:p w14:paraId="411DCAA1" w14:textId="68FAA27F"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448</w:t>
            </w:r>
          </w:p>
        </w:tc>
        <w:tc>
          <w:tcPr>
            <w:tcW w:w="1350" w:type="dxa"/>
          </w:tcPr>
          <w:p w14:paraId="189FCC59" w14:textId="5C5FED1C"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27</w:t>
            </w:r>
          </w:p>
        </w:tc>
        <w:tc>
          <w:tcPr>
            <w:tcW w:w="1350" w:type="dxa"/>
          </w:tcPr>
          <w:p w14:paraId="23EC42C5" w14:textId="1360E39E"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158</w:t>
            </w:r>
          </w:p>
        </w:tc>
        <w:tc>
          <w:tcPr>
            <w:tcW w:w="1530" w:type="dxa"/>
          </w:tcPr>
          <w:p w14:paraId="0F43530A" w14:textId="55DE6DF6"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80</w:t>
            </w:r>
          </w:p>
        </w:tc>
      </w:tr>
      <w:tr w:rsidR="00F10940" w14:paraId="44CECC2F" w14:textId="241CB23E" w:rsidTr="00F10940">
        <w:trPr>
          <w:trHeight w:val="783"/>
        </w:trPr>
        <w:tc>
          <w:tcPr>
            <w:tcW w:w="1343" w:type="dxa"/>
          </w:tcPr>
          <w:p w14:paraId="19E78904" w14:textId="7B51C1FA"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 xml:space="preserve">2-Year Institutions </w:t>
            </w:r>
          </w:p>
        </w:tc>
        <w:tc>
          <w:tcPr>
            <w:tcW w:w="1627" w:type="dxa"/>
          </w:tcPr>
          <w:p w14:paraId="62800E1B" w14:textId="24AC0114"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1,195</w:t>
            </w:r>
          </w:p>
        </w:tc>
        <w:tc>
          <w:tcPr>
            <w:tcW w:w="1440" w:type="dxa"/>
          </w:tcPr>
          <w:p w14:paraId="239D6C81" w14:textId="7238C723"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197</w:t>
            </w:r>
          </w:p>
        </w:tc>
        <w:tc>
          <w:tcPr>
            <w:tcW w:w="1350" w:type="dxa"/>
          </w:tcPr>
          <w:p w14:paraId="641B808F" w14:textId="671840E2"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44</w:t>
            </w:r>
          </w:p>
        </w:tc>
        <w:tc>
          <w:tcPr>
            <w:tcW w:w="1350" w:type="dxa"/>
          </w:tcPr>
          <w:p w14:paraId="5E934788" w14:textId="0708F21A"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799</w:t>
            </w:r>
          </w:p>
        </w:tc>
        <w:tc>
          <w:tcPr>
            <w:tcW w:w="1530" w:type="dxa"/>
          </w:tcPr>
          <w:p w14:paraId="65AA0FBA" w14:textId="24856879"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755</w:t>
            </w:r>
          </w:p>
        </w:tc>
      </w:tr>
      <w:tr w:rsidR="00F10940" w14:paraId="078B4192" w14:textId="379BAC1E" w:rsidTr="00F10940">
        <w:trPr>
          <w:trHeight w:val="639"/>
        </w:trPr>
        <w:tc>
          <w:tcPr>
            <w:tcW w:w="1343" w:type="dxa"/>
            <w:tcBorders>
              <w:bottom w:val="single" w:sz="4" w:space="0" w:color="auto"/>
            </w:tcBorders>
          </w:tcPr>
          <w:p w14:paraId="4C69E09C" w14:textId="7E447560"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 xml:space="preserve">4-Year Institutions </w:t>
            </w:r>
          </w:p>
        </w:tc>
        <w:tc>
          <w:tcPr>
            <w:tcW w:w="1627" w:type="dxa"/>
            <w:tcBorders>
              <w:bottom w:val="single" w:sz="4" w:space="0" w:color="auto"/>
            </w:tcBorders>
          </w:tcPr>
          <w:p w14:paraId="14DAA4DB" w14:textId="455CF309"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1,190</w:t>
            </w:r>
          </w:p>
        </w:tc>
        <w:tc>
          <w:tcPr>
            <w:tcW w:w="1440" w:type="dxa"/>
            <w:tcBorders>
              <w:bottom w:val="single" w:sz="4" w:space="0" w:color="auto"/>
            </w:tcBorders>
          </w:tcPr>
          <w:p w14:paraId="4635D7FE" w14:textId="073C843A"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94</w:t>
            </w:r>
          </w:p>
        </w:tc>
        <w:tc>
          <w:tcPr>
            <w:tcW w:w="1350" w:type="dxa"/>
            <w:tcBorders>
              <w:bottom w:val="single" w:sz="4" w:space="0" w:color="auto"/>
            </w:tcBorders>
          </w:tcPr>
          <w:p w14:paraId="50D2CD6C" w14:textId="287E05A7"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393</w:t>
            </w:r>
          </w:p>
        </w:tc>
        <w:tc>
          <w:tcPr>
            <w:tcW w:w="1350" w:type="dxa"/>
            <w:tcBorders>
              <w:bottom w:val="single" w:sz="4" w:space="0" w:color="auto"/>
            </w:tcBorders>
          </w:tcPr>
          <w:p w14:paraId="01B26252" w14:textId="7D3C90C8"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365</w:t>
            </w:r>
          </w:p>
        </w:tc>
        <w:tc>
          <w:tcPr>
            <w:tcW w:w="1530" w:type="dxa"/>
            <w:tcBorders>
              <w:bottom w:val="single" w:sz="4" w:space="0" w:color="auto"/>
            </w:tcBorders>
          </w:tcPr>
          <w:p w14:paraId="22F3136B" w14:textId="7E3B955D" w:rsidR="00F10940" w:rsidRPr="00B15651" w:rsidRDefault="00F10940" w:rsidP="00F10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B15651">
              <w:rPr>
                <w:rFonts w:ascii="Times New Roman" w:hAnsi="Times New Roman" w:cs="Times New Roman"/>
              </w:rPr>
              <w:t>338</w:t>
            </w:r>
          </w:p>
        </w:tc>
      </w:tr>
    </w:tbl>
    <w:p w14:paraId="53770712" w14:textId="77777777" w:rsidR="004420CA" w:rsidRPr="00DD0286" w:rsidRDefault="004420CA" w:rsidP="00DD028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rPr>
      </w:pPr>
      <w:bookmarkStart w:id="52" w:name="_Toc179135214"/>
      <w:bookmarkStart w:id="53" w:name="_Toc179136133"/>
    </w:p>
    <w:bookmarkEnd w:id="52"/>
    <w:bookmarkEnd w:id="53"/>
    <w:p w14:paraId="602B95C7" w14:textId="77777777" w:rsidR="004420CA" w:rsidRDefault="004420CA"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5E6373A5"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10CB769"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56FF2936"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54F0CE9B"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7D8702E3"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2E61C279"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38A4634"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2034CBBD" w14:textId="77777777" w:rsidR="00CD45D6" w:rsidRDefault="004420CA"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p>
    <w:p w14:paraId="4C6590E4"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5B2EE952"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4A59C79"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p>
    <w:p w14:paraId="4134BCFE" w14:textId="6E6080A6"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lastRenderedPageBreak/>
        <w:t xml:space="preserve">funded, public sub-baccalaureate institutions). In </w:t>
      </w:r>
      <w:r w:rsidRPr="00CD45D6">
        <w:rPr>
          <w:rFonts w:ascii="Times New Roman" w:hAnsi="Times New Roman" w:cs="Times New Roman"/>
          <w:b/>
          <w:bCs/>
        </w:rPr>
        <w:t>table 2</w:t>
      </w:r>
      <w:r>
        <w:rPr>
          <w:rFonts w:ascii="Times New Roman" w:hAnsi="Times New Roman" w:cs="Times New Roman"/>
        </w:rPr>
        <w:t>, I provide an overview of treatment and comparison group assignment across these groups.</w:t>
      </w:r>
    </w:p>
    <w:p w14:paraId="2E63C8B3" w14:textId="1F4327F4" w:rsidR="004420CA"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4420CA">
        <w:rPr>
          <w:rFonts w:ascii="Times New Roman" w:hAnsi="Times New Roman" w:cs="Times New Roman"/>
        </w:rPr>
        <w:t>Here, I pause to discuss an example of the difference between a public sub-baccalaureate award granting institution and state-funded sub-baccalaureate award granting institution. The former receives state funding from the state that provides oversight and management to these public institutions while the latter does not receive state funds despite an</w:t>
      </w:r>
      <w:r w:rsidR="00B828C0">
        <w:rPr>
          <w:rFonts w:ascii="Times New Roman" w:hAnsi="Times New Roman" w:cs="Times New Roman"/>
        </w:rPr>
        <w:t>y</w:t>
      </w:r>
      <w:r w:rsidR="004420CA">
        <w:rPr>
          <w:rFonts w:ascii="Times New Roman" w:hAnsi="Times New Roman" w:cs="Times New Roman"/>
        </w:rPr>
        <w:t xml:space="preserve"> other potential relationships. I </w:t>
      </w:r>
      <w:r w:rsidR="003D1D01">
        <w:rPr>
          <w:rFonts w:ascii="Times New Roman" w:hAnsi="Times New Roman" w:cs="Times New Roman"/>
        </w:rPr>
        <w:t>included</w:t>
      </w:r>
      <w:r w:rsidR="004420CA">
        <w:rPr>
          <w:rFonts w:ascii="Times New Roman" w:hAnsi="Times New Roman" w:cs="Times New Roman"/>
        </w:rPr>
        <w:t xml:space="preserve"> these</w:t>
      </w:r>
      <w:r w:rsidR="003D1D01">
        <w:rPr>
          <w:rFonts w:ascii="Times New Roman" w:hAnsi="Times New Roman" w:cs="Times New Roman"/>
        </w:rPr>
        <w:t xml:space="preserve"> institutions in the modeling phase in determining an appropriate sample due to the presence of these institutions in states that provide a free college program to state-funded institutions but not these local institutions. An example of this can be found in </w:t>
      </w:r>
      <w:r w:rsidR="00484582">
        <w:rPr>
          <w:rFonts w:ascii="Times New Roman" w:hAnsi="Times New Roman" w:cs="Times New Roman"/>
        </w:rPr>
        <w:t>the</w:t>
      </w:r>
      <w:r w:rsidR="003D1D01">
        <w:rPr>
          <w:rFonts w:ascii="Times New Roman" w:hAnsi="Times New Roman" w:cs="Times New Roman"/>
        </w:rPr>
        <w:t xml:space="preserve"> </w:t>
      </w:r>
      <w:r w:rsidR="00484582" w:rsidRPr="00484582">
        <w:rPr>
          <w:rFonts w:ascii="Times New Roman" w:hAnsi="Times New Roman" w:cs="Times New Roman"/>
        </w:rPr>
        <w:t xml:space="preserve">Otsego Area </w:t>
      </w:r>
      <w:r w:rsidR="00484582">
        <w:rPr>
          <w:rFonts w:ascii="Times New Roman" w:hAnsi="Times New Roman" w:cs="Times New Roman"/>
        </w:rPr>
        <w:t>B</w:t>
      </w:r>
      <w:r w:rsidR="00484582" w:rsidRPr="00484582">
        <w:rPr>
          <w:rFonts w:ascii="Times New Roman" w:hAnsi="Times New Roman" w:cs="Times New Roman"/>
        </w:rPr>
        <w:t xml:space="preserve">oards of </w:t>
      </w:r>
      <w:r w:rsidR="00484582">
        <w:rPr>
          <w:rFonts w:ascii="Times New Roman" w:hAnsi="Times New Roman" w:cs="Times New Roman"/>
        </w:rPr>
        <w:t>C</w:t>
      </w:r>
      <w:r w:rsidR="00484582" w:rsidRPr="00484582">
        <w:rPr>
          <w:rFonts w:ascii="Times New Roman" w:hAnsi="Times New Roman" w:cs="Times New Roman"/>
        </w:rPr>
        <w:t xml:space="preserve">ooperative </w:t>
      </w:r>
      <w:r w:rsidR="00484582">
        <w:rPr>
          <w:rFonts w:ascii="Times New Roman" w:hAnsi="Times New Roman" w:cs="Times New Roman"/>
        </w:rPr>
        <w:t>E</w:t>
      </w:r>
      <w:r w:rsidR="00484582" w:rsidRPr="00484582">
        <w:rPr>
          <w:rFonts w:ascii="Times New Roman" w:hAnsi="Times New Roman" w:cs="Times New Roman"/>
        </w:rPr>
        <w:t xml:space="preserve">ducational </w:t>
      </w:r>
      <w:r w:rsidR="00484582">
        <w:rPr>
          <w:rFonts w:ascii="Times New Roman" w:hAnsi="Times New Roman" w:cs="Times New Roman"/>
        </w:rPr>
        <w:t>S</w:t>
      </w:r>
      <w:r w:rsidR="00484582" w:rsidRPr="00484582">
        <w:rPr>
          <w:rFonts w:ascii="Times New Roman" w:hAnsi="Times New Roman" w:cs="Times New Roman"/>
        </w:rPr>
        <w:t xml:space="preserve">ervices </w:t>
      </w:r>
      <w:r w:rsidR="00484582">
        <w:rPr>
          <w:rFonts w:ascii="Times New Roman" w:hAnsi="Times New Roman" w:cs="Times New Roman"/>
        </w:rPr>
        <w:t>of New York State</w:t>
      </w:r>
      <w:r w:rsidR="00484582" w:rsidRPr="00484582">
        <w:rPr>
          <w:rFonts w:ascii="Times New Roman" w:hAnsi="Times New Roman" w:cs="Times New Roman"/>
        </w:rPr>
        <w:t xml:space="preserve"> </w:t>
      </w:r>
      <w:r w:rsidR="00484582">
        <w:rPr>
          <w:rFonts w:ascii="Times New Roman" w:hAnsi="Times New Roman" w:cs="Times New Roman"/>
        </w:rPr>
        <w:t xml:space="preserve">which </w:t>
      </w:r>
      <w:r w:rsidR="003D1D01">
        <w:rPr>
          <w:rFonts w:ascii="Times New Roman" w:hAnsi="Times New Roman" w:cs="Times New Roman"/>
        </w:rPr>
        <w:t xml:space="preserve">is a publicly controlled sub-baccalaureate </w:t>
      </w:r>
      <w:r w:rsidR="00484582">
        <w:rPr>
          <w:rFonts w:ascii="Times New Roman" w:hAnsi="Times New Roman" w:cs="Times New Roman"/>
        </w:rPr>
        <w:t>award granting institution</w:t>
      </w:r>
      <w:r w:rsidR="003D1D01">
        <w:rPr>
          <w:rFonts w:ascii="Times New Roman" w:hAnsi="Times New Roman" w:cs="Times New Roman"/>
        </w:rPr>
        <w:t xml:space="preserve"> but is not supported by </w:t>
      </w:r>
      <w:r w:rsidR="00484582">
        <w:rPr>
          <w:rFonts w:ascii="Times New Roman" w:hAnsi="Times New Roman" w:cs="Times New Roman"/>
        </w:rPr>
        <w:t>New Yorks state appropriations as reported by IPEDS</w:t>
      </w:r>
      <w:r w:rsidR="003D1D01">
        <w:rPr>
          <w:rFonts w:ascii="Times New Roman" w:hAnsi="Times New Roman" w:cs="Times New Roman"/>
        </w:rPr>
        <w:t xml:space="preserve">. </w:t>
      </w:r>
      <w:r w:rsidR="00484582">
        <w:rPr>
          <w:rFonts w:ascii="Times New Roman" w:hAnsi="Times New Roman" w:cs="Times New Roman"/>
        </w:rPr>
        <w:t>Instead,</w:t>
      </w:r>
      <w:r w:rsidR="003D1D01">
        <w:rPr>
          <w:rFonts w:ascii="Times New Roman" w:hAnsi="Times New Roman" w:cs="Times New Roman"/>
        </w:rPr>
        <w:t xml:space="preserve"> it is locally funded </w:t>
      </w:r>
      <w:r w:rsidR="00484582">
        <w:rPr>
          <w:rFonts w:ascii="Times New Roman" w:hAnsi="Times New Roman" w:cs="Times New Roman"/>
        </w:rPr>
        <w:t>and not eligible for the state’s free college program, the Excelsior Scholarship. Due to situations such as this</w:t>
      </w:r>
      <w:r w:rsidR="00384C7F">
        <w:rPr>
          <w:rFonts w:ascii="Times New Roman" w:hAnsi="Times New Roman" w:cs="Times New Roman"/>
        </w:rPr>
        <w:t xml:space="preserve">, I </w:t>
      </w:r>
      <w:r w:rsidR="00484582">
        <w:rPr>
          <w:rFonts w:ascii="Times New Roman" w:hAnsi="Times New Roman" w:cs="Times New Roman"/>
        </w:rPr>
        <w:t xml:space="preserve"> include </w:t>
      </w:r>
      <w:r w:rsidR="00384C7F">
        <w:rPr>
          <w:rFonts w:ascii="Times New Roman" w:hAnsi="Times New Roman" w:cs="Times New Roman"/>
        </w:rPr>
        <w:t xml:space="preserve">this </w:t>
      </w:r>
      <w:r w:rsidR="00484582">
        <w:rPr>
          <w:rFonts w:ascii="Times New Roman" w:hAnsi="Times New Roman" w:cs="Times New Roman"/>
        </w:rPr>
        <w:t xml:space="preserve">sub-group </w:t>
      </w:r>
      <w:r w:rsidR="00384C7F">
        <w:rPr>
          <w:rFonts w:ascii="Times New Roman" w:hAnsi="Times New Roman" w:cs="Times New Roman"/>
        </w:rPr>
        <w:t xml:space="preserve">for consideration </w:t>
      </w:r>
      <w:r w:rsidR="004926EA">
        <w:rPr>
          <w:rFonts w:ascii="Times New Roman" w:hAnsi="Times New Roman" w:cs="Times New Roman"/>
        </w:rPr>
        <w:t>when identifying a final sample for this study.</w:t>
      </w:r>
    </w:p>
    <w:p w14:paraId="6790AC93" w14:textId="77777777" w:rsidR="00B334B4" w:rsidRDefault="004420CA"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Note that the institutional </w:t>
      </w:r>
      <w:r w:rsidR="004926EA">
        <w:rPr>
          <w:rFonts w:ascii="Times New Roman" w:hAnsi="Times New Roman" w:cs="Times New Roman"/>
        </w:rPr>
        <w:t>descriptions</w:t>
      </w:r>
      <w:r>
        <w:rPr>
          <w:rFonts w:ascii="Times New Roman" w:hAnsi="Times New Roman" w:cs="Times New Roman"/>
        </w:rPr>
        <w:t xml:space="preserve"> that I report </w:t>
      </w:r>
      <w:r w:rsidR="004926EA">
        <w:rPr>
          <w:rFonts w:ascii="Times New Roman" w:hAnsi="Times New Roman" w:cs="Times New Roman"/>
        </w:rPr>
        <w:t xml:space="preserve">in </w:t>
      </w:r>
      <w:r w:rsidR="004926EA" w:rsidRPr="00CD45D6">
        <w:rPr>
          <w:rFonts w:ascii="Times New Roman" w:hAnsi="Times New Roman" w:cs="Times New Roman"/>
          <w:b/>
          <w:bCs/>
        </w:rPr>
        <w:t>table 1</w:t>
      </w:r>
      <w:r w:rsidR="004926EA">
        <w:rPr>
          <w:rFonts w:ascii="Times New Roman" w:hAnsi="Times New Roman" w:cs="Times New Roman"/>
        </w:rPr>
        <w:t xml:space="preserve"> </w:t>
      </w:r>
      <w:r>
        <w:rPr>
          <w:rFonts w:ascii="Times New Roman" w:hAnsi="Times New Roman" w:cs="Times New Roman"/>
        </w:rPr>
        <w:t>are produced via the sector descriptive variable reported in IPEDS. In addition to all sub-baccalaureate granting institutions sample (</w:t>
      </w:r>
      <w:r>
        <w:rPr>
          <w:rFonts w:ascii="Times New Roman" w:hAnsi="Times New Roman" w:cs="Times New Roman"/>
          <w:i/>
          <w:iCs/>
        </w:rPr>
        <w:t>n</w:t>
      </w:r>
      <w:r>
        <w:rPr>
          <w:rFonts w:ascii="Times New Roman" w:hAnsi="Times New Roman" w:cs="Times New Roman"/>
        </w:rPr>
        <w:t xml:space="preserve"> = 2,525), I identify the following sub-samples of sub-baccalaureate granting institutions: non-profit institutions (</w:t>
      </w:r>
      <w:r>
        <w:rPr>
          <w:rFonts w:ascii="Times New Roman" w:hAnsi="Times New Roman" w:cs="Times New Roman"/>
          <w:i/>
          <w:iCs/>
        </w:rPr>
        <w:t>n</w:t>
      </w:r>
      <w:r>
        <w:rPr>
          <w:rFonts w:ascii="Times New Roman" w:hAnsi="Times New Roman" w:cs="Times New Roman"/>
        </w:rPr>
        <w:t xml:space="preserve"> = 1,786), public institutions (</w:t>
      </w:r>
      <w:r>
        <w:rPr>
          <w:rFonts w:ascii="Times New Roman" w:hAnsi="Times New Roman" w:cs="Times New Roman"/>
          <w:i/>
          <w:iCs/>
        </w:rPr>
        <w:t>n</w:t>
      </w:r>
      <w:r>
        <w:rPr>
          <w:rFonts w:ascii="Times New Roman" w:hAnsi="Times New Roman" w:cs="Times New Roman"/>
        </w:rPr>
        <w:t xml:space="preserve"> = 1,322), and state funded institutions (</w:t>
      </w:r>
      <w:r>
        <w:rPr>
          <w:rFonts w:ascii="Times New Roman" w:hAnsi="Times New Roman" w:cs="Times New Roman"/>
          <w:i/>
          <w:iCs/>
        </w:rPr>
        <w:t>n</w:t>
      </w:r>
      <w:r>
        <w:rPr>
          <w:rFonts w:ascii="Times New Roman" w:hAnsi="Times New Roman" w:cs="Times New Roman"/>
        </w:rPr>
        <w:t xml:space="preserve"> = 1,173). </w:t>
      </w:r>
    </w:p>
    <w:p w14:paraId="7B53BBD7" w14:textId="77777777" w:rsidR="00CD45D6" w:rsidRDefault="00B334B4"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4420CA">
        <w:rPr>
          <w:rFonts w:ascii="Times New Roman" w:hAnsi="Times New Roman" w:cs="Times New Roman"/>
        </w:rPr>
        <w:t xml:space="preserve">Each of these cuts to the sub-baccalaureate granting institutions sample offers some analytical utility. Removing private, for-profits for the sample of 1,786 institutions </w:t>
      </w:r>
    </w:p>
    <w:p w14:paraId="66174C20" w14:textId="77777777" w:rsidR="00CD45D6" w:rsidRPr="00290A84" w:rsidRDefault="00CD45D6" w:rsidP="00504669">
      <w:pPr>
        <w:pStyle w:val="Caption"/>
        <w:spacing w:before="0" w:after="0" w:line="240" w:lineRule="auto"/>
      </w:pPr>
      <w:bookmarkStart w:id="54" w:name="_Toc179888478"/>
      <w:bookmarkStart w:id="55" w:name="_Toc181297759"/>
      <w:bookmarkStart w:id="56" w:name="_Toc180144566"/>
      <w:r w:rsidRPr="00290A84">
        <w:lastRenderedPageBreak/>
        <w:t xml:space="preserve">Table </w:t>
      </w:r>
      <w:r>
        <w:t>2</w:t>
      </w:r>
      <w:bookmarkEnd w:id="54"/>
      <w:bookmarkEnd w:id="55"/>
      <w:bookmarkEnd w:id="56"/>
    </w:p>
    <w:p w14:paraId="26D05A44" w14:textId="77777777" w:rsidR="00CD45D6" w:rsidRDefault="00CD45D6" w:rsidP="00504669">
      <w:pPr>
        <w:rPr>
          <w:rFonts w:ascii="Times New Roman" w:hAnsi="Times New Roman" w:cs="Times New Roman"/>
          <w:i/>
          <w:iCs/>
        </w:rPr>
      </w:pPr>
      <w:r>
        <w:rPr>
          <w:rFonts w:ascii="Times New Roman" w:hAnsi="Times New Roman" w:cs="Times New Roman"/>
          <w:i/>
          <w:iCs/>
        </w:rPr>
        <w:t>Sample by Postsecondary Control and Model</w:t>
      </w:r>
      <w:r w:rsidRPr="00410279">
        <w:rPr>
          <w:rFonts w:ascii="Times New Roman" w:hAnsi="Times New Roman" w:cs="Times New Roman"/>
          <w:i/>
          <w:iCs/>
        </w:rPr>
        <w:t xml:space="preserve"> </w:t>
      </w:r>
      <w:r>
        <w:rPr>
          <w:rFonts w:ascii="Times New Roman" w:hAnsi="Times New Roman" w:cs="Times New Roman"/>
          <w:i/>
          <w:iCs/>
        </w:rPr>
        <w:t>Used for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1464"/>
        <w:gridCol w:w="1201"/>
        <w:gridCol w:w="1372"/>
        <w:gridCol w:w="1388"/>
        <w:gridCol w:w="1397"/>
      </w:tblGrid>
      <w:tr w:rsidR="00CD45D6" w:rsidRPr="00B15651" w14:paraId="39BC7759" w14:textId="77777777" w:rsidTr="00191F85">
        <w:tc>
          <w:tcPr>
            <w:tcW w:w="1808" w:type="dxa"/>
            <w:tcBorders>
              <w:bottom w:val="single" w:sz="4" w:space="0" w:color="auto"/>
            </w:tcBorders>
            <w:vAlign w:val="center"/>
          </w:tcPr>
          <w:p w14:paraId="2223B919" w14:textId="77777777" w:rsidR="00CD45D6" w:rsidRPr="00B15651" w:rsidRDefault="00CD45D6" w:rsidP="00191F85">
            <w:pPr>
              <w:rPr>
                <w:rFonts w:ascii="Times New Roman" w:hAnsi="Times New Roman" w:cs="Times New Roman"/>
                <w:i/>
                <w:iCs/>
              </w:rPr>
            </w:pPr>
          </w:p>
        </w:tc>
        <w:tc>
          <w:tcPr>
            <w:tcW w:w="1464" w:type="dxa"/>
            <w:tcBorders>
              <w:bottom w:val="single" w:sz="4" w:space="0" w:color="auto"/>
            </w:tcBorders>
            <w:vAlign w:val="center"/>
          </w:tcPr>
          <w:p w14:paraId="4F80B81E" w14:textId="77777777" w:rsidR="00CD45D6" w:rsidRPr="00B15651" w:rsidRDefault="00CD45D6" w:rsidP="00191F85">
            <w:pPr>
              <w:jc w:val="center"/>
              <w:rPr>
                <w:rFonts w:ascii="Times New Roman" w:hAnsi="Times New Roman" w:cs="Times New Roman"/>
                <w:i/>
                <w:iCs/>
              </w:rPr>
            </w:pPr>
            <w:r w:rsidRPr="00B15651">
              <w:rPr>
                <w:rFonts w:ascii="Times New Roman" w:hAnsi="Times New Roman" w:cs="Times New Roman"/>
                <w:i/>
                <w:iCs/>
              </w:rPr>
              <w:t>All</w:t>
            </w:r>
          </w:p>
          <w:p w14:paraId="18242E0B" w14:textId="77777777" w:rsidR="00CD45D6" w:rsidRPr="00B15651" w:rsidRDefault="00CD45D6" w:rsidP="00191F85">
            <w:pPr>
              <w:jc w:val="center"/>
              <w:rPr>
                <w:rFonts w:ascii="Times New Roman" w:hAnsi="Times New Roman" w:cs="Times New Roman"/>
                <w:i/>
                <w:iCs/>
              </w:rPr>
            </w:pPr>
            <w:r w:rsidRPr="00B15651">
              <w:rPr>
                <w:rFonts w:ascii="Times New Roman" w:hAnsi="Times New Roman" w:cs="Times New Roman"/>
                <w:i/>
                <w:iCs/>
              </w:rPr>
              <w:t>(For-profits &amp; Non-Profits)</w:t>
            </w:r>
          </w:p>
        </w:tc>
        <w:tc>
          <w:tcPr>
            <w:tcW w:w="1201" w:type="dxa"/>
            <w:tcBorders>
              <w:bottom w:val="single" w:sz="4" w:space="0" w:color="auto"/>
            </w:tcBorders>
            <w:vAlign w:val="center"/>
          </w:tcPr>
          <w:p w14:paraId="3F0718FD" w14:textId="77777777" w:rsidR="00CD45D6" w:rsidRPr="00B15651" w:rsidRDefault="00CD45D6" w:rsidP="00191F85">
            <w:pPr>
              <w:jc w:val="center"/>
              <w:rPr>
                <w:rFonts w:ascii="Times New Roman" w:hAnsi="Times New Roman" w:cs="Times New Roman"/>
                <w:i/>
                <w:iCs/>
              </w:rPr>
            </w:pPr>
            <w:r w:rsidRPr="00B15651">
              <w:rPr>
                <w:rFonts w:ascii="Times New Roman" w:hAnsi="Times New Roman" w:cs="Times New Roman"/>
                <w:i/>
                <w:iCs/>
              </w:rPr>
              <w:t>For-profits Only</w:t>
            </w:r>
          </w:p>
        </w:tc>
        <w:tc>
          <w:tcPr>
            <w:tcW w:w="1372" w:type="dxa"/>
            <w:tcBorders>
              <w:bottom w:val="single" w:sz="4" w:space="0" w:color="auto"/>
            </w:tcBorders>
            <w:vAlign w:val="center"/>
          </w:tcPr>
          <w:p w14:paraId="0E567635" w14:textId="77777777" w:rsidR="00CD45D6" w:rsidRPr="00B15651" w:rsidRDefault="00CD45D6" w:rsidP="00191F85">
            <w:pPr>
              <w:jc w:val="center"/>
              <w:rPr>
                <w:rFonts w:ascii="Times New Roman" w:hAnsi="Times New Roman" w:cs="Times New Roman"/>
                <w:i/>
                <w:iCs/>
              </w:rPr>
            </w:pPr>
            <w:r w:rsidRPr="00B15651">
              <w:rPr>
                <w:rFonts w:ascii="Times New Roman" w:hAnsi="Times New Roman" w:cs="Times New Roman"/>
                <w:i/>
                <w:iCs/>
              </w:rPr>
              <w:t>Non-profits Only</w:t>
            </w:r>
          </w:p>
        </w:tc>
        <w:tc>
          <w:tcPr>
            <w:tcW w:w="1388" w:type="dxa"/>
            <w:tcBorders>
              <w:bottom w:val="single" w:sz="4" w:space="0" w:color="auto"/>
            </w:tcBorders>
            <w:vAlign w:val="center"/>
          </w:tcPr>
          <w:p w14:paraId="26018FFE" w14:textId="77777777" w:rsidR="00CD45D6" w:rsidRPr="00B15651" w:rsidRDefault="00CD45D6" w:rsidP="00191F85">
            <w:pPr>
              <w:jc w:val="center"/>
              <w:rPr>
                <w:rFonts w:ascii="Times New Roman" w:hAnsi="Times New Roman" w:cs="Times New Roman"/>
                <w:i/>
                <w:iCs/>
              </w:rPr>
            </w:pPr>
            <w:r w:rsidRPr="00B15651">
              <w:rPr>
                <w:rFonts w:ascii="Times New Roman" w:hAnsi="Times New Roman" w:cs="Times New Roman"/>
                <w:i/>
                <w:iCs/>
              </w:rPr>
              <w:t>Public, Non-profits Only</w:t>
            </w:r>
          </w:p>
        </w:tc>
        <w:tc>
          <w:tcPr>
            <w:tcW w:w="1397" w:type="dxa"/>
            <w:tcBorders>
              <w:bottom w:val="single" w:sz="4" w:space="0" w:color="auto"/>
            </w:tcBorders>
            <w:vAlign w:val="center"/>
          </w:tcPr>
          <w:p w14:paraId="24FDDAB7" w14:textId="77777777" w:rsidR="00CD45D6" w:rsidRPr="00B15651" w:rsidRDefault="00CD45D6" w:rsidP="00191F85">
            <w:pPr>
              <w:jc w:val="center"/>
              <w:rPr>
                <w:rFonts w:ascii="Times New Roman" w:hAnsi="Times New Roman" w:cs="Times New Roman"/>
                <w:i/>
                <w:iCs/>
              </w:rPr>
            </w:pPr>
            <w:r w:rsidRPr="00B15651">
              <w:rPr>
                <w:rFonts w:ascii="Times New Roman" w:hAnsi="Times New Roman" w:cs="Times New Roman"/>
                <w:i/>
                <w:iCs/>
              </w:rPr>
              <w:t>State Funded Public, Non-profits</w:t>
            </w:r>
          </w:p>
        </w:tc>
      </w:tr>
      <w:tr w:rsidR="00CD45D6" w:rsidRPr="00B15651" w14:paraId="48E1F49F" w14:textId="77777777" w:rsidTr="00191F85">
        <w:tc>
          <w:tcPr>
            <w:tcW w:w="1808" w:type="dxa"/>
            <w:tcBorders>
              <w:top w:val="single" w:sz="4" w:space="0" w:color="auto"/>
            </w:tcBorders>
            <w:vAlign w:val="bottom"/>
          </w:tcPr>
          <w:p w14:paraId="0E3B5525" w14:textId="77777777" w:rsidR="00CD45D6" w:rsidRPr="00B15651" w:rsidRDefault="00CD45D6" w:rsidP="00191F85">
            <w:pPr>
              <w:rPr>
                <w:rFonts w:ascii="Times New Roman" w:hAnsi="Times New Roman" w:cs="Times New Roman"/>
              </w:rPr>
            </w:pPr>
          </w:p>
          <w:p w14:paraId="153E2EAE" w14:textId="77777777" w:rsidR="00CD45D6" w:rsidRPr="00B15651" w:rsidRDefault="00CD45D6" w:rsidP="00191F85">
            <w:pPr>
              <w:rPr>
                <w:rFonts w:ascii="Times New Roman" w:hAnsi="Times New Roman" w:cs="Times New Roman"/>
              </w:rPr>
            </w:pPr>
            <w:r w:rsidRPr="00B15651">
              <w:rPr>
                <w:rFonts w:ascii="Times New Roman" w:hAnsi="Times New Roman" w:cs="Times New Roman"/>
              </w:rPr>
              <w:t>Total Sample</w:t>
            </w:r>
          </w:p>
        </w:tc>
        <w:tc>
          <w:tcPr>
            <w:tcW w:w="1464" w:type="dxa"/>
            <w:tcBorders>
              <w:top w:val="single" w:sz="4" w:space="0" w:color="auto"/>
            </w:tcBorders>
            <w:vAlign w:val="bottom"/>
          </w:tcPr>
          <w:p w14:paraId="0D919292"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2,525</w:t>
            </w:r>
          </w:p>
        </w:tc>
        <w:tc>
          <w:tcPr>
            <w:tcW w:w="1201" w:type="dxa"/>
            <w:tcBorders>
              <w:top w:val="single" w:sz="4" w:space="0" w:color="auto"/>
            </w:tcBorders>
            <w:vAlign w:val="bottom"/>
          </w:tcPr>
          <w:p w14:paraId="24B097D9"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739</w:t>
            </w:r>
          </w:p>
        </w:tc>
        <w:tc>
          <w:tcPr>
            <w:tcW w:w="1372" w:type="dxa"/>
            <w:tcBorders>
              <w:top w:val="single" w:sz="4" w:space="0" w:color="auto"/>
            </w:tcBorders>
            <w:vAlign w:val="bottom"/>
          </w:tcPr>
          <w:p w14:paraId="25BE2B23"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464</w:t>
            </w:r>
          </w:p>
        </w:tc>
        <w:tc>
          <w:tcPr>
            <w:tcW w:w="1388" w:type="dxa"/>
            <w:tcBorders>
              <w:top w:val="single" w:sz="4" w:space="0" w:color="auto"/>
            </w:tcBorders>
            <w:vAlign w:val="bottom"/>
          </w:tcPr>
          <w:p w14:paraId="0B89A640"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1,322</w:t>
            </w:r>
          </w:p>
        </w:tc>
        <w:tc>
          <w:tcPr>
            <w:tcW w:w="1397" w:type="dxa"/>
            <w:tcBorders>
              <w:top w:val="single" w:sz="4" w:space="0" w:color="auto"/>
            </w:tcBorders>
            <w:vAlign w:val="bottom"/>
          </w:tcPr>
          <w:p w14:paraId="3ABB9222"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1,173</w:t>
            </w:r>
          </w:p>
        </w:tc>
      </w:tr>
      <w:tr w:rsidR="00CD45D6" w:rsidRPr="00B15651" w14:paraId="64DA3C0F" w14:textId="77777777" w:rsidTr="00191F85">
        <w:tc>
          <w:tcPr>
            <w:tcW w:w="1808" w:type="dxa"/>
            <w:vAlign w:val="bottom"/>
          </w:tcPr>
          <w:p w14:paraId="1F726289" w14:textId="77777777" w:rsidR="00CD45D6" w:rsidRPr="00B15651" w:rsidRDefault="00CD45D6" w:rsidP="00191F85">
            <w:pPr>
              <w:rPr>
                <w:rFonts w:ascii="Times New Roman" w:hAnsi="Times New Roman" w:cs="Times New Roman"/>
              </w:rPr>
            </w:pPr>
          </w:p>
          <w:p w14:paraId="023AF565" w14:textId="77777777" w:rsidR="00CD45D6" w:rsidRPr="00B15651" w:rsidRDefault="00CD45D6" w:rsidP="00191F85">
            <w:pPr>
              <w:rPr>
                <w:rFonts w:ascii="Times New Roman" w:hAnsi="Times New Roman" w:cs="Times New Roman"/>
              </w:rPr>
            </w:pPr>
            <w:r w:rsidRPr="00B15651">
              <w:rPr>
                <w:rFonts w:ascii="Times New Roman" w:hAnsi="Times New Roman" w:cs="Times New Roman"/>
              </w:rPr>
              <w:t>Treated Group</w:t>
            </w:r>
          </w:p>
        </w:tc>
        <w:tc>
          <w:tcPr>
            <w:tcW w:w="1464" w:type="dxa"/>
            <w:vAlign w:val="bottom"/>
          </w:tcPr>
          <w:p w14:paraId="2AE4CC14"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464</w:t>
            </w:r>
          </w:p>
        </w:tc>
        <w:tc>
          <w:tcPr>
            <w:tcW w:w="1201" w:type="dxa"/>
            <w:vAlign w:val="bottom"/>
          </w:tcPr>
          <w:p w14:paraId="2675F170"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1</w:t>
            </w:r>
          </w:p>
        </w:tc>
        <w:tc>
          <w:tcPr>
            <w:tcW w:w="1372" w:type="dxa"/>
            <w:vAlign w:val="bottom"/>
          </w:tcPr>
          <w:p w14:paraId="15BC1BD3"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2</w:t>
            </w:r>
          </w:p>
        </w:tc>
        <w:tc>
          <w:tcPr>
            <w:tcW w:w="1388" w:type="dxa"/>
            <w:vAlign w:val="bottom"/>
          </w:tcPr>
          <w:p w14:paraId="6C8421BA"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491</w:t>
            </w:r>
          </w:p>
        </w:tc>
        <w:tc>
          <w:tcPr>
            <w:tcW w:w="1397" w:type="dxa"/>
            <w:vAlign w:val="bottom"/>
          </w:tcPr>
          <w:p w14:paraId="240EBFA1"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465</w:t>
            </w:r>
          </w:p>
        </w:tc>
      </w:tr>
      <w:tr w:rsidR="00CD45D6" w:rsidRPr="00B15651" w14:paraId="7733C803" w14:textId="77777777" w:rsidTr="00191F85">
        <w:tc>
          <w:tcPr>
            <w:tcW w:w="1808" w:type="dxa"/>
            <w:tcBorders>
              <w:bottom w:val="single" w:sz="4" w:space="0" w:color="auto"/>
            </w:tcBorders>
            <w:vAlign w:val="bottom"/>
          </w:tcPr>
          <w:p w14:paraId="233EEA9C" w14:textId="77777777" w:rsidR="00CD45D6" w:rsidRPr="00B15651" w:rsidRDefault="00CD45D6" w:rsidP="00191F85">
            <w:pPr>
              <w:rPr>
                <w:rFonts w:ascii="Times New Roman" w:hAnsi="Times New Roman" w:cs="Times New Roman"/>
              </w:rPr>
            </w:pPr>
          </w:p>
          <w:p w14:paraId="3FBB305F" w14:textId="77777777" w:rsidR="00CD45D6" w:rsidRPr="00B15651" w:rsidRDefault="00CD45D6" w:rsidP="00191F85">
            <w:pPr>
              <w:rPr>
                <w:rFonts w:ascii="Times New Roman" w:hAnsi="Times New Roman" w:cs="Times New Roman"/>
              </w:rPr>
            </w:pPr>
            <w:r w:rsidRPr="00B15651">
              <w:rPr>
                <w:rFonts w:ascii="Times New Roman" w:hAnsi="Times New Roman" w:cs="Times New Roman"/>
              </w:rPr>
              <w:t>Untreated Group</w:t>
            </w:r>
          </w:p>
        </w:tc>
        <w:tc>
          <w:tcPr>
            <w:tcW w:w="1464" w:type="dxa"/>
            <w:tcBorders>
              <w:bottom w:val="single" w:sz="4" w:space="0" w:color="auto"/>
            </w:tcBorders>
            <w:vAlign w:val="bottom"/>
          </w:tcPr>
          <w:p w14:paraId="0B3B9437"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1,322</w:t>
            </w:r>
          </w:p>
        </w:tc>
        <w:tc>
          <w:tcPr>
            <w:tcW w:w="1201" w:type="dxa"/>
            <w:tcBorders>
              <w:bottom w:val="single" w:sz="4" w:space="0" w:color="auto"/>
            </w:tcBorders>
            <w:vAlign w:val="bottom"/>
          </w:tcPr>
          <w:p w14:paraId="07B1C472"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738</w:t>
            </w:r>
          </w:p>
        </w:tc>
        <w:tc>
          <w:tcPr>
            <w:tcW w:w="1372" w:type="dxa"/>
            <w:tcBorders>
              <w:bottom w:val="single" w:sz="4" w:space="0" w:color="auto"/>
            </w:tcBorders>
            <w:vAlign w:val="bottom"/>
          </w:tcPr>
          <w:p w14:paraId="49CA014F"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462</w:t>
            </w:r>
          </w:p>
        </w:tc>
        <w:tc>
          <w:tcPr>
            <w:tcW w:w="1388" w:type="dxa"/>
            <w:tcBorders>
              <w:bottom w:val="single" w:sz="4" w:space="0" w:color="auto"/>
            </w:tcBorders>
            <w:vAlign w:val="bottom"/>
          </w:tcPr>
          <w:p w14:paraId="65A120DE"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831</w:t>
            </w:r>
          </w:p>
        </w:tc>
        <w:tc>
          <w:tcPr>
            <w:tcW w:w="1397" w:type="dxa"/>
            <w:tcBorders>
              <w:bottom w:val="single" w:sz="4" w:space="0" w:color="auto"/>
            </w:tcBorders>
            <w:vAlign w:val="bottom"/>
          </w:tcPr>
          <w:p w14:paraId="7176D770" w14:textId="77777777" w:rsidR="00CD45D6" w:rsidRPr="00B15651" w:rsidRDefault="00CD45D6" w:rsidP="00191F85">
            <w:pPr>
              <w:jc w:val="center"/>
              <w:rPr>
                <w:rFonts w:ascii="Times New Roman" w:hAnsi="Times New Roman" w:cs="Times New Roman"/>
              </w:rPr>
            </w:pPr>
            <w:r w:rsidRPr="00B15651">
              <w:rPr>
                <w:rFonts w:ascii="Times New Roman" w:hAnsi="Times New Roman" w:cs="Times New Roman"/>
              </w:rPr>
              <w:t>708</w:t>
            </w:r>
          </w:p>
        </w:tc>
      </w:tr>
    </w:tbl>
    <w:p w14:paraId="5B88F4AF"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4DA0BA19"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4C0BB1B9"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29333E3"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021E971"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5CF5520"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0646B28"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06810E4"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78EC162"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54C64DC7"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38527EC6"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BBDEF62"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2EBA3958"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5065415"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232FB6F" w14:textId="77777777" w:rsidR="00CD45D6" w:rsidRDefault="00CD45D6" w:rsidP="004420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35B6C004" w14:textId="5CD5D134" w:rsidR="00010DF3" w:rsidRDefault="004420CA"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lastRenderedPageBreak/>
        <w:t>allows for removal of many institutions that are not treated by promise programs which are often associated with public institutions</w:t>
      </w:r>
      <w:r w:rsidR="000457ED">
        <w:rPr>
          <w:rFonts w:ascii="Times New Roman" w:hAnsi="Times New Roman" w:cs="Times New Roman"/>
        </w:rPr>
        <w:t xml:space="preserve"> while also removing institutions that operate </w:t>
      </w:r>
      <w:r w:rsidR="006669C1">
        <w:rPr>
          <w:rFonts w:ascii="Times New Roman" w:hAnsi="Times New Roman" w:cs="Times New Roman"/>
        </w:rPr>
        <w:t xml:space="preserve">with different financial goals than </w:t>
      </w:r>
      <w:r w:rsidR="006C34A7">
        <w:rPr>
          <w:rFonts w:ascii="Times New Roman" w:hAnsi="Times New Roman" w:cs="Times New Roman"/>
        </w:rPr>
        <w:t>most of</w:t>
      </w:r>
      <w:r w:rsidR="006669C1">
        <w:rPr>
          <w:rFonts w:ascii="Times New Roman" w:hAnsi="Times New Roman" w:cs="Times New Roman"/>
        </w:rPr>
        <w:t xml:space="preserve"> my treated units</w:t>
      </w:r>
      <w:r>
        <w:rPr>
          <w:rFonts w:ascii="Times New Roman" w:hAnsi="Times New Roman" w:cs="Times New Roman"/>
        </w:rPr>
        <w:t>.</w:t>
      </w:r>
      <w:r w:rsidR="00A4731C">
        <w:rPr>
          <w:rFonts w:ascii="Times New Roman" w:hAnsi="Times New Roman" w:cs="Times New Roman"/>
        </w:rPr>
        <w:t xml:space="preserve"> </w:t>
      </w:r>
      <w:r w:rsidR="00CB190F">
        <w:rPr>
          <w:rFonts w:ascii="Times New Roman" w:hAnsi="Times New Roman" w:cs="Times New Roman"/>
        </w:rPr>
        <w:t>This is reflective of my identification of only one instance of a private, for-profit institution</w:t>
      </w:r>
      <w:r w:rsidR="006669C1">
        <w:rPr>
          <w:rFonts w:ascii="Times New Roman" w:hAnsi="Times New Roman" w:cs="Times New Roman"/>
        </w:rPr>
        <w:t xml:space="preserve"> </w:t>
      </w:r>
      <w:r w:rsidR="00A03AC6">
        <w:rPr>
          <w:rFonts w:ascii="Times New Roman" w:hAnsi="Times New Roman" w:cs="Times New Roman"/>
        </w:rPr>
        <w:t xml:space="preserve">being affected by a promise program </w:t>
      </w:r>
      <w:r w:rsidR="006669C1">
        <w:rPr>
          <w:rFonts w:ascii="Times New Roman" w:hAnsi="Times New Roman" w:cs="Times New Roman"/>
        </w:rPr>
        <w:t>as shown in</w:t>
      </w:r>
      <w:r w:rsidR="00CB190F">
        <w:rPr>
          <w:rFonts w:ascii="Times New Roman" w:hAnsi="Times New Roman" w:cs="Times New Roman"/>
        </w:rPr>
        <w:t xml:space="preserve"> </w:t>
      </w:r>
      <w:r w:rsidR="00CB190F" w:rsidRPr="00504669">
        <w:rPr>
          <w:rFonts w:ascii="Times New Roman" w:hAnsi="Times New Roman" w:cs="Times New Roman"/>
          <w:b/>
          <w:bCs/>
        </w:rPr>
        <w:t>table 2</w:t>
      </w:r>
      <w:r w:rsidR="00CB190F">
        <w:rPr>
          <w:rFonts w:ascii="Times New Roman" w:hAnsi="Times New Roman" w:cs="Times New Roman"/>
        </w:rPr>
        <w:t xml:space="preserve">. </w:t>
      </w:r>
      <w:r>
        <w:rPr>
          <w:rFonts w:ascii="Times New Roman" w:hAnsi="Times New Roman" w:cs="Times New Roman"/>
        </w:rPr>
        <w:t xml:space="preserve">Removing private, non-profits also </w:t>
      </w:r>
      <w:r w:rsidR="006669C1">
        <w:rPr>
          <w:rFonts w:ascii="Times New Roman" w:hAnsi="Times New Roman" w:cs="Times New Roman"/>
        </w:rPr>
        <w:t>refine</w:t>
      </w:r>
      <w:r w:rsidR="004A242B">
        <w:rPr>
          <w:rFonts w:ascii="Times New Roman" w:hAnsi="Times New Roman" w:cs="Times New Roman"/>
        </w:rPr>
        <w:t>d</w:t>
      </w:r>
      <w:r w:rsidR="006669C1">
        <w:rPr>
          <w:rFonts w:ascii="Times New Roman" w:hAnsi="Times New Roman" w:cs="Times New Roman"/>
        </w:rPr>
        <w:t xml:space="preserve"> my comparison group to more accurately reflect my treatment group</w:t>
      </w:r>
      <w:r>
        <w:rPr>
          <w:rFonts w:ascii="Times New Roman" w:hAnsi="Times New Roman" w:cs="Times New Roman"/>
        </w:rPr>
        <w:t xml:space="preserve"> </w:t>
      </w:r>
      <w:r w:rsidR="006669C1">
        <w:rPr>
          <w:rFonts w:ascii="Times New Roman" w:hAnsi="Times New Roman" w:cs="Times New Roman"/>
        </w:rPr>
        <w:t>by</w:t>
      </w:r>
      <w:r>
        <w:rPr>
          <w:rFonts w:ascii="Times New Roman" w:hAnsi="Times New Roman" w:cs="Times New Roman"/>
        </w:rPr>
        <w:t xml:space="preserve"> further restricting </w:t>
      </w:r>
      <w:r w:rsidR="00A03AC6">
        <w:rPr>
          <w:rFonts w:ascii="Times New Roman" w:hAnsi="Times New Roman" w:cs="Times New Roman"/>
        </w:rPr>
        <w:t>my</w:t>
      </w:r>
      <w:r>
        <w:rPr>
          <w:rFonts w:ascii="Times New Roman" w:hAnsi="Times New Roman" w:cs="Times New Roman"/>
        </w:rPr>
        <w:t xml:space="preserve"> sample </w:t>
      </w:r>
      <w:r w:rsidR="00A03AC6">
        <w:rPr>
          <w:rFonts w:ascii="Times New Roman" w:hAnsi="Times New Roman" w:cs="Times New Roman"/>
        </w:rPr>
        <w:t>to</w:t>
      </w:r>
      <w:r>
        <w:rPr>
          <w:rFonts w:ascii="Times New Roman" w:hAnsi="Times New Roman" w:cs="Times New Roman"/>
        </w:rPr>
        <w:t xml:space="preserve"> </w:t>
      </w:r>
      <w:r w:rsidR="008159C1">
        <w:rPr>
          <w:rFonts w:ascii="Times New Roman" w:hAnsi="Times New Roman" w:cs="Times New Roman"/>
        </w:rPr>
        <w:t xml:space="preserve">the </w:t>
      </w:r>
      <w:r>
        <w:rPr>
          <w:rFonts w:ascii="Times New Roman" w:hAnsi="Times New Roman" w:cs="Times New Roman"/>
        </w:rPr>
        <w:t xml:space="preserve">1,322 institutions most similar to treated institutions. The final sub-sample of 1,173 removes instances of locally funded public institutions that do not receive state support. </w:t>
      </w:r>
    </w:p>
    <w:p w14:paraId="70033A72" w14:textId="13450517" w:rsidR="004420CA" w:rsidRDefault="00010DF3"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To decide upon which sample to use for my primary analysis in this study, I examined outputs for each sample’s pre-treatment parallel trends. I discuss </w:t>
      </w:r>
      <w:r w:rsidR="001268CE">
        <w:rPr>
          <w:rFonts w:ascii="Times New Roman" w:hAnsi="Times New Roman" w:cs="Times New Roman"/>
        </w:rPr>
        <w:t xml:space="preserve">the approaches used for </w:t>
      </w:r>
      <w:r>
        <w:rPr>
          <w:rFonts w:ascii="Times New Roman" w:hAnsi="Times New Roman" w:cs="Times New Roman"/>
        </w:rPr>
        <w:t xml:space="preserve">this later on more formally within the assumption’s sub-section. </w:t>
      </w:r>
      <w:r w:rsidR="006867A9">
        <w:rPr>
          <w:rFonts w:ascii="Times New Roman" w:hAnsi="Times New Roman" w:cs="Times New Roman"/>
        </w:rPr>
        <w:t xml:space="preserve">To </w:t>
      </w:r>
      <w:r>
        <w:rPr>
          <w:rFonts w:ascii="Times New Roman" w:hAnsi="Times New Roman" w:cs="Times New Roman"/>
        </w:rPr>
        <w:t xml:space="preserve">briefly explain here, this process involved me examining the pre-treatment trends </w:t>
      </w:r>
      <w:r w:rsidR="00590976">
        <w:rPr>
          <w:rFonts w:ascii="Times New Roman" w:hAnsi="Times New Roman" w:cs="Times New Roman"/>
        </w:rPr>
        <w:t xml:space="preserve">of my regression models for each sample and my understanding of my data sub-samples </w:t>
      </w:r>
      <w:r w:rsidR="00D80D84">
        <w:rPr>
          <w:rFonts w:ascii="Times New Roman" w:hAnsi="Times New Roman" w:cs="Times New Roman"/>
        </w:rPr>
        <w:t xml:space="preserve">to identify a sample that could produce consistent </w:t>
      </w:r>
      <w:r w:rsidR="00DC6E62">
        <w:rPr>
          <w:rFonts w:ascii="Times New Roman" w:hAnsi="Times New Roman" w:cs="Times New Roman"/>
        </w:rPr>
        <w:t>interpretable</w:t>
      </w:r>
      <w:r w:rsidR="00D80D84">
        <w:rPr>
          <w:rFonts w:ascii="Times New Roman" w:hAnsi="Times New Roman" w:cs="Times New Roman"/>
        </w:rPr>
        <w:t xml:space="preserve"> results in a staggered difference-in-difference design while also </w:t>
      </w:r>
      <w:r w:rsidR="00FC7494">
        <w:rPr>
          <w:rFonts w:ascii="Times New Roman" w:hAnsi="Times New Roman" w:cs="Times New Roman"/>
        </w:rPr>
        <w:t xml:space="preserve">maintaining an appropriate comparison group construction. </w:t>
      </w:r>
    </w:p>
    <w:p w14:paraId="37053E4C" w14:textId="3601441B" w:rsidR="00630495" w:rsidRDefault="006D05BC"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7810CC">
        <w:rPr>
          <w:rFonts w:ascii="Times New Roman" w:hAnsi="Times New Roman" w:cs="Times New Roman"/>
        </w:rPr>
        <w:t>I limited my sample to the number of sub-baccalaureate awards produced</w:t>
      </w:r>
      <w:r w:rsidR="0089430E">
        <w:rPr>
          <w:rFonts w:ascii="Times New Roman" w:hAnsi="Times New Roman" w:cs="Times New Roman"/>
        </w:rPr>
        <w:t>.</w:t>
      </w:r>
      <w:r w:rsidR="00630495">
        <w:rPr>
          <w:rFonts w:ascii="Times New Roman" w:hAnsi="Times New Roman" w:cs="Times New Roman"/>
        </w:rPr>
        <w:t xml:space="preserve"> </w:t>
      </w:r>
      <w:r w:rsidR="00FE31EB">
        <w:rPr>
          <w:rFonts w:ascii="Times New Roman" w:hAnsi="Times New Roman" w:cs="Times New Roman"/>
        </w:rPr>
        <w:t xml:space="preserve">It should be noted that the institutions included in </w:t>
      </w:r>
      <w:r w:rsidR="00313C54">
        <w:rPr>
          <w:rFonts w:ascii="Times New Roman" w:hAnsi="Times New Roman" w:cs="Times New Roman"/>
        </w:rPr>
        <w:t>my</w:t>
      </w:r>
      <w:r w:rsidR="00FE31EB">
        <w:rPr>
          <w:rFonts w:ascii="Times New Roman" w:hAnsi="Times New Roman" w:cs="Times New Roman"/>
        </w:rPr>
        <w:t xml:space="preserve"> four above mentioned </w:t>
      </w:r>
      <w:r w:rsidR="00313C54">
        <w:rPr>
          <w:rFonts w:ascii="Times New Roman" w:hAnsi="Times New Roman" w:cs="Times New Roman"/>
        </w:rPr>
        <w:t>samples</w:t>
      </w:r>
      <w:r w:rsidR="00FE31EB">
        <w:rPr>
          <w:rFonts w:ascii="Times New Roman" w:hAnsi="Times New Roman" w:cs="Times New Roman"/>
        </w:rPr>
        <w:t xml:space="preserve"> are not only community or technical colleges but also include </w:t>
      </w:r>
      <w:r w:rsidR="00291A68">
        <w:rPr>
          <w:rFonts w:ascii="Times New Roman" w:hAnsi="Times New Roman" w:cs="Times New Roman"/>
        </w:rPr>
        <w:t>four-year</w:t>
      </w:r>
      <w:r w:rsidR="00FE31EB">
        <w:rPr>
          <w:rFonts w:ascii="Times New Roman" w:hAnsi="Times New Roman" w:cs="Times New Roman"/>
        </w:rPr>
        <w:t xml:space="preserve"> colleges. This is because an increasing number of </w:t>
      </w:r>
      <w:r w:rsidR="00F46DCF">
        <w:rPr>
          <w:rFonts w:ascii="Times New Roman" w:hAnsi="Times New Roman" w:cs="Times New Roman"/>
        </w:rPr>
        <w:t>four</w:t>
      </w:r>
      <w:r w:rsidR="00FE31EB">
        <w:rPr>
          <w:rFonts w:ascii="Times New Roman" w:hAnsi="Times New Roman" w:cs="Times New Roman"/>
        </w:rPr>
        <w:t xml:space="preserve">-year institutions have begun to offer </w:t>
      </w:r>
      <w:r w:rsidR="00F46DCF">
        <w:rPr>
          <w:rFonts w:ascii="Times New Roman" w:hAnsi="Times New Roman" w:cs="Times New Roman"/>
        </w:rPr>
        <w:t>two-</w:t>
      </w:r>
      <w:r w:rsidR="00F97DB5">
        <w:rPr>
          <w:rFonts w:ascii="Times New Roman" w:hAnsi="Times New Roman" w:cs="Times New Roman"/>
        </w:rPr>
        <w:t>year</w:t>
      </w:r>
      <w:r w:rsidR="00FE31EB">
        <w:rPr>
          <w:rFonts w:ascii="Times New Roman" w:hAnsi="Times New Roman" w:cs="Times New Roman"/>
        </w:rPr>
        <w:t xml:space="preserve"> </w:t>
      </w:r>
      <w:r w:rsidR="00F97DB5">
        <w:rPr>
          <w:rFonts w:ascii="Times New Roman" w:hAnsi="Times New Roman" w:cs="Times New Roman"/>
        </w:rPr>
        <w:t>awards</w:t>
      </w:r>
      <w:r w:rsidR="00F14D04">
        <w:rPr>
          <w:rFonts w:ascii="Times New Roman" w:hAnsi="Times New Roman" w:cs="Times New Roman"/>
        </w:rPr>
        <w:t xml:space="preserve"> and </w:t>
      </w:r>
      <w:r w:rsidR="008159C1">
        <w:rPr>
          <w:rFonts w:ascii="Times New Roman" w:hAnsi="Times New Roman" w:cs="Times New Roman"/>
        </w:rPr>
        <w:t xml:space="preserve">an </w:t>
      </w:r>
      <w:r w:rsidR="00F97DB5">
        <w:rPr>
          <w:rFonts w:ascii="Times New Roman" w:hAnsi="Times New Roman" w:cs="Times New Roman"/>
        </w:rPr>
        <w:t xml:space="preserve">increasing number of </w:t>
      </w:r>
      <w:r w:rsidR="00F46DCF">
        <w:rPr>
          <w:rFonts w:ascii="Times New Roman" w:hAnsi="Times New Roman" w:cs="Times New Roman"/>
        </w:rPr>
        <w:t>two</w:t>
      </w:r>
      <w:r w:rsidR="00F97DB5">
        <w:rPr>
          <w:rFonts w:ascii="Times New Roman" w:hAnsi="Times New Roman" w:cs="Times New Roman"/>
        </w:rPr>
        <w:t xml:space="preserve">-year institutions are now offering </w:t>
      </w:r>
      <w:r w:rsidR="00F46DCF">
        <w:rPr>
          <w:rFonts w:ascii="Times New Roman" w:hAnsi="Times New Roman" w:cs="Times New Roman"/>
        </w:rPr>
        <w:t>four</w:t>
      </w:r>
      <w:r w:rsidR="00F97DB5">
        <w:rPr>
          <w:rFonts w:ascii="Times New Roman" w:hAnsi="Times New Roman" w:cs="Times New Roman"/>
        </w:rPr>
        <w:t>-year awards</w:t>
      </w:r>
      <w:r w:rsidR="004C7AE3">
        <w:rPr>
          <w:rFonts w:ascii="Times New Roman" w:hAnsi="Times New Roman" w:cs="Times New Roman"/>
        </w:rPr>
        <w:t xml:space="preserve"> </w:t>
      </w:r>
      <w:sdt>
        <w:sdtPr>
          <w:rPr>
            <w:rFonts w:ascii="Times New Roman" w:hAnsi="Times New Roman" w:cs="Times New Roman"/>
          </w:rPr>
          <w:id w:val="1609316852"/>
          <w:citation/>
        </w:sdtPr>
        <w:sdtContent>
          <w:r w:rsidR="00F37E6A">
            <w:rPr>
              <w:rFonts w:ascii="Times New Roman" w:hAnsi="Times New Roman" w:cs="Times New Roman"/>
            </w:rPr>
            <w:fldChar w:fldCharType="begin"/>
          </w:r>
          <w:r w:rsidR="00F37E6A">
            <w:rPr>
              <w:rFonts w:ascii="Times New Roman" w:hAnsi="Times New Roman" w:cs="Times New Roman"/>
            </w:rPr>
            <w:instrText xml:space="preserve"> CITATION Fie24 \l 1033 </w:instrText>
          </w:r>
          <w:r w:rsidR="003B77F5">
            <w:rPr>
              <w:rFonts w:ascii="Times New Roman" w:hAnsi="Times New Roman" w:cs="Times New Roman"/>
            </w:rPr>
            <w:instrText xml:space="preserve"> \m Wei23</w:instrText>
          </w:r>
          <w:r w:rsidR="00F37E6A">
            <w:rPr>
              <w:rFonts w:ascii="Times New Roman" w:hAnsi="Times New Roman" w:cs="Times New Roman"/>
            </w:rPr>
            <w:fldChar w:fldCharType="separate"/>
          </w:r>
          <w:r w:rsidR="00A10468" w:rsidRPr="00A10468">
            <w:rPr>
              <w:rFonts w:ascii="Times New Roman" w:hAnsi="Times New Roman" w:cs="Times New Roman"/>
              <w:noProof/>
            </w:rPr>
            <w:t xml:space="preserve">(Field, </w:t>
          </w:r>
          <w:r w:rsidR="00A10468" w:rsidRPr="00A10468">
            <w:rPr>
              <w:rFonts w:ascii="Times New Roman" w:hAnsi="Times New Roman" w:cs="Times New Roman"/>
              <w:noProof/>
            </w:rPr>
            <w:lastRenderedPageBreak/>
            <w:t>2024; Weissman, 2023)</w:t>
          </w:r>
          <w:r w:rsidR="00F37E6A">
            <w:rPr>
              <w:rFonts w:ascii="Times New Roman" w:hAnsi="Times New Roman" w:cs="Times New Roman"/>
            </w:rPr>
            <w:fldChar w:fldCharType="end"/>
          </w:r>
        </w:sdtContent>
      </w:sdt>
      <w:r w:rsidR="003B77F5">
        <w:rPr>
          <w:rFonts w:ascii="Times New Roman" w:hAnsi="Times New Roman" w:cs="Times New Roman"/>
        </w:rPr>
        <w:t>. Be</w:t>
      </w:r>
      <w:r w:rsidR="00FE31EB">
        <w:rPr>
          <w:rFonts w:ascii="Times New Roman" w:hAnsi="Times New Roman" w:cs="Times New Roman"/>
        </w:rPr>
        <w:t>cause these programs contribute to sub-baccalaureate award production, I have opted to include these institutions in my models</w:t>
      </w:r>
      <w:r w:rsidR="00313C54">
        <w:rPr>
          <w:rFonts w:ascii="Times New Roman" w:hAnsi="Times New Roman" w:cs="Times New Roman"/>
        </w:rPr>
        <w:t xml:space="preserve"> if they had observations for all years in my sample</w:t>
      </w:r>
      <w:r w:rsidR="00FE31EB">
        <w:rPr>
          <w:rFonts w:ascii="Times New Roman" w:hAnsi="Times New Roman" w:cs="Times New Roman"/>
        </w:rPr>
        <w:t xml:space="preserve">. If affected by a promise program, I include them in the treatment group. If not, I include these institutions in the comparison group. </w:t>
      </w:r>
      <w:r w:rsidR="006E5488">
        <w:rPr>
          <w:rFonts w:ascii="Times New Roman" w:hAnsi="Times New Roman" w:cs="Times New Roman"/>
        </w:rPr>
        <w:t>However</w:t>
      </w:r>
      <w:r w:rsidR="00C93CAE">
        <w:rPr>
          <w:rFonts w:ascii="Times New Roman" w:hAnsi="Times New Roman" w:cs="Times New Roman"/>
        </w:rPr>
        <w:t>,</w:t>
      </w:r>
      <w:r w:rsidR="006E5488">
        <w:rPr>
          <w:rFonts w:ascii="Times New Roman" w:hAnsi="Times New Roman" w:cs="Times New Roman"/>
        </w:rPr>
        <w:t xml:space="preserve"> </w:t>
      </w:r>
      <w:r w:rsidR="00C93CAE">
        <w:rPr>
          <w:rFonts w:ascii="Times New Roman" w:hAnsi="Times New Roman" w:cs="Times New Roman"/>
        </w:rPr>
        <w:t xml:space="preserve">these sub-baccalaureate granting </w:t>
      </w:r>
      <w:r w:rsidR="003A6204">
        <w:rPr>
          <w:rFonts w:ascii="Times New Roman" w:hAnsi="Times New Roman" w:cs="Times New Roman"/>
        </w:rPr>
        <w:t>institutions</w:t>
      </w:r>
      <w:r w:rsidR="006E5488">
        <w:rPr>
          <w:rFonts w:ascii="Times New Roman" w:hAnsi="Times New Roman" w:cs="Times New Roman"/>
        </w:rPr>
        <w:t xml:space="preserve"> represent a relatively small proportion of the treated group population at only 43 four-year institutions present in the treated sample. </w:t>
      </w:r>
    </w:p>
    <w:p w14:paraId="01BD6CEA" w14:textId="77777777" w:rsidR="00E414D6" w:rsidRPr="0036471E" w:rsidRDefault="00E414D6" w:rsidP="00CD45D6">
      <w:pPr>
        <w:pStyle w:val="Heading2"/>
        <w:spacing w:before="0" w:after="0"/>
      </w:pPr>
      <w:bookmarkStart w:id="57" w:name="_Toc183282273"/>
      <w:r w:rsidRPr="0036471E">
        <w:t>Data Collection</w:t>
      </w:r>
      <w:bookmarkEnd w:id="57"/>
    </w:p>
    <w:p w14:paraId="73AD52CF" w14:textId="70787051" w:rsidR="004947E7" w:rsidRDefault="00E414D6"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F24344">
        <w:rPr>
          <w:rFonts w:ascii="Times New Roman" w:hAnsi="Times New Roman" w:cs="Times New Roman"/>
        </w:rPr>
        <w:t xml:space="preserve">Regarding how I formatted my outcome variables, I collected the number of completions per year per institution in my sample, by program length and by </w:t>
      </w:r>
      <w:r w:rsidR="00F24344" w:rsidRPr="004947E7">
        <w:rPr>
          <w:rFonts w:ascii="Times New Roman" w:hAnsi="Times New Roman" w:cs="Times New Roman"/>
        </w:rPr>
        <w:t xml:space="preserve">Classification of Instruction Program (CIP) code. </w:t>
      </w:r>
      <w:r w:rsidR="00C07193">
        <w:rPr>
          <w:rFonts w:ascii="Times New Roman" w:hAnsi="Times New Roman" w:cs="Times New Roman"/>
        </w:rPr>
        <w:t>For my outcome variable I downloaded IPEDS complete data files for a</w:t>
      </w:r>
      <w:r w:rsidR="00C07193" w:rsidRPr="00802E7D">
        <w:rPr>
          <w:rFonts w:ascii="Times New Roman" w:hAnsi="Times New Roman" w:cs="Times New Roman"/>
        </w:rPr>
        <w:t>wards/degrees conferred by program (6-digit CIP code)</w:t>
      </w:r>
      <w:r w:rsidR="00C07193">
        <w:rPr>
          <w:rFonts w:ascii="Times New Roman" w:hAnsi="Times New Roman" w:cs="Times New Roman"/>
        </w:rPr>
        <w:t xml:space="preserve"> and merged this with researcher collected treatment data. In this section I outline the protocol utilized to establish my data sample for this study.</w:t>
      </w:r>
    </w:p>
    <w:p w14:paraId="5BC57534" w14:textId="1C047FF3" w:rsidR="00E414D6" w:rsidRPr="004947E7" w:rsidRDefault="00E414D6"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4947E7">
        <w:rPr>
          <w:rFonts w:ascii="Times New Roman" w:hAnsi="Times New Roman" w:cs="Times New Roman"/>
          <w:b/>
          <w:bCs/>
        </w:rPr>
        <w:t>Outcome Data Collection and Preparation</w:t>
      </w:r>
    </w:p>
    <w:p w14:paraId="643D6D94" w14:textId="6D0CB78C" w:rsidR="004947E7" w:rsidRDefault="00E414D6"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4947E7">
        <w:rPr>
          <w:rFonts w:ascii="Times New Roman" w:hAnsi="Times New Roman" w:cs="Times New Roman"/>
        </w:rPr>
        <w:tab/>
        <w:t>I obtained completion</w:t>
      </w:r>
      <w:r>
        <w:rPr>
          <w:rFonts w:ascii="Times New Roman" w:hAnsi="Times New Roman" w:cs="Times New Roman"/>
        </w:rPr>
        <w:t xml:space="preserve"> data using </w:t>
      </w:r>
      <w:r w:rsidR="0073192A">
        <w:rPr>
          <w:rFonts w:ascii="Times New Roman" w:hAnsi="Times New Roman" w:cs="Times New Roman"/>
        </w:rPr>
        <w:t xml:space="preserve">the option for </w:t>
      </w:r>
      <w:r>
        <w:rPr>
          <w:rFonts w:ascii="Times New Roman" w:hAnsi="Times New Roman" w:cs="Times New Roman"/>
        </w:rPr>
        <w:t xml:space="preserve">complete data downloads from IPEDS. </w:t>
      </w:r>
      <w:r w:rsidR="00B31754">
        <w:rPr>
          <w:rFonts w:ascii="Times New Roman" w:hAnsi="Times New Roman" w:cs="Times New Roman"/>
        </w:rPr>
        <w:t xml:space="preserve">For my first research question concerning program length, I separated </w:t>
      </w:r>
      <w:r w:rsidR="00BB1AB8">
        <w:rPr>
          <w:rFonts w:ascii="Times New Roman" w:hAnsi="Times New Roman" w:cs="Times New Roman"/>
        </w:rPr>
        <w:t>sub-baccalaureate awards by program length into the following groups: associates degrees (programs that take a least two years to complete), credentials that take between one</w:t>
      </w:r>
      <w:r w:rsidR="002C3000">
        <w:rPr>
          <w:rFonts w:ascii="Times New Roman" w:hAnsi="Times New Roman" w:cs="Times New Roman"/>
        </w:rPr>
        <w:t>-</w:t>
      </w:r>
      <w:r w:rsidR="00BB1AB8">
        <w:rPr>
          <w:rFonts w:ascii="Times New Roman" w:hAnsi="Times New Roman" w:cs="Times New Roman"/>
        </w:rPr>
        <w:t>to</w:t>
      </w:r>
      <w:r w:rsidR="002C3000">
        <w:rPr>
          <w:rFonts w:ascii="Times New Roman" w:hAnsi="Times New Roman" w:cs="Times New Roman"/>
        </w:rPr>
        <w:t>-</w:t>
      </w:r>
      <w:r w:rsidR="00BB1AB8">
        <w:rPr>
          <w:rFonts w:ascii="Times New Roman" w:hAnsi="Times New Roman" w:cs="Times New Roman"/>
        </w:rPr>
        <w:t>two years to complete, and credentials that take less than one year to complete.</w:t>
      </w:r>
      <w:r w:rsidR="00B31754">
        <w:rPr>
          <w:rFonts w:ascii="Times New Roman" w:hAnsi="Times New Roman" w:cs="Times New Roman"/>
        </w:rPr>
        <w:t xml:space="preserve"> </w:t>
      </w:r>
      <w:r w:rsidR="00EC7804">
        <w:rPr>
          <w:rFonts w:ascii="Times New Roman" w:hAnsi="Times New Roman" w:cs="Times New Roman"/>
        </w:rPr>
        <w:t xml:space="preserve">In this calculation, I only utilized the grant total of awards given in each category of program length </w:t>
      </w:r>
      <w:r w:rsidR="00450449">
        <w:rPr>
          <w:rFonts w:ascii="Times New Roman" w:hAnsi="Times New Roman" w:cs="Times New Roman"/>
        </w:rPr>
        <w:t xml:space="preserve">summing all CIPs together. </w:t>
      </w:r>
    </w:p>
    <w:p w14:paraId="1F7B2657" w14:textId="7F1D36EE" w:rsidR="005E385F" w:rsidRDefault="004947E7"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lastRenderedPageBreak/>
        <w:tab/>
      </w:r>
      <w:r w:rsidR="009623EF">
        <w:rPr>
          <w:rFonts w:ascii="Times New Roman" w:hAnsi="Times New Roman" w:cs="Times New Roman"/>
        </w:rPr>
        <w:t>For my second research question, which considers program area of study, I organized the 46 CIPs into five broad categories based on similarity in program focus. I did this d</w:t>
      </w:r>
      <w:r>
        <w:rPr>
          <w:rFonts w:ascii="Times New Roman" w:hAnsi="Times New Roman" w:cs="Times New Roman"/>
        </w:rPr>
        <w:t xml:space="preserve">ue to limited sample size among various CIP codes at the </w:t>
      </w:r>
      <w:r w:rsidR="005E385F">
        <w:rPr>
          <w:rFonts w:ascii="Times New Roman" w:hAnsi="Times New Roman" w:cs="Times New Roman"/>
        </w:rPr>
        <w:t>two</w:t>
      </w:r>
      <w:r>
        <w:rPr>
          <w:rFonts w:ascii="Times New Roman" w:hAnsi="Times New Roman" w:cs="Times New Roman"/>
        </w:rPr>
        <w:t xml:space="preserve">-digit classification level (i.e., the broadest existing classification level), I combined similarly focused </w:t>
      </w:r>
      <w:r w:rsidR="005E385F">
        <w:rPr>
          <w:rFonts w:ascii="Times New Roman" w:hAnsi="Times New Roman" w:cs="Times New Roman"/>
        </w:rPr>
        <w:t>two</w:t>
      </w:r>
      <w:r>
        <w:rPr>
          <w:rFonts w:ascii="Times New Roman" w:hAnsi="Times New Roman" w:cs="Times New Roman"/>
        </w:rPr>
        <w:t>-</w:t>
      </w:r>
      <w:r w:rsidR="005E385F">
        <w:rPr>
          <w:rFonts w:ascii="Times New Roman" w:hAnsi="Times New Roman" w:cs="Times New Roman"/>
        </w:rPr>
        <w:t>digit</w:t>
      </w:r>
      <w:r>
        <w:rPr>
          <w:rFonts w:ascii="Times New Roman" w:hAnsi="Times New Roman" w:cs="Times New Roman"/>
        </w:rPr>
        <w:t xml:space="preserve"> CIP codes into </w:t>
      </w:r>
      <w:r w:rsidR="005E385F">
        <w:rPr>
          <w:rFonts w:ascii="Times New Roman" w:hAnsi="Times New Roman" w:cs="Times New Roman"/>
        </w:rPr>
        <w:t>five</w:t>
      </w:r>
      <w:r>
        <w:rPr>
          <w:rFonts w:ascii="Times New Roman" w:hAnsi="Times New Roman" w:cs="Times New Roman"/>
        </w:rPr>
        <w:t xml:space="preserve"> broad groups that I refer to as super-CIP codes. </w:t>
      </w:r>
      <w:r w:rsidR="00450449">
        <w:rPr>
          <w:rFonts w:ascii="Times New Roman" w:hAnsi="Times New Roman" w:cs="Times New Roman"/>
        </w:rPr>
        <w:t xml:space="preserve">These outcome variables were summed for all the awards across program length for each of the </w:t>
      </w:r>
      <w:r w:rsidR="005E385F">
        <w:rPr>
          <w:rFonts w:ascii="Times New Roman" w:hAnsi="Times New Roman" w:cs="Times New Roman"/>
        </w:rPr>
        <w:t xml:space="preserve">five categories that I identified. </w:t>
      </w:r>
    </w:p>
    <w:p w14:paraId="04FEECAE" w14:textId="64A2D7CD" w:rsidR="00B06ECA" w:rsidRDefault="005E385F"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F16334">
        <w:rPr>
          <w:rFonts w:ascii="Times New Roman" w:hAnsi="Times New Roman" w:cs="Times New Roman"/>
        </w:rPr>
        <w:t>T</w:t>
      </w:r>
      <w:r w:rsidR="00654144">
        <w:rPr>
          <w:rFonts w:ascii="Times New Roman" w:hAnsi="Times New Roman" w:cs="Times New Roman"/>
        </w:rPr>
        <w:t>hese</w:t>
      </w:r>
      <w:r w:rsidR="004947E7">
        <w:rPr>
          <w:rFonts w:ascii="Times New Roman" w:hAnsi="Times New Roman" w:cs="Times New Roman"/>
        </w:rPr>
        <w:t xml:space="preserve"> super-CIP</w:t>
      </w:r>
      <w:r w:rsidR="00EC3D01">
        <w:rPr>
          <w:rFonts w:ascii="Times New Roman" w:hAnsi="Times New Roman" w:cs="Times New Roman"/>
        </w:rPr>
        <w:t xml:space="preserve"> codes</w:t>
      </w:r>
      <w:r w:rsidR="004947E7">
        <w:rPr>
          <w:rFonts w:ascii="Times New Roman" w:hAnsi="Times New Roman" w:cs="Times New Roman"/>
        </w:rPr>
        <w:t xml:space="preserve"> and the two-digit codes making up these groups</w:t>
      </w:r>
      <w:r w:rsidR="000638B7">
        <w:rPr>
          <w:rFonts w:ascii="Times New Roman" w:hAnsi="Times New Roman" w:cs="Times New Roman"/>
        </w:rPr>
        <w:t xml:space="preserve"> are presented</w:t>
      </w:r>
      <w:r w:rsidR="004947E7">
        <w:rPr>
          <w:rFonts w:ascii="Times New Roman" w:hAnsi="Times New Roman" w:cs="Times New Roman"/>
        </w:rPr>
        <w:t xml:space="preserve"> in </w:t>
      </w:r>
      <w:r w:rsidR="004947E7" w:rsidRPr="00CD45D6">
        <w:rPr>
          <w:rFonts w:ascii="Times New Roman" w:hAnsi="Times New Roman" w:cs="Times New Roman"/>
          <w:b/>
          <w:bCs/>
        </w:rPr>
        <w:t xml:space="preserve">Table </w:t>
      </w:r>
      <w:r w:rsidR="00B06ECA" w:rsidRPr="00CD45D6">
        <w:rPr>
          <w:rFonts w:ascii="Times New Roman" w:hAnsi="Times New Roman" w:cs="Times New Roman"/>
          <w:b/>
          <w:bCs/>
        </w:rPr>
        <w:t>3</w:t>
      </w:r>
      <w:r w:rsidR="004947E7">
        <w:rPr>
          <w:rFonts w:ascii="Times New Roman" w:hAnsi="Times New Roman" w:cs="Times New Roman"/>
        </w:rPr>
        <w:t xml:space="preserve">. </w:t>
      </w:r>
      <w:r w:rsidR="00817DAF">
        <w:rPr>
          <w:rFonts w:ascii="Times New Roman" w:hAnsi="Times New Roman" w:cs="Times New Roman"/>
        </w:rPr>
        <w:t xml:space="preserve">Constructing my own classifications of super-CIP codes was necessary because currently </w:t>
      </w:r>
      <w:r w:rsidR="00685119">
        <w:rPr>
          <w:rFonts w:ascii="Times New Roman" w:hAnsi="Times New Roman" w:cs="Times New Roman"/>
        </w:rPr>
        <w:t xml:space="preserve">there is no crosswalk that accounts for both the CTE and non-CTE </w:t>
      </w:r>
      <w:r w:rsidR="000F1208">
        <w:rPr>
          <w:rFonts w:ascii="Times New Roman" w:hAnsi="Times New Roman" w:cs="Times New Roman"/>
        </w:rPr>
        <w:t>awards given at sub-baccalaureate</w:t>
      </w:r>
      <w:r w:rsidR="00D22822">
        <w:rPr>
          <w:rFonts w:ascii="Times New Roman" w:hAnsi="Times New Roman" w:cs="Times New Roman"/>
        </w:rPr>
        <w:t xml:space="preserve"> granting</w:t>
      </w:r>
      <w:r w:rsidR="000F1208">
        <w:rPr>
          <w:rFonts w:ascii="Times New Roman" w:hAnsi="Times New Roman" w:cs="Times New Roman"/>
        </w:rPr>
        <w:t xml:space="preserve"> institutions. </w:t>
      </w:r>
      <w:r w:rsidR="000278FB">
        <w:rPr>
          <w:rFonts w:ascii="Times New Roman" w:hAnsi="Times New Roman" w:cs="Times New Roman"/>
        </w:rPr>
        <w:t>T</w:t>
      </w:r>
      <w:r w:rsidR="000F1208">
        <w:rPr>
          <w:rFonts w:ascii="Times New Roman" w:hAnsi="Times New Roman" w:cs="Times New Roman"/>
        </w:rPr>
        <w:t>he</w:t>
      </w:r>
      <w:r w:rsidR="000278FB">
        <w:rPr>
          <w:rFonts w:ascii="Times New Roman" w:hAnsi="Times New Roman" w:cs="Times New Roman"/>
        </w:rPr>
        <w:t xml:space="preserve"> closest </w:t>
      </w:r>
      <w:r w:rsidR="00950CEC">
        <w:rPr>
          <w:rFonts w:ascii="Times New Roman" w:hAnsi="Times New Roman" w:cs="Times New Roman"/>
        </w:rPr>
        <w:t>option was the</w:t>
      </w:r>
      <w:r w:rsidR="000F1208">
        <w:rPr>
          <w:rFonts w:ascii="Times New Roman" w:hAnsi="Times New Roman" w:cs="Times New Roman"/>
        </w:rPr>
        <w:t xml:space="preserve"> </w:t>
      </w:r>
      <w:r w:rsidR="002C1ACD">
        <w:rPr>
          <w:rFonts w:ascii="Times New Roman" w:hAnsi="Times New Roman" w:cs="Times New Roman"/>
        </w:rPr>
        <w:t xml:space="preserve">Perkins Collaborative Resource Network </w:t>
      </w:r>
      <w:r w:rsidR="00D22822">
        <w:rPr>
          <w:rFonts w:ascii="Times New Roman" w:hAnsi="Times New Roman" w:cs="Times New Roman"/>
        </w:rPr>
        <w:t xml:space="preserve">that </w:t>
      </w:r>
      <w:r w:rsidR="002C1ACD">
        <w:rPr>
          <w:rFonts w:ascii="Times New Roman" w:hAnsi="Times New Roman" w:cs="Times New Roman"/>
        </w:rPr>
        <w:t xml:space="preserve">offers a 2020 crosswalk for CIP codes and the 16 registered career clusters </w:t>
      </w:r>
      <w:r w:rsidR="00020D98">
        <w:rPr>
          <w:rFonts w:ascii="Times New Roman" w:hAnsi="Times New Roman" w:cs="Times New Roman"/>
        </w:rPr>
        <w:t xml:space="preserve">promoted by Advance CTE </w:t>
      </w:r>
      <w:r w:rsidR="00F621F6">
        <w:rPr>
          <w:rFonts w:ascii="Times New Roman" w:hAnsi="Times New Roman" w:cs="Times New Roman"/>
        </w:rPr>
        <w:t xml:space="preserve">which is an organization comprised of the CTE directors of each state in the </w:t>
      </w:r>
      <w:r w:rsidR="003C686A">
        <w:rPr>
          <w:rFonts w:ascii="Times New Roman" w:hAnsi="Times New Roman" w:cs="Times New Roman"/>
        </w:rPr>
        <w:t>United</w:t>
      </w:r>
      <w:r w:rsidR="00F621F6">
        <w:rPr>
          <w:rFonts w:ascii="Times New Roman" w:hAnsi="Times New Roman" w:cs="Times New Roman"/>
        </w:rPr>
        <w:t xml:space="preserve"> States. </w:t>
      </w:r>
      <w:r w:rsidR="00950CEC">
        <w:rPr>
          <w:rFonts w:ascii="Times New Roman" w:hAnsi="Times New Roman" w:cs="Times New Roman"/>
        </w:rPr>
        <w:t>However, b</w:t>
      </w:r>
      <w:r w:rsidR="00F621F6">
        <w:rPr>
          <w:rFonts w:ascii="Times New Roman" w:hAnsi="Times New Roman" w:cs="Times New Roman"/>
        </w:rPr>
        <w:t xml:space="preserve">ecause my study does not separate </w:t>
      </w:r>
      <w:r w:rsidR="00FA3E4A">
        <w:rPr>
          <w:rFonts w:ascii="Times New Roman" w:hAnsi="Times New Roman" w:cs="Times New Roman"/>
        </w:rPr>
        <w:t xml:space="preserve">CTE aligned awards from </w:t>
      </w:r>
      <w:r w:rsidR="007E7F03">
        <w:rPr>
          <w:rFonts w:ascii="Times New Roman" w:hAnsi="Times New Roman" w:cs="Times New Roman"/>
        </w:rPr>
        <w:t xml:space="preserve">the </w:t>
      </w:r>
      <w:r w:rsidR="00FA3E4A">
        <w:rPr>
          <w:rFonts w:ascii="Times New Roman" w:hAnsi="Times New Roman" w:cs="Times New Roman"/>
        </w:rPr>
        <w:t xml:space="preserve">sub-baccalaureate awards that fall outside this crosswalk, I had to develop my own crosswalk presented here to proceed with this study. Future </w:t>
      </w:r>
      <w:r w:rsidR="00792519">
        <w:rPr>
          <w:rFonts w:ascii="Times New Roman" w:hAnsi="Times New Roman" w:cs="Times New Roman"/>
        </w:rPr>
        <w:t>studies</w:t>
      </w:r>
      <w:r w:rsidR="00FA3E4A">
        <w:rPr>
          <w:rFonts w:ascii="Times New Roman" w:hAnsi="Times New Roman" w:cs="Times New Roman"/>
        </w:rPr>
        <w:t xml:space="preserve"> that separate CTE from non-CTE degrees may benefit from this </w:t>
      </w:r>
      <w:r w:rsidR="00A3388D">
        <w:rPr>
          <w:rFonts w:ascii="Times New Roman" w:hAnsi="Times New Roman" w:cs="Times New Roman"/>
        </w:rPr>
        <w:t>crosswalk</w:t>
      </w:r>
      <w:r w:rsidR="00FA3E4A">
        <w:rPr>
          <w:rFonts w:ascii="Times New Roman" w:hAnsi="Times New Roman" w:cs="Times New Roman"/>
        </w:rPr>
        <w:t xml:space="preserve"> and </w:t>
      </w:r>
      <w:r w:rsidR="00A3388D">
        <w:rPr>
          <w:rFonts w:ascii="Times New Roman" w:hAnsi="Times New Roman" w:cs="Times New Roman"/>
        </w:rPr>
        <w:t xml:space="preserve">its </w:t>
      </w:r>
      <w:r w:rsidR="00FA3E4A">
        <w:rPr>
          <w:rFonts w:ascii="Times New Roman" w:hAnsi="Times New Roman" w:cs="Times New Roman"/>
        </w:rPr>
        <w:t>widely accepted clusters of academic programs</w:t>
      </w:r>
      <w:r w:rsidR="00792519">
        <w:rPr>
          <w:rFonts w:ascii="Times New Roman" w:hAnsi="Times New Roman" w:cs="Times New Roman"/>
        </w:rPr>
        <w:t>.</w:t>
      </w:r>
      <w:r w:rsidR="00CE0E32">
        <w:rPr>
          <w:rFonts w:ascii="Times New Roman" w:hAnsi="Times New Roman" w:cs="Times New Roman"/>
        </w:rPr>
        <w:t xml:space="preserve"> F</w:t>
      </w:r>
      <w:r w:rsidR="00792519">
        <w:rPr>
          <w:rFonts w:ascii="Times New Roman" w:hAnsi="Times New Roman" w:cs="Times New Roman"/>
        </w:rPr>
        <w:t xml:space="preserve">or my study, I had to rely on organizing </w:t>
      </w:r>
      <w:r w:rsidR="00BC7D8C">
        <w:rPr>
          <w:rFonts w:ascii="Times New Roman" w:hAnsi="Times New Roman" w:cs="Times New Roman"/>
        </w:rPr>
        <w:t xml:space="preserve">CIPs into categories that most resembled each other. </w:t>
      </w:r>
      <w:r w:rsidR="00B06ECA">
        <w:rPr>
          <w:rFonts w:ascii="Times New Roman" w:hAnsi="Times New Roman" w:cs="Times New Roman"/>
        </w:rPr>
        <w:tab/>
      </w:r>
    </w:p>
    <w:p w14:paraId="0C4AD630" w14:textId="3F68A5FD" w:rsidR="00CD45D6" w:rsidRPr="00CE0E32" w:rsidRDefault="00B06ECA"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I accomplished this by utilizing the complete data files for a</w:t>
      </w:r>
      <w:r w:rsidRPr="00802E7D">
        <w:rPr>
          <w:rFonts w:ascii="Times New Roman" w:hAnsi="Times New Roman" w:cs="Times New Roman"/>
        </w:rPr>
        <w:t xml:space="preserve">wards/degrees conferred by program </w:t>
      </w:r>
      <w:r w:rsidR="007F4B8E">
        <w:rPr>
          <w:rFonts w:ascii="Times New Roman" w:hAnsi="Times New Roman" w:cs="Times New Roman"/>
        </w:rPr>
        <w:t xml:space="preserve">at the </w:t>
      </w:r>
      <w:r w:rsidRPr="00802E7D">
        <w:rPr>
          <w:rFonts w:ascii="Times New Roman" w:hAnsi="Times New Roman" w:cs="Times New Roman"/>
        </w:rPr>
        <w:t>6-digit CIP code</w:t>
      </w:r>
      <w:r>
        <w:rPr>
          <w:rFonts w:ascii="Times New Roman" w:hAnsi="Times New Roman" w:cs="Times New Roman"/>
        </w:rPr>
        <w:t xml:space="preserve"> </w:t>
      </w:r>
      <w:r w:rsidR="00980928">
        <w:rPr>
          <w:rFonts w:ascii="Times New Roman" w:hAnsi="Times New Roman" w:cs="Times New Roman"/>
        </w:rPr>
        <w:t>where</w:t>
      </w:r>
      <w:r>
        <w:rPr>
          <w:rFonts w:ascii="Times New Roman" w:hAnsi="Times New Roman" w:cs="Times New Roman"/>
        </w:rPr>
        <w:t xml:space="preserve"> I utilized total degree counts by CIP code. While CIP codes were collected at the 6-digit level, data preparation and analysis of </w:t>
      </w:r>
    </w:p>
    <w:p w14:paraId="1C28509A" w14:textId="36A648C7" w:rsidR="000868E6" w:rsidRPr="00B06ECA" w:rsidRDefault="00B06ECA" w:rsidP="005046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rPr>
      </w:pPr>
      <w:r w:rsidRPr="00B06ECA">
        <w:rPr>
          <w:rFonts w:ascii="Times New Roman" w:hAnsi="Times New Roman" w:cs="Times New Roman"/>
          <w:b/>
          <w:bCs/>
        </w:rPr>
        <w:lastRenderedPageBreak/>
        <w:t>Table 3</w:t>
      </w:r>
    </w:p>
    <w:p w14:paraId="0947084A" w14:textId="77777777" w:rsidR="008714B3" w:rsidRDefault="008714B3" w:rsidP="005046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i/>
          <w:iCs/>
        </w:rPr>
      </w:pPr>
      <w:r>
        <w:rPr>
          <w:rFonts w:ascii="Times New Roman" w:hAnsi="Times New Roman" w:cs="Times New Roman"/>
          <w:i/>
          <w:iCs/>
        </w:rPr>
        <w:t>Super-CIP Codes and Corresponding 2 Digit CIP Codes</w:t>
      </w:r>
    </w:p>
    <w:p w14:paraId="0515A639" w14:textId="77777777" w:rsidR="008714B3" w:rsidRDefault="008714B3" w:rsidP="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2155"/>
        <w:gridCol w:w="6475"/>
      </w:tblGrid>
      <w:tr w:rsidR="008714B3" w14:paraId="1E7AD68D" w14:textId="77777777">
        <w:tc>
          <w:tcPr>
            <w:tcW w:w="2155" w:type="dxa"/>
          </w:tcPr>
          <w:p w14:paraId="2A969A0C" w14:textId="77777777" w:rsidR="008714B3" w:rsidRPr="002524EA"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75398F">
              <w:rPr>
                <w:rFonts w:ascii="Times New Roman" w:hAnsi="Times New Roman" w:cs="Times New Roman"/>
                <w:b/>
                <w:bCs/>
                <w:sz w:val="22"/>
                <w:szCs w:val="22"/>
              </w:rPr>
              <w:t xml:space="preserve">Super-CIP Code </w:t>
            </w:r>
            <w:r>
              <w:rPr>
                <w:rFonts w:ascii="Times New Roman" w:hAnsi="Times New Roman" w:cs="Times New Roman"/>
              </w:rPr>
              <w:t xml:space="preserve"> </w:t>
            </w:r>
          </w:p>
        </w:tc>
        <w:tc>
          <w:tcPr>
            <w:tcW w:w="6475" w:type="dxa"/>
          </w:tcPr>
          <w:p w14:paraId="6EA080D1"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sz w:val="22"/>
                <w:szCs w:val="22"/>
              </w:rPr>
            </w:pPr>
            <w:r w:rsidRPr="0075398F">
              <w:rPr>
                <w:rFonts w:ascii="Times New Roman" w:hAnsi="Times New Roman" w:cs="Times New Roman"/>
                <w:b/>
                <w:bCs/>
                <w:sz w:val="22"/>
                <w:szCs w:val="22"/>
              </w:rPr>
              <w:t>Corresponding 2 Digit CIP Codes</w:t>
            </w:r>
          </w:p>
        </w:tc>
      </w:tr>
      <w:tr w:rsidR="008714B3" w14:paraId="7FB412D6" w14:textId="77777777">
        <w:tc>
          <w:tcPr>
            <w:tcW w:w="2155" w:type="dxa"/>
          </w:tcPr>
          <w:p w14:paraId="6985A607"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75398F">
              <w:rPr>
                <w:rFonts w:ascii="Times New Roman" w:hAnsi="Times New Roman" w:cs="Times New Roman"/>
                <w:sz w:val="22"/>
                <w:szCs w:val="22"/>
              </w:rPr>
              <w:t>Science, Technology, Engineering, and Math (STEM)</w:t>
            </w:r>
          </w:p>
        </w:tc>
        <w:tc>
          <w:tcPr>
            <w:tcW w:w="6475" w:type="dxa"/>
          </w:tcPr>
          <w:p w14:paraId="473F4D55"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01 Agriculture, Agriculture Operations, and Related Sciences </w:t>
            </w:r>
          </w:p>
          <w:p w14:paraId="62869A35"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03 Natural Resources and Conservation</w:t>
            </w:r>
          </w:p>
          <w:p w14:paraId="60D6C569"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11 Computer and Information Sciences and Support Services</w:t>
            </w:r>
          </w:p>
          <w:p w14:paraId="2A602509"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14 Engineering</w:t>
            </w:r>
          </w:p>
          <w:p w14:paraId="4579A695"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15 Engineering  Technologies/Technicians  </w:t>
            </w:r>
          </w:p>
          <w:p w14:paraId="66F87393"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26 Biological and Biomedical Sciences </w:t>
            </w:r>
          </w:p>
          <w:p w14:paraId="6476B940"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27 Mathematics and Statistics </w:t>
            </w:r>
          </w:p>
          <w:p w14:paraId="39ADA6D7"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40 Physical Sciences </w:t>
            </w:r>
          </w:p>
          <w:p w14:paraId="55E650BC"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41 Science Technologies/Technicians </w:t>
            </w:r>
          </w:p>
        </w:tc>
      </w:tr>
      <w:tr w:rsidR="008714B3" w14:paraId="33039ADE" w14:textId="77777777">
        <w:tc>
          <w:tcPr>
            <w:tcW w:w="2155" w:type="dxa"/>
          </w:tcPr>
          <w:p w14:paraId="3A439414"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75398F">
              <w:rPr>
                <w:rFonts w:ascii="Times New Roman" w:hAnsi="Times New Roman" w:cs="Times New Roman"/>
                <w:sz w:val="22"/>
                <w:szCs w:val="22"/>
              </w:rPr>
              <w:t>Trades</w:t>
            </w:r>
          </w:p>
        </w:tc>
        <w:tc>
          <w:tcPr>
            <w:tcW w:w="6475" w:type="dxa"/>
          </w:tcPr>
          <w:p w14:paraId="4D94922A"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46 Construction Trades</w:t>
            </w:r>
          </w:p>
          <w:p w14:paraId="57B8395C"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47 Mechanic and Repair Technologies/Technicians </w:t>
            </w:r>
          </w:p>
          <w:p w14:paraId="517D7209"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48 Precision Production </w:t>
            </w:r>
          </w:p>
          <w:p w14:paraId="548CA786"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49 Transportation and Materials Moving</w:t>
            </w:r>
          </w:p>
        </w:tc>
      </w:tr>
      <w:tr w:rsidR="008714B3" w14:paraId="014BC257" w14:textId="77777777">
        <w:tc>
          <w:tcPr>
            <w:tcW w:w="2155" w:type="dxa"/>
          </w:tcPr>
          <w:p w14:paraId="2C5912A9"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75398F">
              <w:rPr>
                <w:rFonts w:ascii="Times New Roman" w:hAnsi="Times New Roman" w:cs="Times New Roman"/>
                <w:sz w:val="22"/>
                <w:szCs w:val="22"/>
              </w:rPr>
              <w:t xml:space="preserve">Liberal Arts </w:t>
            </w:r>
          </w:p>
        </w:tc>
        <w:tc>
          <w:tcPr>
            <w:tcW w:w="6475" w:type="dxa"/>
          </w:tcPr>
          <w:p w14:paraId="702DB954"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05 Area, Ethnic, Cultural, and Gender Studies </w:t>
            </w:r>
          </w:p>
          <w:p w14:paraId="252BC6D9"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16 Foreign Languages, Literatures, and Linguistics </w:t>
            </w:r>
          </w:p>
          <w:p w14:paraId="1B784BED"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23 English Language and Literature/Letters </w:t>
            </w:r>
          </w:p>
          <w:p w14:paraId="71057572"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24 Liberal Arts and Sciences, General Studies and Humanities </w:t>
            </w:r>
          </w:p>
          <w:p w14:paraId="79779903"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38 Philosophy and Religious Studies </w:t>
            </w:r>
          </w:p>
          <w:p w14:paraId="7C35F901"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39 Theology and Religious Vocations </w:t>
            </w:r>
          </w:p>
          <w:p w14:paraId="3D9E9160"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42 Psychology</w:t>
            </w:r>
          </w:p>
          <w:p w14:paraId="073BED04"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30 Multi/Interdisciplinary Studies </w:t>
            </w:r>
          </w:p>
          <w:p w14:paraId="21005D77"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45 Social Sciences</w:t>
            </w:r>
          </w:p>
          <w:p w14:paraId="260E5BC0"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50 Visual and Preforming Arts </w:t>
            </w:r>
          </w:p>
          <w:p w14:paraId="0FE28D19"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54 History</w:t>
            </w:r>
          </w:p>
        </w:tc>
      </w:tr>
      <w:tr w:rsidR="008714B3" w14:paraId="1125EEAE" w14:textId="77777777">
        <w:tc>
          <w:tcPr>
            <w:tcW w:w="2155" w:type="dxa"/>
          </w:tcPr>
          <w:p w14:paraId="526B374E"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75398F">
              <w:rPr>
                <w:rFonts w:ascii="Times New Roman" w:hAnsi="Times New Roman" w:cs="Times New Roman"/>
                <w:sz w:val="22"/>
                <w:szCs w:val="22"/>
              </w:rPr>
              <w:t xml:space="preserve">Human Services </w:t>
            </w:r>
          </w:p>
        </w:tc>
        <w:tc>
          <w:tcPr>
            <w:tcW w:w="6475" w:type="dxa"/>
          </w:tcPr>
          <w:p w14:paraId="763591E9"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12 Personal and Culinary Services </w:t>
            </w:r>
          </w:p>
          <w:p w14:paraId="002B9681"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19 Family and Consumer Sciences/Human Sciences </w:t>
            </w:r>
          </w:p>
          <w:p w14:paraId="233973E9"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31 Parks, Recreation, Leisure, and Fitness Studies </w:t>
            </w:r>
          </w:p>
          <w:p w14:paraId="6E206917"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32 Basic Skills </w:t>
            </w:r>
          </w:p>
          <w:p w14:paraId="6C6C8F77"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33 Citizenship Activities </w:t>
            </w:r>
          </w:p>
          <w:p w14:paraId="1BC8A8AA" w14:textId="3399154D"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34 Health-Related Knowledge </w:t>
            </w:r>
            <w:r w:rsidR="004B7D16">
              <w:rPr>
                <w:rFonts w:ascii="Times New Roman" w:hAnsi="Times New Roman" w:cs="Times New Roman"/>
                <w:sz w:val="20"/>
                <w:szCs w:val="20"/>
              </w:rPr>
              <w:t>a</w:t>
            </w:r>
            <w:r w:rsidRPr="0075398F">
              <w:rPr>
                <w:rFonts w:ascii="Times New Roman" w:hAnsi="Times New Roman" w:cs="Times New Roman"/>
                <w:sz w:val="20"/>
                <w:szCs w:val="20"/>
              </w:rPr>
              <w:t xml:space="preserve">nd Skills </w:t>
            </w:r>
          </w:p>
          <w:p w14:paraId="7BFB52E7"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35 Interpersonal and Social Skills </w:t>
            </w:r>
          </w:p>
          <w:p w14:paraId="73A85D41"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36 Leisure and Recreational Activities </w:t>
            </w:r>
          </w:p>
          <w:p w14:paraId="1D0E71B0"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37 Personal Awareness and Self Improvement </w:t>
            </w:r>
          </w:p>
          <w:p w14:paraId="4E2C3624" w14:textId="77777777" w:rsidR="008714B3" w:rsidRPr="0075398F" w:rsidRDefault="0087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53 High School/Secondary Diplomas and Certificates </w:t>
            </w:r>
          </w:p>
        </w:tc>
      </w:tr>
      <w:tr w:rsidR="000868E6" w14:paraId="71D7E7B3" w14:textId="77777777">
        <w:tc>
          <w:tcPr>
            <w:tcW w:w="2155" w:type="dxa"/>
          </w:tcPr>
          <w:p w14:paraId="7AAE454F"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75398F">
              <w:rPr>
                <w:rFonts w:ascii="Times New Roman" w:hAnsi="Times New Roman" w:cs="Times New Roman"/>
                <w:sz w:val="22"/>
                <w:szCs w:val="22"/>
              </w:rPr>
              <w:t>Professional Services</w:t>
            </w:r>
          </w:p>
        </w:tc>
        <w:tc>
          <w:tcPr>
            <w:tcW w:w="6475" w:type="dxa"/>
          </w:tcPr>
          <w:p w14:paraId="0AA5CF1B"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04 Architecture and Related Services </w:t>
            </w:r>
          </w:p>
          <w:p w14:paraId="1606E566"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09 Communication, Journalism, and Related Programs </w:t>
            </w:r>
          </w:p>
          <w:p w14:paraId="219B4270"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10 Communications Technologies/Technicians and Support Services </w:t>
            </w:r>
          </w:p>
          <w:p w14:paraId="5C5087FF"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13 Education  </w:t>
            </w:r>
          </w:p>
          <w:p w14:paraId="187E1C27"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22 Legal Professions and Studies </w:t>
            </w:r>
          </w:p>
          <w:p w14:paraId="390AC7D4"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24 Library Science </w:t>
            </w:r>
          </w:p>
          <w:p w14:paraId="6DA0EAAD"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28 Reserve Officer Training Corps (JROTC, ROTC)</w:t>
            </w:r>
          </w:p>
          <w:p w14:paraId="5157E6CF"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29 Military Technologies </w:t>
            </w:r>
          </w:p>
          <w:p w14:paraId="343E65B2"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43 Security and Protective Services </w:t>
            </w:r>
          </w:p>
          <w:p w14:paraId="58D036FA"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44 Public Administration and Social Service Professions </w:t>
            </w:r>
          </w:p>
          <w:p w14:paraId="46DA0271"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51 Health Professions and Related Clinical Services </w:t>
            </w:r>
          </w:p>
          <w:p w14:paraId="349C78ED" w14:textId="77777777" w:rsidR="000868E6" w:rsidRPr="0075398F" w:rsidRDefault="000868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5398F">
              <w:rPr>
                <w:rFonts w:ascii="Times New Roman" w:hAnsi="Times New Roman" w:cs="Times New Roman"/>
                <w:sz w:val="20"/>
                <w:szCs w:val="20"/>
              </w:rPr>
              <w:t xml:space="preserve">52 Business, Management, Marketing, and Related Support Services </w:t>
            </w:r>
          </w:p>
        </w:tc>
      </w:tr>
    </w:tbl>
    <w:p w14:paraId="2CB4A398" w14:textId="77777777" w:rsidR="00CD45D6" w:rsidRDefault="00CD45D6"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lastRenderedPageBreak/>
        <w:t xml:space="preserve">the CIP codes </w:t>
      </w:r>
      <w:proofErr w:type="gramStart"/>
      <w:r>
        <w:rPr>
          <w:rFonts w:ascii="Times New Roman" w:hAnsi="Times New Roman" w:cs="Times New Roman"/>
        </w:rPr>
        <w:t>was</w:t>
      </w:r>
      <w:proofErr w:type="gramEnd"/>
      <w:r>
        <w:rPr>
          <w:rFonts w:ascii="Times New Roman" w:hAnsi="Times New Roman" w:cs="Times New Roman"/>
        </w:rPr>
        <w:t xml:space="preserve"> done only at the 2-digit level with observations at the 6-digit level collapsed into the 2-digit level. CIP codes that changed at the 2-digit level during the</w:t>
      </w:r>
    </w:p>
    <w:p w14:paraId="28F4B90A" w14:textId="77777777" w:rsidR="00CD45D6" w:rsidRPr="00CE0E32" w:rsidRDefault="00CD45D6" w:rsidP="00CD45D6">
      <w:pPr>
        <w:spacing w:line="480" w:lineRule="auto"/>
        <w:rPr>
          <w:rFonts w:ascii="Times New Roman" w:hAnsi="Times New Roman" w:cs="Times New Roman"/>
        </w:rPr>
      </w:pPr>
      <w:r>
        <w:rPr>
          <w:rFonts w:ascii="Times New Roman" w:hAnsi="Times New Roman" w:cs="Times New Roman"/>
        </w:rPr>
        <w:t xml:space="preserve">2000 to 2010 and 2010 to 2020 typologies were put into a crosswalk that updated all CIP </w:t>
      </w:r>
      <w:r w:rsidRPr="00CE0E32">
        <w:rPr>
          <w:rFonts w:ascii="Times New Roman" w:hAnsi="Times New Roman" w:cs="Times New Roman"/>
        </w:rPr>
        <w:t>codes to the current 2020 framework. I collected outcome data from 2000 to 2022 for 23 years of data and appended this data together into a panel data format. My outcome data</w:t>
      </w:r>
      <w:r>
        <w:rPr>
          <w:rFonts w:ascii="Times New Roman" w:hAnsi="Times New Roman" w:cs="Times New Roman"/>
        </w:rPr>
        <w:t xml:space="preserve"> </w:t>
      </w:r>
    </w:p>
    <w:p w14:paraId="44014B84" w14:textId="45CF5771" w:rsidR="003C686A" w:rsidRDefault="003C686A"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set included the following variables </w:t>
      </w:r>
      <w:r w:rsidRPr="00BD2BC3">
        <w:rPr>
          <w:rFonts w:ascii="Times New Roman" w:hAnsi="Times New Roman" w:cs="Times New Roman"/>
        </w:rPr>
        <w:t xml:space="preserve">unique </w:t>
      </w:r>
      <w:r>
        <w:rPr>
          <w:rFonts w:ascii="Times New Roman" w:hAnsi="Times New Roman" w:cs="Times New Roman"/>
        </w:rPr>
        <w:t>unit identification</w:t>
      </w:r>
      <w:r w:rsidRPr="00BD2BC3">
        <w:rPr>
          <w:rFonts w:ascii="Times New Roman" w:hAnsi="Times New Roman" w:cs="Times New Roman"/>
        </w:rPr>
        <w:t xml:space="preserve"> </w:t>
      </w:r>
      <w:r>
        <w:rPr>
          <w:rFonts w:ascii="Times New Roman" w:hAnsi="Times New Roman" w:cs="Times New Roman"/>
        </w:rPr>
        <w:t xml:space="preserve">(UnitID) </w:t>
      </w:r>
      <w:r w:rsidRPr="00BD2BC3">
        <w:rPr>
          <w:rFonts w:ascii="Times New Roman" w:hAnsi="Times New Roman" w:cs="Times New Roman"/>
        </w:rPr>
        <w:t>codes</w:t>
      </w:r>
      <w:r>
        <w:rPr>
          <w:rFonts w:ascii="Times New Roman" w:hAnsi="Times New Roman" w:cs="Times New Roman"/>
        </w:rPr>
        <w:t>, CIP codes, award level indicators, and count of completions for that observation.</w:t>
      </w:r>
    </w:p>
    <w:p w14:paraId="7A8B924D" w14:textId="71CA9150" w:rsidR="00D505A4" w:rsidRDefault="003C686A"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2F73D3">
        <w:rPr>
          <w:rFonts w:ascii="Times New Roman" w:hAnsi="Times New Roman" w:cs="Times New Roman"/>
        </w:rPr>
        <w:t>Following this, directory information from the institutional characteristics and some financial data for public institutions from IPEDS surveys were merged into the data set. This additional data was utilized for identifying institution</w:t>
      </w:r>
      <w:r w:rsidR="00DA4356">
        <w:rPr>
          <w:rFonts w:ascii="Times New Roman" w:hAnsi="Times New Roman" w:cs="Times New Roman"/>
        </w:rPr>
        <w:t>al</w:t>
      </w:r>
      <w:r w:rsidR="002F73D3">
        <w:rPr>
          <w:rFonts w:ascii="Times New Roman" w:hAnsi="Times New Roman" w:cs="Times New Roman"/>
        </w:rPr>
        <w:t xml:space="preserve"> characteristics and sorting institutions into various models explored in this study respectively. </w:t>
      </w:r>
      <w:r w:rsidR="00F132AD">
        <w:rPr>
          <w:rFonts w:ascii="Times New Roman" w:hAnsi="Times New Roman" w:cs="Times New Roman"/>
        </w:rPr>
        <w:t xml:space="preserve">This merging of data from IPEDS enabled me to refine my samples based on institutional control </w:t>
      </w:r>
      <w:r w:rsidR="00C54C09">
        <w:rPr>
          <w:rFonts w:ascii="Times New Roman" w:hAnsi="Times New Roman" w:cs="Times New Roman"/>
        </w:rPr>
        <w:t>as well as</w:t>
      </w:r>
      <w:r w:rsidR="00F132AD">
        <w:rPr>
          <w:rFonts w:ascii="Times New Roman" w:hAnsi="Times New Roman" w:cs="Times New Roman"/>
        </w:rPr>
        <w:t xml:space="preserve"> access to state appropriations </w:t>
      </w:r>
      <w:r w:rsidR="00C54C09">
        <w:rPr>
          <w:rFonts w:ascii="Times New Roman" w:hAnsi="Times New Roman" w:cs="Times New Roman"/>
        </w:rPr>
        <w:t>to construct my four sample groups</w:t>
      </w:r>
      <w:r w:rsidR="00F132AD">
        <w:rPr>
          <w:rFonts w:ascii="Times New Roman" w:hAnsi="Times New Roman" w:cs="Times New Roman"/>
        </w:rPr>
        <w:t xml:space="preserve">. </w:t>
      </w:r>
    </w:p>
    <w:p w14:paraId="61A0CC6E" w14:textId="77777777" w:rsidR="00D505A4" w:rsidRPr="00C63272" w:rsidRDefault="00D505A4" w:rsidP="00CD45D6">
      <w:pPr>
        <w:pStyle w:val="Heading3"/>
        <w:numPr>
          <w:ilvl w:val="0"/>
          <w:numId w:val="0"/>
        </w:numPr>
        <w:spacing w:before="0" w:after="0"/>
      </w:pPr>
      <w:bookmarkStart w:id="58" w:name="_Toc183282274"/>
      <w:r w:rsidRPr="00C63272">
        <w:t>Treatment Data Collection and Preparation</w:t>
      </w:r>
      <w:bookmarkEnd w:id="58"/>
      <w:r w:rsidRPr="00C63272">
        <w:t xml:space="preserve"> </w:t>
      </w:r>
    </w:p>
    <w:p w14:paraId="5FF45875" w14:textId="77777777" w:rsidR="002620DF" w:rsidRDefault="00D505A4"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Utilizing College Promise’s MyPromise tool, I created a list of the 441 recorded </w:t>
      </w:r>
      <w:r w:rsidR="00244577">
        <w:rPr>
          <w:rFonts w:ascii="Times New Roman" w:hAnsi="Times New Roman" w:cs="Times New Roman"/>
        </w:rPr>
        <w:t xml:space="preserve">promise </w:t>
      </w:r>
      <w:r>
        <w:rPr>
          <w:rFonts w:ascii="Times New Roman" w:hAnsi="Times New Roman" w:cs="Times New Roman"/>
        </w:rPr>
        <w:t xml:space="preserve">programs in existence as of July 2022. I then conducted an internet search to identify the start date of each of these promise programs. Start dates for programs were identified via local newspapers reports, press releases, and institutional websites. These start dates were added to the list of promise programs for use later as a treatment adoption date variable. </w:t>
      </w:r>
      <w:r w:rsidR="00A2370A">
        <w:rPr>
          <w:rFonts w:ascii="Times New Roman" w:hAnsi="Times New Roman" w:cs="Times New Roman"/>
        </w:rPr>
        <w:t xml:space="preserve">Of the 441 programs, I was able to identify start dates for </w:t>
      </w:r>
      <w:r w:rsidR="00A75F82">
        <w:rPr>
          <w:rFonts w:ascii="Times New Roman" w:hAnsi="Times New Roman" w:cs="Times New Roman"/>
        </w:rPr>
        <w:t xml:space="preserve">411 promise programs. </w:t>
      </w:r>
    </w:p>
    <w:p w14:paraId="336317D8" w14:textId="53078B7E" w:rsidR="00BF28E7" w:rsidRDefault="002620DF"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lastRenderedPageBreak/>
        <w:tab/>
      </w:r>
      <w:r w:rsidR="00D505A4">
        <w:rPr>
          <w:rFonts w:ascii="Times New Roman" w:hAnsi="Times New Roman" w:cs="Times New Roman"/>
        </w:rPr>
        <w:t>Among this list of 4</w:t>
      </w:r>
      <w:r w:rsidR="00A75F82">
        <w:rPr>
          <w:rFonts w:ascii="Times New Roman" w:hAnsi="Times New Roman" w:cs="Times New Roman"/>
        </w:rPr>
        <w:t>1</w:t>
      </w:r>
      <w:r w:rsidR="00D505A4">
        <w:rPr>
          <w:rFonts w:ascii="Times New Roman" w:hAnsi="Times New Roman" w:cs="Times New Roman"/>
        </w:rPr>
        <w:t>1 promise programs, I identified 310 programs that could be utilized for a sub-baccalaureate award</w:t>
      </w:r>
      <w:r w:rsidR="00AB0ADC">
        <w:rPr>
          <w:rFonts w:ascii="Times New Roman" w:hAnsi="Times New Roman" w:cs="Times New Roman"/>
        </w:rPr>
        <w:t xml:space="preserve"> while others </w:t>
      </w:r>
      <w:r w:rsidR="00B67FA0">
        <w:rPr>
          <w:rFonts w:ascii="Times New Roman" w:hAnsi="Times New Roman" w:cs="Times New Roman"/>
        </w:rPr>
        <w:t>could only be utilized for four-year degrees</w:t>
      </w:r>
      <w:r w:rsidR="00D505A4">
        <w:rPr>
          <w:rFonts w:ascii="Times New Roman" w:hAnsi="Times New Roman" w:cs="Times New Roman"/>
        </w:rPr>
        <w:t xml:space="preserve">. These 310 promise programs affected 645 institutions. However, not all 645 instances of treatment were appropriate for inclusion in this study. Of the 310 promise programs, 72 programs affecting 595 unique sub-baccalaureate granting institutions had potential to elicit a scattering effect on student enrollment. I identified two </w:t>
      </w:r>
      <w:r w:rsidR="00666695">
        <w:rPr>
          <w:rFonts w:ascii="Times New Roman" w:hAnsi="Times New Roman" w:cs="Times New Roman"/>
        </w:rPr>
        <w:t>potential</w:t>
      </w:r>
      <w:r w:rsidR="00D505A4">
        <w:rPr>
          <w:rFonts w:ascii="Times New Roman" w:hAnsi="Times New Roman" w:cs="Times New Roman"/>
        </w:rPr>
        <w:t xml:space="preserve"> ca</w:t>
      </w:r>
      <w:r w:rsidR="00666695">
        <w:rPr>
          <w:rFonts w:ascii="Times New Roman" w:hAnsi="Times New Roman" w:cs="Times New Roman"/>
        </w:rPr>
        <w:t>ses</w:t>
      </w:r>
      <w:r w:rsidR="00D505A4">
        <w:rPr>
          <w:rFonts w:ascii="Times New Roman" w:hAnsi="Times New Roman" w:cs="Times New Roman"/>
        </w:rPr>
        <w:t xml:space="preserve"> of</w:t>
      </w:r>
      <w:r w:rsidR="00D85CE2">
        <w:rPr>
          <w:rFonts w:ascii="Times New Roman" w:hAnsi="Times New Roman" w:cs="Times New Roman"/>
        </w:rPr>
        <w:t xml:space="preserve"> a</w:t>
      </w:r>
      <w:r w:rsidR="00D505A4">
        <w:rPr>
          <w:rFonts w:ascii="Times New Roman" w:hAnsi="Times New Roman" w:cs="Times New Roman"/>
        </w:rPr>
        <w:t xml:space="preserve"> scattering effect</w:t>
      </w:r>
      <w:r w:rsidR="00D85CE2">
        <w:rPr>
          <w:rFonts w:ascii="Times New Roman" w:hAnsi="Times New Roman" w:cs="Times New Roman"/>
        </w:rPr>
        <w:t xml:space="preserve"> in my data</w:t>
      </w:r>
      <w:r w:rsidR="00D505A4">
        <w:rPr>
          <w:rFonts w:ascii="Times New Roman" w:hAnsi="Times New Roman" w:cs="Times New Roman"/>
        </w:rPr>
        <w:t xml:space="preserve">. </w:t>
      </w:r>
    </w:p>
    <w:p w14:paraId="0502D962" w14:textId="6A49E478" w:rsidR="002958E5" w:rsidRPr="0097233A" w:rsidRDefault="00BF28E7"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2620DF">
        <w:rPr>
          <w:rFonts w:ascii="Times New Roman" w:hAnsi="Times New Roman" w:cs="Times New Roman"/>
        </w:rPr>
        <w:t>First,</w:t>
      </w:r>
      <w:r w:rsidR="00165770">
        <w:rPr>
          <w:rFonts w:ascii="Times New Roman" w:hAnsi="Times New Roman" w:cs="Times New Roman"/>
        </w:rPr>
        <w:t xml:space="preserve"> I removed any programs that </w:t>
      </w:r>
      <w:r w:rsidR="00D81712">
        <w:rPr>
          <w:rFonts w:ascii="Times New Roman" w:hAnsi="Times New Roman" w:cs="Times New Roman"/>
        </w:rPr>
        <w:t>gave students a choice to</w:t>
      </w:r>
      <w:r w:rsidR="00165770">
        <w:rPr>
          <w:rFonts w:ascii="Times New Roman" w:hAnsi="Times New Roman" w:cs="Times New Roman"/>
        </w:rPr>
        <w:t xml:space="preserve"> </w:t>
      </w:r>
      <w:r w:rsidR="00D81712">
        <w:rPr>
          <w:rFonts w:ascii="Times New Roman" w:hAnsi="Times New Roman" w:cs="Times New Roman"/>
        </w:rPr>
        <w:t>use the award for</w:t>
      </w:r>
      <w:r w:rsidR="00165770">
        <w:rPr>
          <w:rFonts w:ascii="Times New Roman" w:hAnsi="Times New Roman" w:cs="Times New Roman"/>
        </w:rPr>
        <w:t xml:space="preserve"> either a </w:t>
      </w:r>
      <w:r w:rsidR="00B67FA0">
        <w:rPr>
          <w:rFonts w:ascii="Times New Roman" w:hAnsi="Times New Roman" w:cs="Times New Roman"/>
        </w:rPr>
        <w:t>bachelor’s</w:t>
      </w:r>
      <w:r w:rsidR="00165770">
        <w:rPr>
          <w:rFonts w:ascii="Times New Roman" w:hAnsi="Times New Roman" w:cs="Times New Roman"/>
        </w:rPr>
        <w:t xml:space="preserve"> degree or sub-baccalaureate program. This is because eligible students for these programs</w:t>
      </w:r>
      <w:r w:rsidR="002620DF">
        <w:rPr>
          <w:rFonts w:ascii="Times New Roman" w:hAnsi="Times New Roman" w:cs="Times New Roman"/>
        </w:rPr>
        <w:t xml:space="preserve"> might scatter across sub-baccalaureate and baccalaureate level programs. </w:t>
      </w:r>
      <w:r>
        <w:rPr>
          <w:rFonts w:ascii="Times New Roman" w:hAnsi="Times New Roman" w:cs="Times New Roman"/>
        </w:rPr>
        <w:t xml:space="preserve">To answer the research questions of this study, I opted to remove these programs from both treatment and comparison groups to </w:t>
      </w:r>
      <w:r w:rsidR="003C686A">
        <w:rPr>
          <w:rFonts w:ascii="Times New Roman" w:hAnsi="Times New Roman" w:cs="Times New Roman"/>
        </w:rPr>
        <w:t>simplify</w:t>
      </w:r>
      <w:r>
        <w:rPr>
          <w:rFonts w:ascii="Times New Roman" w:hAnsi="Times New Roman" w:cs="Times New Roman"/>
        </w:rPr>
        <w:t xml:space="preserve"> the process of estimating the effect of free college adoption on sub-baccalaureate award production. Second, if a promise program affected high school graduates </w:t>
      </w:r>
      <w:r w:rsidR="00245ADA">
        <w:rPr>
          <w:rFonts w:ascii="Times New Roman" w:hAnsi="Times New Roman" w:cs="Times New Roman"/>
        </w:rPr>
        <w:t xml:space="preserve">in </w:t>
      </w:r>
      <w:r>
        <w:rPr>
          <w:rFonts w:ascii="Times New Roman" w:hAnsi="Times New Roman" w:cs="Times New Roman"/>
        </w:rPr>
        <w:t xml:space="preserve">a specific local area such as city or county but allowed for those students to enroll in any institution across the state, those students may scatter </w:t>
      </w:r>
      <w:r w:rsidR="00245ADA">
        <w:rPr>
          <w:rFonts w:ascii="Times New Roman" w:hAnsi="Times New Roman" w:cs="Times New Roman"/>
        </w:rPr>
        <w:t xml:space="preserve">across the state </w:t>
      </w:r>
      <w:r>
        <w:rPr>
          <w:rFonts w:ascii="Times New Roman" w:hAnsi="Times New Roman" w:cs="Times New Roman"/>
        </w:rPr>
        <w:t xml:space="preserve">in a way that is difficult to account for in my models with institutional level data. </w:t>
      </w:r>
      <w:r w:rsidRPr="0097233A">
        <w:rPr>
          <w:rFonts w:ascii="Times New Roman" w:hAnsi="Times New Roman" w:cs="Times New Roman"/>
        </w:rPr>
        <w:t xml:space="preserve">Given my lack of access to student-level data to account for this, I opted to remove these 72 promise programs and the sub-baccalaureate institutions they affected from both the treatment and comparison groups of my study. </w:t>
      </w:r>
    </w:p>
    <w:p w14:paraId="30C3DA62" w14:textId="595A40C5" w:rsidR="00482843" w:rsidRPr="0097233A" w:rsidRDefault="002958E5"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97233A">
        <w:rPr>
          <w:rFonts w:ascii="Times New Roman" w:hAnsi="Times New Roman" w:cs="Times New Roman"/>
        </w:rPr>
        <w:tab/>
      </w:r>
      <w:r w:rsidR="00E673F3" w:rsidRPr="0097233A">
        <w:rPr>
          <w:rFonts w:ascii="Times New Roman" w:hAnsi="Times New Roman" w:cs="Times New Roman"/>
        </w:rPr>
        <w:t xml:space="preserve">Another </w:t>
      </w:r>
      <w:r w:rsidR="00C05253" w:rsidRPr="0097233A">
        <w:rPr>
          <w:rFonts w:ascii="Times New Roman" w:hAnsi="Times New Roman" w:cs="Times New Roman"/>
        </w:rPr>
        <w:t>5</w:t>
      </w:r>
      <w:r w:rsidR="009053FA" w:rsidRPr="0097233A">
        <w:rPr>
          <w:rFonts w:ascii="Times New Roman" w:hAnsi="Times New Roman" w:cs="Times New Roman"/>
        </w:rPr>
        <w:t>5</w:t>
      </w:r>
      <w:r w:rsidR="00E673F3" w:rsidRPr="0097233A">
        <w:rPr>
          <w:rFonts w:ascii="Times New Roman" w:hAnsi="Times New Roman" w:cs="Times New Roman"/>
        </w:rPr>
        <w:t xml:space="preserve"> promise programs were removed</w:t>
      </w:r>
      <w:r w:rsidR="0010186B" w:rsidRPr="0097233A">
        <w:rPr>
          <w:rFonts w:ascii="Times New Roman" w:hAnsi="Times New Roman" w:cs="Times New Roman"/>
        </w:rPr>
        <w:t xml:space="preserve"> from both the treatment and comparison groups</w:t>
      </w:r>
      <w:r w:rsidR="00E673F3" w:rsidRPr="0097233A">
        <w:rPr>
          <w:rFonts w:ascii="Times New Roman" w:hAnsi="Times New Roman" w:cs="Times New Roman"/>
        </w:rPr>
        <w:t xml:space="preserve"> for </w:t>
      </w:r>
      <w:r w:rsidR="0010186B" w:rsidRPr="0097233A">
        <w:rPr>
          <w:rFonts w:ascii="Times New Roman" w:hAnsi="Times New Roman" w:cs="Times New Roman"/>
        </w:rPr>
        <w:t>the following reasons:</w:t>
      </w:r>
    </w:p>
    <w:p w14:paraId="3ED7B0A7" w14:textId="611B6281" w:rsidR="0041178E" w:rsidRPr="0097233A" w:rsidRDefault="00987DEB" w:rsidP="00CD45D6">
      <w:pPr>
        <w:pStyle w:val="ListParagraph"/>
        <w:numPr>
          <w:ilvl w:val="0"/>
          <w:numId w:val="25"/>
        </w:numPr>
        <w:rPr>
          <w:rFonts w:ascii="Times New Roman" w:hAnsi="Times New Roman" w:cs="Times New Roman"/>
        </w:rPr>
      </w:pPr>
      <w:r w:rsidRPr="0097233A">
        <w:rPr>
          <w:rFonts w:ascii="Times New Roman" w:hAnsi="Times New Roman" w:cs="Times New Roman"/>
        </w:rPr>
        <w:lastRenderedPageBreak/>
        <w:t>The</w:t>
      </w:r>
      <w:r w:rsidR="0041178E" w:rsidRPr="0097233A">
        <w:rPr>
          <w:rFonts w:ascii="Times New Roman" w:hAnsi="Times New Roman" w:cs="Times New Roman"/>
        </w:rPr>
        <w:t xml:space="preserve"> data </w:t>
      </w:r>
      <w:r w:rsidR="003C686A">
        <w:rPr>
          <w:rFonts w:ascii="Times New Roman" w:hAnsi="Times New Roman" w:cs="Times New Roman"/>
        </w:rPr>
        <w:t xml:space="preserve">of the </w:t>
      </w:r>
      <w:r w:rsidR="003C686A" w:rsidRPr="0097233A">
        <w:rPr>
          <w:rFonts w:ascii="Times New Roman" w:hAnsi="Times New Roman" w:cs="Times New Roman"/>
        </w:rPr>
        <w:t>programs</w:t>
      </w:r>
      <w:r w:rsidR="003C686A">
        <w:rPr>
          <w:rFonts w:ascii="Times New Roman" w:hAnsi="Times New Roman" w:cs="Times New Roman"/>
        </w:rPr>
        <w:t>’</w:t>
      </w:r>
      <w:r w:rsidR="003C686A" w:rsidRPr="0097233A">
        <w:rPr>
          <w:rFonts w:ascii="Times New Roman" w:hAnsi="Times New Roman" w:cs="Times New Roman"/>
        </w:rPr>
        <w:t xml:space="preserve"> </w:t>
      </w:r>
      <w:r w:rsidR="003C686A">
        <w:rPr>
          <w:rFonts w:ascii="Times New Roman" w:hAnsi="Times New Roman" w:cs="Times New Roman"/>
        </w:rPr>
        <w:t>served</w:t>
      </w:r>
      <w:r w:rsidR="003C686A" w:rsidRPr="0097233A">
        <w:rPr>
          <w:rFonts w:ascii="Times New Roman" w:hAnsi="Times New Roman" w:cs="Times New Roman"/>
        </w:rPr>
        <w:t xml:space="preserve"> institutions </w:t>
      </w:r>
      <w:r w:rsidR="0041178E" w:rsidRPr="0097233A">
        <w:rPr>
          <w:rFonts w:ascii="Times New Roman" w:hAnsi="Times New Roman" w:cs="Times New Roman"/>
        </w:rPr>
        <w:t>were not reported in IPEDS (two programs)</w:t>
      </w:r>
      <w:r w:rsidRPr="0097233A">
        <w:rPr>
          <w:rFonts w:ascii="Times New Roman" w:hAnsi="Times New Roman" w:cs="Times New Roman"/>
        </w:rPr>
        <w:t>.</w:t>
      </w:r>
      <w:r w:rsidR="007F08BE" w:rsidRPr="0097233A">
        <w:rPr>
          <w:rFonts w:ascii="Times New Roman" w:hAnsi="Times New Roman" w:cs="Times New Roman"/>
        </w:rPr>
        <w:t xml:space="preserve"> </w:t>
      </w:r>
    </w:p>
    <w:p w14:paraId="6530A1B7" w14:textId="082DB0C7" w:rsidR="0041178E" w:rsidRPr="0097233A" w:rsidRDefault="00987DEB" w:rsidP="00CD45D6">
      <w:pPr>
        <w:pStyle w:val="ListParagraph"/>
        <w:numPr>
          <w:ilvl w:val="0"/>
          <w:numId w:val="25"/>
        </w:numPr>
        <w:rPr>
          <w:rFonts w:ascii="Times New Roman" w:hAnsi="Times New Roman" w:cs="Times New Roman"/>
        </w:rPr>
      </w:pPr>
      <w:r w:rsidRPr="0097233A">
        <w:rPr>
          <w:rFonts w:ascii="Times New Roman" w:hAnsi="Times New Roman" w:cs="Times New Roman"/>
        </w:rPr>
        <w:t>The programs w</w:t>
      </w:r>
      <w:r w:rsidR="0041178E" w:rsidRPr="0097233A">
        <w:rPr>
          <w:rFonts w:ascii="Times New Roman" w:hAnsi="Times New Roman" w:cs="Times New Roman"/>
        </w:rPr>
        <w:t>ere actually early postsecondary education opportunities for high school students such as dual enrollment (three programs)</w:t>
      </w:r>
      <w:r w:rsidRPr="0097233A">
        <w:rPr>
          <w:rFonts w:ascii="Times New Roman" w:hAnsi="Times New Roman" w:cs="Times New Roman"/>
        </w:rPr>
        <w:t>.</w:t>
      </w:r>
      <w:r w:rsidR="00E92375" w:rsidRPr="0097233A">
        <w:rPr>
          <w:rFonts w:ascii="Times New Roman" w:hAnsi="Times New Roman" w:cs="Times New Roman"/>
        </w:rPr>
        <w:t xml:space="preserve"> </w:t>
      </w:r>
    </w:p>
    <w:p w14:paraId="11FBA3E2" w14:textId="2E3F2975" w:rsidR="00A13AEB" w:rsidRPr="0097233A" w:rsidRDefault="00987DEB" w:rsidP="00CD45D6">
      <w:pPr>
        <w:pStyle w:val="ListParagraph"/>
        <w:numPr>
          <w:ilvl w:val="0"/>
          <w:numId w:val="25"/>
        </w:numPr>
        <w:rPr>
          <w:rFonts w:ascii="Times New Roman" w:hAnsi="Times New Roman" w:cs="Times New Roman"/>
        </w:rPr>
      </w:pPr>
      <w:r w:rsidRPr="0097233A">
        <w:rPr>
          <w:rFonts w:ascii="Times New Roman" w:hAnsi="Times New Roman" w:cs="Times New Roman"/>
        </w:rPr>
        <w:t>The programs w</w:t>
      </w:r>
      <w:r w:rsidR="00A13AEB" w:rsidRPr="0097233A">
        <w:rPr>
          <w:rFonts w:ascii="Times New Roman" w:hAnsi="Times New Roman" w:cs="Times New Roman"/>
        </w:rPr>
        <w:t>ere in operation prior to my sampled timeframe (</w:t>
      </w:r>
      <w:r w:rsidR="00645702" w:rsidRPr="0097233A">
        <w:rPr>
          <w:rFonts w:ascii="Times New Roman" w:hAnsi="Times New Roman" w:cs="Times New Roman"/>
        </w:rPr>
        <w:t>four</w:t>
      </w:r>
      <w:r w:rsidR="00A13AEB" w:rsidRPr="0097233A">
        <w:rPr>
          <w:rFonts w:ascii="Times New Roman" w:hAnsi="Times New Roman" w:cs="Times New Roman"/>
        </w:rPr>
        <w:t xml:space="preserve"> programs)</w:t>
      </w:r>
      <w:r w:rsidRPr="0097233A">
        <w:rPr>
          <w:rFonts w:ascii="Times New Roman" w:hAnsi="Times New Roman" w:cs="Times New Roman"/>
        </w:rPr>
        <w:t>.</w:t>
      </w:r>
      <w:r w:rsidR="00D842AA" w:rsidRPr="0097233A">
        <w:rPr>
          <w:rFonts w:ascii="Times New Roman" w:hAnsi="Times New Roman" w:cs="Times New Roman"/>
        </w:rPr>
        <w:t xml:space="preserve"> </w:t>
      </w:r>
    </w:p>
    <w:p w14:paraId="3D82F3A7" w14:textId="1FDA7363" w:rsidR="0041178E" w:rsidRPr="0097233A" w:rsidRDefault="00987DEB" w:rsidP="00CD45D6">
      <w:pPr>
        <w:pStyle w:val="ListParagraph"/>
        <w:numPr>
          <w:ilvl w:val="0"/>
          <w:numId w:val="25"/>
        </w:numPr>
        <w:rPr>
          <w:rFonts w:ascii="Times New Roman" w:hAnsi="Times New Roman" w:cs="Times New Roman"/>
        </w:rPr>
      </w:pPr>
      <w:r w:rsidRPr="0097233A">
        <w:rPr>
          <w:rFonts w:ascii="Times New Roman" w:hAnsi="Times New Roman" w:cs="Times New Roman"/>
        </w:rPr>
        <w:t xml:space="preserve">The programs did </w:t>
      </w:r>
      <w:r w:rsidR="0041178E" w:rsidRPr="0097233A">
        <w:rPr>
          <w:rFonts w:ascii="Times New Roman" w:hAnsi="Times New Roman" w:cs="Times New Roman"/>
        </w:rPr>
        <w:t>not have a findable start date (five programs)</w:t>
      </w:r>
      <w:r w:rsidRPr="0097233A">
        <w:rPr>
          <w:rFonts w:ascii="Times New Roman" w:hAnsi="Times New Roman" w:cs="Times New Roman"/>
        </w:rPr>
        <w:t>.</w:t>
      </w:r>
      <w:r w:rsidR="0041178E" w:rsidRPr="0097233A">
        <w:rPr>
          <w:rFonts w:ascii="Times New Roman" w:hAnsi="Times New Roman" w:cs="Times New Roman"/>
        </w:rPr>
        <w:t xml:space="preserve"> </w:t>
      </w:r>
    </w:p>
    <w:p w14:paraId="41766317" w14:textId="43D1CE47" w:rsidR="0041178E" w:rsidRPr="0097233A" w:rsidRDefault="00987DEB" w:rsidP="00CD45D6">
      <w:pPr>
        <w:pStyle w:val="ListParagraph"/>
        <w:numPr>
          <w:ilvl w:val="0"/>
          <w:numId w:val="25"/>
        </w:numPr>
        <w:rPr>
          <w:rFonts w:ascii="Times New Roman" w:hAnsi="Times New Roman" w:cs="Times New Roman"/>
        </w:rPr>
      </w:pPr>
      <w:r w:rsidRPr="0097233A">
        <w:rPr>
          <w:rFonts w:ascii="Times New Roman" w:hAnsi="Times New Roman" w:cs="Times New Roman"/>
        </w:rPr>
        <w:t xml:space="preserve">The programs </w:t>
      </w:r>
      <w:r w:rsidR="0041178E" w:rsidRPr="0097233A">
        <w:rPr>
          <w:rFonts w:ascii="Times New Roman" w:hAnsi="Times New Roman" w:cs="Times New Roman"/>
        </w:rPr>
        <w:t xml:space="preserve">were </w:t>
      </w:r>
      <w:r w:rsidR="00A13AEB" w:rsidRPr="0097233A">
        <w:rPr>
          <w:rFonts w:ascii="Times New Roman" w:hAnsi="Times New Roman" w:cs="Times New Roman"/>
        </w:rPr>
        <w:t>merit</w:t>
      </w:r>
      <w:r w:rsidR="0041178E" w:rsidRPr="0097233A">
        <w:rPr>
          <w:rFonts w:ascii="Times New Roman" w:hAnsi="Times New Roman" w:cs="Times New Roman"/>
        </w:rPr>
        <w:t xml:space="preserve"> scholarships (six programs)</w:t>
      </w:r>
      <w:r w:rsidRPr="0097233A">
        <w:rPr>
          <w:rFonts w:ascii="Times New Roman" w:hAnsi="Times New Roman" w:cs="Times New Roman"/>
        </w:rPr>
        <w:t>.</w:t>
      </w:r>
      <w:r w:rsidR="0041178E" w:rsidRPr="0097233A">
        <w:rPr>
          <w:rFonts w:ascii="Times New Roman" w:hAnsi="Times New Roman" w:cs="Times New Roman"/>
        </w:rPr>
        <w:t xml:space="preserve">, </w:t>
      </w:r>
    </w:p>
    <w:p w14:paraId="401E3F3D" w14:textId="3E9DB39A" w:rsidR="000C0EFC" w:rsidRPr="0097233A" w:rsidRDefault="00987DEB" w:rsidP="00CD45D6">
      <w:pPr>
        <w:pStyle w:val="ListParagraph"/>
        <w:numPr>
          <w:ilvl w:val="0"/>
          <w:numId w:val="25"/>
        </w:numPr>
        <w:rPr>
          <w:rFonts w:ascii="Times New Roman" w:hAnsi="Times New Roman" w:cs="Times New Roman"/>
        </w:rPr>
      </w:pPr>
      <w:r w:rsidRPr="0097233A">
        <w:rPr>
          <w:rFonts w:ascii="Times New Roman" w:hAnsi="Times New Roman" w:cs="Times New Roman"/>
        </w:rPr>
        <w:t xml:space="preserve">There </w:t>
      </w:r>
      <w:r w:rsidR="007F44B8" w:rsidRPr="0097233A">
        <w:rPr>
          <w:rFonts w:ascii="Times New Roman" w:hAnsi="Times New Roman" w:cs="Times New Roman"/>
        </w:rPr>
        <w:t xml:space="preserve">were instances where multiple programs were affecting a single unit </w:t>
      </w:r>
      <w:r w:rsidR="00F51F08" w:rsidRPr="0097233A">
        <w:rPr>
          <w:rFonts w:ascii="Times New Roman" w:hAnsi="Times New Roman" w:cs="Times New Roman"/>
        </w:rPr>
        <w:t xml:space="preserve">in a way that it was unclear what program assisted </w:t>
      </w:r>
      <w:r w:rsidR="00831855" w:rsidRPr="0097233A">
        <w:rPr>
          <w:rFonts w:ascii="Times New Roman" w:hAnsi="Times New Roman" w:cs="Times New Roman"/>
        </w:rPr>
        <w:t xml:space="preserve">which </w:t>
      </w:r>
      <w:r w:rsidR="00F51F08" w:rsidRPr="0097233A">
        <w:rPr>
          <w:rFonts w:ascii="Times New Roman" w:hAnsi="Times New Roman" w:cs="Times New Roman"/>
        </w:rPr>
        <w:t xml:space="preserve">students (ten </w:t>
      </w:r>
      <w:r w:rsidR="00A879B7" w:rsidRPr="0097233A">
        <w:rPr>
          <w:rFonts w:ascii="Times New Roman" w:hAnsi="Times New Roman" w:cs="Times New Roman"/>
        </w:rPr>
        <w:t>programs</w:t>
      </w:r>
      <w:r w:rsidR="00F51F08" w:rsidRPr="0097233A">
        <w:rPr>
          <w:rFonts w:ascii="Times New Roman" w:hAnsi="Times New Roman" w:cs="Times New Roman"/>
        </w:rPr>
        <w:t>)</w:t>
      </w:r>
      <w:r w:rsidRPr="0097233A">
        <w:rPr>
          <w:rFonts w:ascii="Times New Roman" w:hAnsi="Times New Roman" w:cs="Times New Roman"/>
        </w:rPr>
        <w:t>.</w:t>
      </w:r>
      <w:r w:rsidR="00A13AEB" w:rsidRPr="0097233A">
        <w:rPr>
          <w:rFonts w:ascii="Times New Roman" w:hAnsi="Times New Roman" w:cs="Times New Roman"/>
        </w:rPr>
        <w:t xml:space="preserve"> </w:t>
      </w:r>
      <w:r w:rsidR="003820C3" w:rsidRPr="0097233A">
        <w:rPr>
          <w:rFonts w:ascii="Times New Roman" w:hAnsi="Times New Roman" w:cs="Times New Roman"/>
        </w:rPr>
        <w:t xml:space="preserve">As an example for this comparatively complex reason for removal, </w:t>
      </w:r>
      <w:r w:rsidR="00ED4491" w:rsidRPr="0097233A">
        <w:rPr>
          <w:rFonts w:ascii="Times New Roman" w:hAnsi="Times New Roman" w:cs="Times New Roman"/>
        </w:rPr>
        <w:t xml:space="preserve">Cerra Cossa Community College </w:t>
      </w:r>
      <w:r w:rsidR="00FA3813" w:rsidRPr="0097233A">
        <w:rPr>
          <w:rFonts w:ascii="Times New Roman" w:hAnsi="Times New Roman" w:cs="Times New Roman"/>
        </w:rPr>
        <w:t>in California is served by three active promise programs</w:t>
      </w:r>
      <w:r w:rsidR="00831855" w:rsidRPr="0097233A">
        <w:rPr>
          <w:rFonts w:ascii="Times New Roman" w:hAnsi="Times New Roman" w:cs="Times New Roman"/>
        </w:rPr>
        <w:t xml:space="preserve"> that each served a specific sub-population within Cerra Cosa Community College</w:t>
      </w:r>
      <w:r w:rsidR="00FA3813" w:rsidRPr="0097233A">
        <w:rPr>
          <w:rFonts w:ascii="Times New Roman" w:hAnsi="Times New Roman" w:cs="Times New Roman"/>
        </w:rPr>
        <w:t>: Cerro Coso Promise</w:t>
      </w:r>
      <w:r w:rsidR="00907823" w:rsidRPr="0097233A">
        <w:rPr>
          <w:rFonts w:ascii="Times New Roman" w:hAnsi="Times New Roman" w:cs="Times New Roman"/>
        </w:rPr>
        <w:t xml:space="preserve"> starting in 2017</w:t>
      </w:r>
      <w:r w:rsidR="00FA3813" w:rsidRPr="0097233A">
        <w:rPr>
          <w:rFonts w:ascii="Times New Roman" w:hAnsi="Times New Roman" w:cs="Times New Roman"/>
        </w:rPr>
        <w:t>, Inyo Promise</w:t>
      </w:r>
      <w:r w:rsidR="00907823" w:rsidRPr="0097233A">
        <w:rPr>
          <w:rFonts w:ascii="Times New Roman" w:hAnsi="Times New Roman" w:cs="Times New Roman"/>
        </w:rPr>
        <w:t xml:space="preserve"> starting in 2017</w:t>
      </w:r>
      <w:r w:rsidR="00FA3813" w:rsidRPr="0097233A">
        <w:rPr>
          <w:rFonts w:ascii="Times New Roman" w:hAnsi="Times New Roman" w:cs="Times New Roman"/>
        </w:rPr>
        <w:t xml:space="preserve">, and the Mammoth Lakes Foundation Scholarship (Mono Promise) </w:t>
      </w:r>
      <w:r w:rsidR="00907823" w:rsidRPr="0097233A">
        <w:rPr>
          <w:rFonts w:ascii="Times New Roman" w:hAnsi="Times New Roman" w:cs="Times New Roman"/>
        </w:rPr>
        <w:t xml:space="preserve">starting in 2014. Because </w:t>
      </w:r>
      <w:r w:rsidR="00286707">
        <w:rPr>
          <w:rFonts w:ascii="Times New Roman" w:hAnsi="Times New Roman" w:cs="Times New Roman"/>
        </w:rPr>
        <w:t xml:space="preserve">of this, </w:t>
      </w:r>
      <w:r w:rsidR="00907823" w:rsidRPr="0097233A">
        <w:rPr>
          <w:rFonts w:ascii="Times New Roman" w:hAnsi="Times New Roman" w:cs="Times New Roman"/>
        </w:rPr>
        <w:t>there is no way to identify which program</w:t>
      </w:r>
      <w:r w:rsidR="00371275">
        <w:rPr>
          <w:rFonts w:ascii="Times New Roman" w:hAnsi="Times New Roman" w:cs="Times New Roman"/>
        </w:rPr>
        <w:t>s</w:t>
      </w:r>
      <w:r w:rsidR="00907823" w:rsidRPr="0097233A">
        <w:rPr>
          <w:rFonts w:ascii="Times New Roman" w:hAnsi="Times New Roman" w:cs="Times New Roman"/>
        </w:rPr>
        <w:t xml:space="preserve"> were linked to which students that completed their degrees</w:t>
      </w:r>
      <w:r w:rsidR="001C34B7" w:rsidRPr="0097233A">
        <w:rPr>
          <w:rFonts w:ascii="Times New Roman" w:hAnsi="Times New Roman" w:cs="Times New Roman"/>
        </w:rPr>
        <w:t>. Due to this complexity, I removed these programs and their</w:t>
      </w:r>
      <w:r w:rsidR="00A43861">
        <w:rPr>
          <w:rFonts w:ascii="Times New Roman" w:hAnsi="Times New Roman" w:cs="Times New Roman"/>
        </w:rPr>
        <w:t xml:space="preserve"> affected</w:t>
      </w:r>
      <w:r w:rsidR="001C34B7" w:rsidRPr="0097233A">
        <w:rPr>
          <w:rFonts w:ascii="Times New Roman" w:hAnsi="Times New Roman" w:cs="Times New Roman"/>
        </w:rPr>
        <w:t xml:space="preserve"> institutions from my sample. </w:t>
      </w:r>
    </w:p>
    <w:p w14:paraId="27847F69" w14:textId="729EEC11" w:rsidR="00865547" w:rsidRPr="0097233A" w:rsidRDefault="00987DEB" w:rsidP="00CD45D6">
      <w:pPr>
        <w:pStyle w:val="ListParagraph"/>
        <w:numPr>
          <w:ilvl w:val="0"/>
          <w:numId w:val="25"/>
        </w:numPr>
        <w:rPr>
          <w:rFonts w:ascii="Times New Roman" w:hAnsi="Times New Roman" w:cs="Times New Roman"/>
        </w:rPr>
      </w:pPr>
      <w:r w:rsidRPr="0097233A">
        <w:rPr>
          <w:rFonts w:ascii="Times New Roman" w:hAnsi="Times New Roman" w:cs="Times New Roman"/>
        </w:rPr>
        <w:t xml:space="preserve">There </w:t>
      </w:r>
      <w:r w:rsidR="00865547" w:rsidRPr="0097233A">
        <w:rPr>
          <w:rFonts w:ascii="Times New Roman" w:hAnsi="Times New Roman" w:cs="Times New Roman"/>
        </w:rPr>
        <w:t>w</w:t>
      </w:r>
      <w:r w:rsidR="00165770">
        <w:rPr>
          <w:rFonts w:ascii="Times New Roman" w:hAnsi="Times New Roman" w:cs="Times New Roman"/>
        </w:rPr>
        <w:t xml:space="preserve">as </w:t>
      </w:r>
      <w:r w:rsidR="00865547" w:rsidRPr="0097233A">
        <w:rPr>
          <w:rFonts w:ascii="Times New Roman" w:hAnsi="Times New Roman" w:cs="Times New Roman"/>
        </w:rPr>
        <w:t xml:space="preserve">an expansion of a pre-existing program that did not </w:t>
      </w:r>
      <w:r w:rsidR="00D127C9" w:rsidRPr="0097233A">
        <w:rPr>
          <w:rFonts w:ascii="Times New Roman" w:hAnsi="Times New Roman" w:cs="Times New Roman"/>
        </w:rPr>
        <w:t>differ from students utilizing a prior program (2</w:t>
      </w:r>
      <w:r w:rsidR="004353B2" w:rsidRPr="0097233A">
        <w:rPr>
          <w:rFonts w:ascii="Times New Roman" w:hAnsi="Times New Roman" w:cs="Times New Roman"/>
        </w:rPr>
        <w:t>6</w:t>
      </w:r>
      <w:r w:rsidR="00D127C9" w:rsidRPr="0097233A">
        <w:rPr>
          <w:rFonts w:ascii="Times New Roman" w:hAnsi="Times New Roman" w:cs="Times New Roman"/>
        </w:rPr>
        <w:t xml:space="preserve"> programs)</w:t>
      </w:r>
      <w:r w:rsidR="00A13AEB" w:rsidRPr="0097233A">
        <w:rPr>
          <w:rFonts w:ascii="Times New Roman" w:hAnsi="Times New Roman" w:cs="Times New Roman"/>
        </w:rPr>
        <w:t xml:space="preserve">. </w:t>
      </w:r>
      <w:r w:rsidR="001C34B7" w:rsidRPr="0097233A">
        <w:rPr>
          <w:rFonts w:ascii="Times New Roman" w:hAnsi="Times New Roman" w:cs="Times New Roman"/>
        </w:rPr>
        <w:t xml:space="preserve">Unlike </w:t>
      </w:r>
      <w:r w:rsidR="00AB4B75" w:rsidRPr="0097233A">
        <w:rPr>
          <w:rFonts w:ascii="Times New Roman" w:hAnsi="Times New Roman" w:cs="Times New Roman"/>
        </w:rPr>
        <w:t xml:space="preserve">instances of multiple programs </w:t>
      </w:r>
      <w:r w:rsidR="00831855" w:rsidRPr="0097233A">
        <w:rPr>
          <w:rFonts w:ascii="Times New Roman" w:hAnsi="Times New Roman" w:cs="Times New Roman"/>
        </w:rPr>
        <w:t>simultaneously</w:t>
      </w:r>
      <w:r w:rsidR="00AB4B75" w:rsidRPr="0097233A">
        <w:rPr>
          <w:rFonts w:ascii="Times New Roman" w:hAnsi="Times New Roman" w:cs="Times New Roman"/>
        </w:rPr>
        <w:t xml:space="preserve"> serving </w:t>
      </w:r>
      <w:r w:rsidR="003A43BD" w:rsidRPr="0097233A">
        <w:rPr>
          <w:rFonts w:ascii="Times New Roman" w:hAnsi="Times New Roman" w:cs="Times New Roman"/>
        </w:rPr>
        <w:t xml:space="preserve">multiple sub-populations of students within a college, these examples of removal are best represented by an example using </w:t>
      </w:r>
      <w:r w:rsidR="008E68AE" w:rsidRPr="0097233A">
        <w:rPr>
          <w:rFonts w:ascii="Times New Roman" w:hAnsi="Times New Roman" w:cs="Times New Roman"/>
        </w:rPr>
        <w:t>KnoxAchieves</w:t>
      </w:r>
      <w:r w:rsidR="003A43BD" w:rsidRPr="0097233A">
        <w:rPr>
          <w:rFonts w:ascii="Times New Roman" w:hAnsi="Times New Roman" w:cs="Times New Roman"/>
        </w:rPr>
        <w:t xml:space="preserve"> and the Tennessee Promise. When Tennessee first launched the </w:t>
      </w:r>
      <w:r w:rsidR="003A43BD" w:rsidRPr="0097233A">
        <w:rPr>
          <w:rFonts w:ascii="Times New Roman" w:hAnsi="Times New Roman" w:cs="Times New Roman"/>
        </w:rPr>
        <w:lastRenderedPageBreak/>
        <w:t xml:space="preserve">Tennessee Promise, KnoxAchieves </w:t>
      </w:r>
      <w:r w:rsidR="000F156D">
        <w:rPr>
          <w:rFonts w:ascii="Times New Roman" w:hAnsi="Times New Roman" w:cs="Times New Roman"/>
        </w:rPr>
        <w:t xml:space="preserve">had already been operating and </w:t>
      </w:r>
      <w:r w:rsidR="008E68AE" w:rsidRPr="0097233A">
        <w:rPr>
          <w:rFonts w:ascii="Times New Roman" w:hAnsi="Times New Roman" w:cs="Times New Roman"/>
        </w:rPr>
        <w:t>served as a prototype</w:t>
      </w:r>
      <w:r w:rsidR="000F156D">
        <w:rPr>
          <w:rFonts w:ascii="Times New Roman" w:hAnsi="Times New Roman" w:cs="Times New Roman"/>
        </w:rPr>
        <w:t>/</w:t>
      </w:r>
      <w:r w:rsidR="008E68AE" w:rsidRPr="0097233A">
        <w:rPr>
          <w:rFonts w:ascii="Times New Roman" w:hAnsi="Times New Roman" w:cs="Times New Roman"/>
        </w:rPr>
        <w:t xml:space="preserve">pilot </w:t>
      </w:r>
      <w:r w:rsidR="00173691">
        <w:rPr>
          <w:rFonts w:ascii="Times New Roman" w:hAnsi="Times New Roman" w:cs="Times New Roman"/>
        </w:rPr>
        <w:t xml:space="preserve">of the statewide promise </w:t>
      </w:r>
      <w:r w:rsidR="008E68AE" w:rsidRPr="0097233A">
        <w:rPr>
          <w:rFonts w:ascii="Times New Roman" w:hAnsi="Times New Roman" w:cs="Times New Roman"/>
        </w:rPr>
        <w:t xml:space="preserve">with relatively minor differences between the two. In situations like this, I removed the later adopted program and treatment date while leaving the earlier adopted program as the singular treatment date for these programs. </w:t>
      </w:r>
    </w:p>
    <w:p w14:paraId="2DC2EB1B" w14:textId="7D82967D" w:rsidR="006A25B3" w:rsidRDefault="00DC484F"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This allowed</w:t>
      </w:r>
      <w:r w:rsidR="00D10AAB" w:rsidRPr="0097233A">
        <w:rPr>
          <w:rFonts w:ascii="Times New Roman" w:hAnsi="Times New Roman" w:cs="Times New Roman"/>
        </w:rPr>
        <w:t xml:space="preserve"> institutions</w:t>
      </w:r>
      <w:r w:rsidR="00D10AAB" w:rsidRPr="00A81589">
        <w:rPr>
          <w:rFonts w:ascii="Times New Roman" w:hAnsi="Times New Roman" w:cs="Times New Roman"/>
        </w:rPr>
        <w:t xml:space="preserve"> served by programs that were </w:t>
      </w:r>
      <w:r>
        <w:rPr>
          <w:rFonts w:ascii="Times New Roman" w:hAnsi="Times New Roman" w:cs="Times New Roman"/>
        </w:rPr>
        <w:t>adopted through</w:t>
      </w:r>
      <w:r w:rsidR="00D10AAB" w:rsidRPr="00A81589">
        <w:rPr>
          <w:rFonts w:ascii="Times New Roman" w:hAnsi="Times New Roman" w:cs="Times New Roman"/>
        </w:rPr>
        <w:t xml:space="preserve"> an expansion to remain in the treatment group</w:t>
      </w:r>
      <w:r>
        <w:rPr>
          <w:rFonts w:ascii="Times New Roman" w:hAnsi="Times New Roman" w:cs="Times New Roman"/>
        </w:rPr>
        <w:t xml:space="preserve">. </w:t>
      </w:r>
      <w:r w:rsidR="00AF2E07">
        <w:rPr>
          <w:rFonts w:ascii="Times New Roman" w:hAnsi="Times New Roman" w:cs="Times New Roman"/>
        </w:rPr>
        <w:t xml:space="preserve">In this scenario, only the later </w:t>
      </w:r>
      <w:r w:rsidR="00E7195D">
        <w:rPr>
          <w:rFonts w:ascii="Times New Roman" w:hAnsi="Times New Roman" w:cs="Times New Roman"/>
        </w:rPr>
        <w:t xml:space="preserve">adopted </w:t>
      </w:r>
      <w:r w:rsidR="00AF2E07">
        <w:rPr>
          <w:rFonts w:ascii="Times New Roman" w:hAnsi="Times New Roman" w:cs="Times New Roman"/>
        </w:rPr>
        <w:t>promise program</w:t>
      </w:r>
      <w:r w:rsidR="005507DE">
        <w:rPr>
          <w:rFonts w:ascii="Times New Roman" w:hAnsi="Times New Roman" w:cs="Times New Roman"/>
        </w:rPr>
        <w:t>s</w:t>
      </w:r>
      <w:r w:rsidR="00AF2E07">
        <w:rPr>
          <w:rFonts w:ascii="Times New Roman" w:hAnsi="Times New Roman" w:cs="Times New Roman"/>
        </w:rPr>
        <w:t xml:space="preserve"> and not the institution</w:t>
      </w:r>
      <w:r w:rsidR="005507DE">
        <w:rPr>
          <w:rFonts w:ascii="Times New Roman" w:hAnsi="Times New Roman" w:cs="Times New Roman"/>
        </w:rPr>
        <w:t>s</w:t>
      </w:r>
      <w:r w:rsidR="00AF2E07">
        <w:rPr>
          <w:rFonts w:ascii="Times New Roman" w:hAnsi="Times New Roman" w:cs="Times New Roman"/>
        </w:rPr>
        <w:t xml:space="preserve"> were removed from my data. </w:t>
      </w:r>
      <w:r w:rsidR="006220D0">
        <w:rPr>
          <w:rFonts w:ascii="Times New Roman" w:hAnsi="Times New Roman" w:cs="Times New Roman"/>
        </w:rPr>
        <w:t xml:space="preserve">These institutions were assigned to the treatment group as with other institutions affected by promise programs. </w:t>
      </w:r>
      <w:r w:rsidR="00C133C9" w:rsidRPr="00A81589">
        <w:rPr>
          <w:rFonts w:ascii="Times New Roman" w:hAnsi="Times New Roman" w:cs="Times New Roman"/>
        </w:rPr>
        <w:t xml:space="preserve">If removed for any other of </w:t>
      </w:r>
      <w:r w:rsidR="006220D0">
        <w:rPr>
          <w:rFonts w:ascii="Times New Roman" w:hAnsi="Times New Roman" w:cs="Times New Roman"/>
        </w:rPr>
        <w:t>my</w:t>
      </w:r>
      <w:r w:rsidR="00C133C9" w:rsidRPr="00A81589">
        <w:rPr>
          <w:rFonts w:ascii="Times New Roman" w:hAnsi="Times New Roman" w:cs="Times New Roman"/>
        </w:rPr>
        <w:t xml:space="preserve"> above criteria, institutions </w:t>
      </w:r>
      <w:r w:rsidR="006220D0">
        <w:rPr>
          <w:rFonts w:ascii="Times New Roman" w:hAnsi="Times New Roman" w:cs="Times New Roman"/>
        </w:rPr>
        <w:t>in addition to the promise program</w:t>
      </w:r>
      <w:r w:rsidR="005507DE">
        <w:rPr>
          <w:rFonts w:ascii="Times New Roman" w:hAnsi="Times New Roman" w:cs="Times New Roman"/>
        </w:rPr>
        <w:t>s</w:t>
      </w:r>
      <w:r w:rsidR="00DD24F1">
        <w:rPr>
          <w:rFonts w:ascii="Times New Roman" w:hAnsi="Times New Roman" w:cs="Times New Roman"/>
        </w:rPr>
        <w:t xml:space="preserve"> </w:t>
      </w:r>
      <w:r w:rsidR="005507DE">
        <w:rPr>
          <w:rFonts w:ascii="Times New Roman" w:hAnsi="Times New Roman" w:cs="Times New Roman"/>
        </w:rPr>
        <w:t>meeting</w:t>
      </w:r>
      <w:r w:rsidR="00DD24F1">
        <w:rPr>
          <w:rFonts w:ascii="Times New Roman" w:hAnsi="Times New Roman" w:cs="Times New Roman"/>
        </w:rPr>
        <w:t xml:space="preserve"> these </w:t>
      </w:r>
      <w:r w:rsidR="005507DE">
        <w:rPr>
          <w:rFonts w:ascii="Times New Roman" w:hAnsi="Times New Roman" w:cs="Times New Roman"/>
        </w:rPr>
        <w:t>criteria</w:t>
      </w:r>
      <w:r w:rsidR="00C133C9" w:rsidRPr="00A81589">
        <w:rPr>
          <w:rFonts w:ascii="Times New Roman" w:hAnsi="Times New Roman" w:cs="Times New Roman"/>
        </w:rPr>
        <w:t xml:space="preserve"> were removed from both the treatment and comparison groups.</w:t>
      </w:r>
      <w:r w:rsidR="00D10AAB" w:rsidRPr="00A81589">
        <w:rPr>
          <w:rFonts w:ascii="Times New Roman" w:hAnsi="Times New Roman" w:cs="Times New Roman"/>
        </w:rPr>
        <w:t xml:space="preserve"> </w:t>
      </w:r>
      <w:r w:rsidR="006A25B3" w:rsidRPr="00A81589">
        <w:rPr>
          <w:rFonts w:ascii="Times New Roman" w:hAnsi="Times New Roman" w:cs="Times New Roman"/>
        </w:rPr>
        <w:t xml:space="preserve">Following these eliminations, my final list for treatment assignment consisted of 198 programs that affected </w:t>
      </w:r>
      <w:r w:rsidR="0041178E" w:rsidRPr="00A81589">
        <w:rPr>
          <w:rFonts w:ascii="Times New Roman" w:hAnsi="Times New Roman" w:cs="Times New Roman"/>
        </w:rPr>
        <w:t>58</w:t>
      </w:r>
      <w:r w:rsidR="00026DE7" w:rsidRPr="00A81589">
        <w:rPr>
          <w:rFonts w:ascii="Times New Roman" w:hAnsi="Times New Roman" w:cs="Times New Roman"/>
        </w:rPr>
        <w:t xml:space="preserve">0 </w:t>
      </w:r>
      <w:r w:rsidR="0041178E" w:rsidRPr="00A81589">
        <w:rPr>
          <w:rFonts w:ascii="Times New Roman" w:hAnsi="Times New Roman" w:cs="Times New Roman"/>
        </w:rPr>
        <w:t xml:space="preserve">institutions. </w:t>
      </w:r>
      <w:r w:rsidR="000C0EFC" w:rsidRPr="00A81589">
        <w:rPr>
          <w:rFonts w:ascii="Times New Roman" w:hAnsi="Times New Roman" w:cs="Times New Roman"/>
        </w:rPr>
        <w:t xml:space="preserve">Institutions that had programs </w:t>
      </w:r>
      <w:r w:rsidR="009E4915">
        <w:rPr>
          <w:rFonts w:ascii="Times New Roman" w:hAnsi="Times New Roman" w:cs="Times New Roman"/>
        </w:rPr>
        <w:t>which</w:t>
      </w:r>
      <w:r w:rsidR="000C0EFC" w:rsidRPr="00A81589">
        <w:rPr>
          <w:rFonts w:ascii="Times New Roman" w:hAnsi="Times New Roman" w:cs="Times New Roman"/>
        </w:rPr>
        <w:t xml:space="preserve"> went into effect following my sample’s final collected year of data (2022) are considered as comparison group </w:t>
      </w:r>
      <w:r w:rsidR="00DB036A" w:rsidRPr="00A81589">
        <w:rPr>
          <w:rFonts w:ascii="Times New Roman" w:hAnsi="Times New Roman" w:cs="Times New Roman"/>
        </w:rPr>
        <w:t>institution</w:t>
      </w:r>
      <w:r w:rsidR="00DB036A">
        <w:rPr>
          <w:rFonts w:ascii="Times New Roman" w:hAnsi="Times New Roman" w:cs="Times New Roman"/>
        </w:rPr>
        <w:t>s</w:t>
      </w:r>
      <w:r w:rsidR="000C0EFC">
        <w:rPr>
          <w:rFonts w:ascii="Times New Roman" w:hAnsi="Times New Roman" w:cs="Times New Roman"/>
        </w:rPr>
        <w:t>.</w:t>
      </w:r>
      <w:r w:rsidR="00DB036A">
        <w:rPr>
          <w:rFonts w:ascii="Times New Roman" w:hAnsi="Times New Roman" w:cs="Times New Roman"/>
        </w:rPr>
        <w:t xml:space="preserve"> </w:t>
      </w:r>
      <w:r w:rsidR="000C0EFC">
        <w:rPr>
          <w:rFonts w:ascii="Times New Roman" w:hAnsi="Times New Roman" w:cs="Times New Roman"/>
        </w:rPr>
        <w:t xml:space="preserve"> </w:t>
      </w:r>
    </w:p>
    <w:p w14:paraId="50E0C5DA" w14:textId="25C9E8B8" w:rsidR="00921549" w:rsidRPr="00C63272" w:rsidRDefault="00921549" w:rsidP="00CD45D6">
      <w:pPr>
        <w:pStyle w:val="Heading3"/>
        <w:spacing w:before="0" w:after="0"/>
      </w:pPr>
      <w:bookmarkStart w:id="59" w:name="_Toc183282275"/>
      <w:r>
        <w:t xml:space="preserve">Merging </w:t>
      </w:r>
      <w:r w:rsidRPr="00C63272">
        <w:t xml:space="preserve">Treatment </w:t>
      </w:r>
      <w:r>
        <w:t xml:space="preserve">and Outcome </w:t>
      </w:r>
      <w:r w:rsidRPr="00C63272">
        <w:t>Data</w:t>
      </w:r>
      <w:bookmarkEnd w:id="59"/>
      <w:r w:rsidRPr="00C63272">
        <w:t xml:space="preserve"> </w:t>
      </w:r>
    </w:p>
    <w:p w14:paraId="7F993C67" w14:textId="7D1606E9" w:rsidR="00174BCB" w:rsidRDefault="00921549"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432C89">
        <w:rPr>
          <w:rFonts w:ascii="Times New Roman" w:hAnsi="Times New Roman" w:cs="Times New Roman"/>
        </w:rPr>
        <w:t>When merging, I had observed outcome observation data for 2,5</w:t>
      </w:r>
      <w:r w:rsidR="00562185">
        <w:rPr>
          <w:rFonts w:ascii="Times New Roman" w:hAnsi="Times New Roman" w:cs="Times New Roman"/>
        </w:rPr>
        <w:t>2</w:t>
      </w:r>
      <w:r w:rsidR="00432C89">
        <w:rPr>
          <w:rFonts w:ascii="Times New Roman" w:hAnsi="Times New Roman" w:cs="Times New Roman"/>
        </w:rPr>
        <w:t xml:space="preserve">5 institutions and treatment data for 198 programs affecting </w:t>
      </w:r>
      <w:r w:rsidR="00BE2447">
        <w:rPr>
          <w:rFonts w:ascii="Times New Roman" w:hAnsi="Times New Roman" w:cs="Times New Roman"/>
        </w:rPr>
        <w:t>580 of those 2,5</w:t>
      </w:r>
      <w:r w:rsidR="00562185">
        <w:rPr>
          <w:rFonts w:ascii="Times New Roman" w:hAnsi="Times New Roman" w:cs="Times New Roman"/>
        </w:rPr>
        <w:t>2</w:t>
      </w:r>
      <w:r w:rsidR="00BE2447">
        <w:rPr>
          <w:rFonts w:ascii="Times New Roman" w:hAnsi="Times New Roman" w:cs="Times New Roman"/>
        </w:rPr>
        <w:t>5 institutions</w:t>
      </w:r>
      <w:r w:rsidR="00F361D0">
        <w:rPr>
          <w:rFonts w:ascii="Times New Roman" w:hAnsi="Times New Roman" w:cs="Times New Roman"/>
        </w:rPr>
        <w:t xml:space="preserve"> (for the sake of simplicity, I only discuss </w:t>
      </w:r>
      <w:r w:rsidR="001F7E4D">
        <w:rPr>
          <w:rFonts w:ascii="Times New Roman" w:hAnsi="Times New Roman" w:cs="Times New Roman"/>
        </w:rPr>
        <w:t>my</w:t>
      </w:r>
      <w:r w:rsidR="00F361D0">
        <w:rPr>
          <w:rFonts w:ascii="Times New Roman" w:hAnsi="Times New Roman" w:cs="Times New Roman"/>
        </w:rPr>
        <w:t xml:space="preserve"> </w:t>
      </w:r>
      <w:r w:rsidR="001F7E4D">
        <w:rPr>
          <w:rFonts w:ascii="Times New Roman" w:hAnsi="Times New Roman" w:cs="Times New Roman"/>
        </w:rPr>
        <w:t>all-institutions</w:t>
      </w:r>
      <w:r w:rsidR="00F361D0">
        <w:rPr>
          <w:rFonts w:ascii="Times New Roman" w:hAnsi="Times New Roman" w:cs="Times New Roman"/>
        </w:rPr>
        <w:t xml:space="preserve"> sample here</w:t>
      </w:r>
      <w:r w:rsidR="00BB2D38">
        <w:rPr>
          <w:rFonts w:ascii="Times New Roman" w:hAnsi="Times New Roman" w:cs="Times New Roman"/>
        </w:rPr>
        <w:t>)</w:t>
      </w:r>
      <w:r w:rsidR="00BE2447">
        <w:rPr>
          <w:rFonts w:ascii="Times New Roman" w:hAnsi="Times New Roman" w:cs="Times New Roman"/>
        </w:rPr>
        <w:t xml:space="preserve">. </w:t>
      </w:r>
      <w:r w:rsidR="00160624">
        <w:rPr>
          <w:rFonts w:ascii="Times New Roman" w:hAnsi="Times New Roman" w:cs="Times New Roman"/>
        </w:rPr>
        <w:t xml:space="preserve">Merging treatment and outcome data resulted in </w:t>
      </w:r>
      <w:r w:rsidR="00D42482">
        <w:rPr>
          <w:rFonts w:ascii="Times New Roman" w:hAnsi="Times New Roman" w:cs="Times New Roman"/>
        </w:rPr>
        <w:t>5</w:t>
      </w:r>
      <w:r w:rsidR="00012665">
        <w:rPr>
          <w:rFonts w:ascii="Times New Roman" w:hAnsi="Times New Roman" w:cs="Times New Roman"/>
        </w:rPr>
        <w:t xml:space="preserve"> unmatched promise programs </w:t>
      </w:r>
      <w:r w:rsidR="00635656">
        <w:rPr>
          <w:rFonts w:ascii="Times New Roman" w:hAnsi="Times New Roman" w:cs="Times New Roman"/>
        </w:rPr>
        <w:t xml:space="preserve">across 36 institutions present in the treatment data that was not present in the outcome data. </w:t>
      </w:r>
      <w:r w:rsidR="00EF07C8">
        <w:rPr>
          <w:rFonts w:ascii="Times New Roman" w:hAnsi="Times New Roman" w:cs="Times New Roman"/>
        </w:rPr>
        <w:t xml:space="preserve">These 36 institutions were institutions that were absent from the </w:t>
      </w:r>
      <w:r w:rsidR="00771350">
        <w:rPr>
          <w:rFonts w:ascii="Times New Roman" w:hAnsi="Times New Roman" w:cs="Times New Roman"/>
        </w:rPr>
        <w:t xml:space="preserve">IPEDS completion data either entirely or due to not </w:t>
      </w:r>
      <w:r w:rsidR="00771350">
        <w:rPr>
          <w:rFonts w:ascii="Times New Roman" w:hAnsi="Times New Roman" w:cs="Times New Roman"/>
        </w:rPr>
        <w:lastRenderedPageBreak/>
        <w:t xml:space="preserve">having an observation for one of the 23 periods in my sample. </w:t>
      </w:r>
      <w:r w:rsidR="00635656">
        <w:rPr>
          <w:rFonts w:ascii="Times New Roman" w:hAnsi="Times New Roman" w:cs="Times New Roman"/>
        </w:rPr>
        <w:t xml:space="preserve">These 36 institutions that were removed during the preparation of the </w:t>
      </w:r>
      <w:r w:rsidR="000B07AB">
        <w:rPr>
          <w:rFonts w:ascii="Times New Roman" w:hAnsi="Times New Roman" w:cs="Times New Roman"/>
        </w:rPr>
        <w:t>outcome data and thus were dropped following the merge.</w:t>
      </w:r>
      <w:r w:rsidR="000E28C8">
        <w:rPr>
          <w:rFonts w:ascii="Times New Roman" w:hAnsi="Times New Roman" w:cs="Times New Roman"/>
        </w:rPr>
        <w:t xml:space="preserve"> </w:t>
      </w:r>
      <w:r w:rsidR="00DC5F73">
        <w:rPr>
          <w:rFonts w:ascii="Times New Roman" w:hAnsi="Times New Roman" w:cs="Times New Roman"/>
        </w:rPr>
        <w:t>As mentioned above, I also</w:t>
      </w:r>
      <w:r w:rsidR="001B22B5">
        <w:rPr>
          <w:rFonts w:ascii="Times New Roman" w:hAnsi="Times New Roman" w:cs="Times New Roman"/>
        </w:rPr>
        <w:t xml:space="preserve"> removed</w:t>
      </w:r>
      <w:r w:rsidR="00E971AD">
        <w:rPr>
          <w:rFonts w:ascii="Times New Roman" w:hAnsi="Times New Roman" w:cs="Times New Roman"/>
        </w:rPr>
        <w:t xml:space="preserve"> 47</w:t>
      </w:r>
      <w:r w:rsidR="001B22B5">
        <w:rPr>
          <w:rFonts w:ascii="Times New Roman" w:hAnsi="Times New Roman" w:cs="Times New Roman"/>
        </w:rPr>
        <w:t xml:space="preserve"> </w:t>
      </w:r>
      <w:r w:rsidR="00E971AD">
        <w:rPr>
          <w:rFonts w:ascii="Times New Roman" w:hAnsi="Times New Roman" w:cs="Times New Roman"/>
        </w:rPr>
        <w:t>instances</w:t>
      </w:r>
      <w:r w:rsidR="00080A04">
        <w:rPr>
          <w:rFonts w:ascii="Times New Roman" w:hAnsi="Times New Roman" w:cs="Times New Roman"/>
        </w:rPr>
        <w:t xml:space="preserve"> where </w:t>
      </w:r>
      <w:r w:rsidR="004C3D11">
        <w:rPr>
          <w:rFonts w:ascii="Times New Roman" w:hAnsi="Times New Roman" w:cs="Times New Roman"/>
        </w:rPr>
        <w:t xml:space="preserve">an </w:t>
      </w:r>
      <w:r w:rsidR="00E971AD">
        <w:rPr>
          <w:rFonts w:ascii="Times New Roman" w:hAnsi="Times New Roman" w:cs="Times New Roman"/>
        </w:rPr>
        <w:t>institution</w:t>
      </w:r>
      <w:r w:rsidR="004C3D11">
        <w:rPr>
          <w:rFonts w:ascii="Times New Roman" w:hAnsi="Times New Roman" w:cs="Times New Roman"/>
        </w:rPr>
        <w:t xml:space="preserve"> was treated by a </w:t>
      </w:r>
      <w:r w:rsidR="00E971AD">
        <w:rPr>
          <w:rFonts w:ascii="Times New Roman" w:hAnsi="Times New Roman" w:cs="Times New Roman"/>
        </w:rPr>
        <w:t xml:space="preserve">promise </w:t>
      </w:r>
      <w:r w:rsidR="004C3D11">
        <w:rPr>
          <w:rFonts w:ascii="Times New Roman" w:hAnsi="Times New Roman" w:cs="Times New Roman"/>
        </w:rPr>
        <w:t>program prior to the start of my sample date to simpl</w:t>
      </w:r>
      <w:r w:rsidR="007F490D">
        <w:rPr>
          <w:rFonts w:ascii="Times New Roman" w:hAnsi="Times New Roman" w:cs="Times New Roman"/>
        </w:rPr>
        <w:t>if</w:t>
      </w:r>
      <w:r w:rsidR="004C3D11">
        <w:rPr>
          <w:rFonts w:ascii="Times New Roman" w:hAnsi="Times New Roman" w:cs="Times New Roman"/>
        </w:rPr>
        <w:t xml:space="preserve">y </w:t>
      </w:r>
      <w:r w:rsidR="00E971AD">
        <w:rPr>
          <w:rFonts w:ascii="Times New Roman" w:hAnsi="Times New Roman" w:cs="Times New Roman"/>
        </w:rPr>
        <w:t>analysis</w:t>
      </w:r>
      <w:r w:rsidR="004C3D11">
        <w:rPr>
          <w:rFonts w:ascii="Times New Roman" w:hAnsi="Times New Roman" w:cs="Times New Roman"/>
        </w:rPr>
        <w:t xml:space="preserve">. </w:t>
      </w:r>
      <w:r w:rsidR="00EF2FEC">
        <w:rPr>
          <w:rFonts w:ascii="Times New Roman" w:hAnsi="Times New Roman" w:cs="Times New Roman"/>
        </w:rPr>
        <w:t>I a</w:t>
      </w:r>
      <w:r w:rsidR="00BF698A">
        <w:rPr>
          <w:rFonts w:ascii="Times New Roman" w:hAnsi="Times New Roman" w:cs="Times New Roman"/>
        </w:rPr>
        <w:t xml:space="preserve">lso removed institutions </w:t>
      </w:r>
      <w:r w:rsidR="00A70738">
        <w:rPr>
          <w:rFonts w:ascii="Times New Roman" w:hAnsi="Times New Roman" w:cs="Times New Roman"/>
        </w:rPr>
        <w:t xml:space="preserve">when </w:t>
      </w:r>
      <w:r w:rsidR="00891378">
        <w:rPr>
          <w:rFonts w:ascii="Times New Roman" w:hAnsi="Times New Roman" w:cs="Times New Roman"/>
        </w:rPr>
        <w:t xml:space="preserve">a promise program began between 2000 and </w:t>
      </w:r>
      <w:r w:rsidR="00DF0AA6">
        <w:rPr>
          <w:rFonts w:ascii="Times New Roman" w:hAnsi="Times New Roman" w:cs="Times New Roman"/>
        </w:rPr>
        <w:t xml:space="preserve">2004. By doing this, I </w:t>
      </w:r>
      <w:r w:rsidR="00891378">
        <w:rPr>
          <w:rFonts w:ascii="Times New Roman" w:hAnsi="Times New Roman" w:cs="Times New Roman"/>
        </w:rPr>
        <w:t>establish</w:t>
      </w:r>
      <w:r w:rsidR="00DF0AA6">
        <w:rPr>
          <w:rFonts w:ascii="Times New Roman" w:hAnsi="Times New Roman" w:cs="Times New Roman"/>
        </w:rPr>
        <w:t>ed</w:t>
      </w:r>
      <w:r w:rsidR="00891378">
        <w:rPr>
          <w:rFonts w:ascii="Times New Roman" w:hAnsi="Times New Roman" w:cs="Times New Roman"/>
        </w:rPr>
        <w:t xml:space="preserve"> a </w:t>
      </w:r>
      <w:r w:rsidR="00DF0AA6">
        <w:rPr>
          <w:rFonts w:ascii="Times New Roman" w:hAnsi="Times New Roman" w:cs="Times New Roman"/>
        </w:rPr>
        <w:t>five-year</w:t>
      </w:r>
      <w:r w:rsidR="00891378">
        <w:rPr>
          <w:rFonts w:ascii="Times New Roman" w:hAnsi="Times New Roman" w:cs="Times New Roman"/>
        </w:rPr>
        <w:t xml:space="preserve"> period in my sample where all institutions were not treated regardless of assignment to the treatment or comparison groups. </w:t>
      </w:r>
      <w:r w:rsidR="00CE282C">
        <w:rPr>
          <w:rFonts w:ascii="Times New Roman" w:hAnsi="Times New Roman" w:cs="Times New Roman"/>
        </w:rPr>
        <w:t>Th</w:t>
      </w:r>
      <w:r w:rsidR="002A050D">
        <w:rPr>
          <w:rFonts w:ascii="Times New Roman" w:hAnsi="Times New Roman" w:cs="Times New Roman"/>
        </w:rPr>
        <w:t xml:space="preserve">ese eliminations resulted in a sample of </w:t>
      </w:r>
      <w:r w:rsidR="002A050D">
        <w:rPr>
          <w:rFonts w:ascii="Times New Roman" w:hAnsi="Times New Roman" w:cs="Times New Roman"/>
          <w:i/>
          <w:iCs/>
        </w:rPr>
        <w:t>n</w:t>
      </w:r>
      <w:r w:rsidR="002A050D">
        <w:rPr>
          <w:rFonts w:ascii="Times New Roman" w:hAnsi="Times New Roman" w:cs="Times New Roman"/>
        </w:rPr>
        <w:t xml:space="preserve"> = 2,52</w:t>
      </w:r>
      <w:r w:rsidR="003329BE">
        <w:rPr>
          <w:rFonts w:ascii="Times New Roman" w:hAnsi="Times New Roman" w:cs="Times New Roman"/>
        </w:rPr>
        <w:t>5</w:t>
      </w:r>
      <w:r w:rsidR="002A050D">
        <w:rPr>
          <w:rFonts w:ascii="Times New Roman" w:hAnsi="Times New Roman" w:cs="Times New Roman"/>
        </w:rPr>
        <w:t xml:space="preserve"> </w:t>
      </w:r>
      <w:r w:rsidR="00EA026F">
        <w:rPr>
          <w:rFonts w:ascii="Times New Roman" w:hAnsi="Times New Roman" w:cs="Times New Roman"/>
        </w:rPr>
        <w:t>w</w:t>
      </w:r>
      <w:r w:rsidR="00B175AA">
        <w:rPr>
          <w:rFonts w:ascii="Times New Roman" w:hAnsi="Times New Roman" w:cs="Times New Roman"/>
        </w:rPr>
        <w:t>h</w:t>
      </w:r>
      <w:r w:rsidR="00EA026F">
        <w:rPr>
          <w:rFonts w:ascii="Times New Roman" w:hAnsi="Times New Roman" w:cs="Times New Roman"/>
        </w:rPr>
        <w:t xml:space="preserve">ere 188 promise programs </w:t>
      </w:r>
      <w:r w:rsidR="00976565">
        <w:rPr>
          <w:rFonts w:ascii="Times New Roman" w:hAnsi="Times New Roman" w:cs="Times New Roman"/>
        </w:rPr>
        <w:t xml:space="preserve">resulted in </w:t>
      </w:r>
      <w:r w:rsidR="003C686A">
        <w:rPr>
          <w:rFonts w:ascii="Times New Roman" w:hAnsi="Times New Roman" w:cs="Times New Roman"/>
        </w:rPr>
        <w:t>assigning</w:t>
      </w:r>
      <w:r w:rsidR="00976565">
        <w:rPr>
          <w:rFonts w:ascii="Times New Roman" w:hAnsi="Times New Roman" w:cs="Times New Roman"/>
        </w:rPr>
        <w:t xml:space="preserve"> treatment</w:t>
      </w:r>
      <w:r w:rsidR="003C686A">
        <w:rPr>
          <w:rFonts w:ascii="Times New Roman" w:hAnsi="Times New Roman" w:cs="Times New Roman"/>
        </w:rPr>
        <w:t xml:space="preserve"> group status to</w:t>
      </w:r>
      <w:r w:rsidR="00EA026F">
        <w:rPr>
          <w:rFonts w:ascii="Times New Roman" w:hAnsi="Times New Roman" w:cs="Times New Roman"/>
        </w:rPr>
        <w:t xml:space="preserve"> 49</w:t>
      </w:r>
      <w:r w:rsidR="00F21BA3">
        <w:rPr>
          <w:rFonts w:ascii="Times New Roman" w:hAnsi="Times New Roman" w:cs="Times New Roman"/>
        </w:rPr>
        <w:t>4</w:t>
      </w:r>
      <w:r w:rsidR="00EA026F">
        <w:rPr>
          <w:rFonts w:ascii="Times New Roman" w:hAnsi="Times New Roman" w:cs="Times New Roman"/>
        </w:rPr>
        <w:t xml:space="preserve"> </w:t>
      </w:r>
      <w:r w:rsidR="00976565">
        <w:rPr>
          <w:rFonts w:ascii="Times New Roman" w:hAnsi="Times New Roman" w:cs="Times New Roman"/>
        </w:rPr>
        <w:t xml:space="preserve">institutions. </w:t>
      </w:r>
    </w:p>
    <w:p w14:paraId="1E5E6520" w14:textId="46710ED1" w:rsidR="002B3182" w:rsidRDefault="00174BCB"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976565">
        <w:rPr>
          <w:rFonts w:ascii="Times New Roman" w:hAnsi="Times New Roman" w:cs="Times New Roman"/>
        </w:rPr>
        <w:t>Of the 2,52</w:t>
      </w:r>
      <w:r w:rsidR="00F21BA3">
        <w:rPr>
          <w:rFonts w:ascii="Times New Roman" w:hAnsi="Times New Roman" w:cs="Times New Roman"/>
        </w:rPr>
        <w:t>5</w:t>
      </w:r>
      <w:r w:rsidR="00976565">
        <w:rPr>
          <w:rFonts w:ascii="Times New Roman" w:hAnsi="Times New Roman" w:cs="Times New Roman"/>
        </w:rPr>
        <w:t xml:space="preserve"> institutions in the sample, </w:t>
      </w:r>
      <w:r w:rsidR="00976565" w:rsidRPr="00976565">
        <w:rPr>
          <w:rFonts w:ascii="Times New Roman" w:hAnsi="Times New Roman" w:cs="Times New Roman"/>
        </w:rPr>
        <w:t>2</w:t>
      </w:r>
      <w:r w:rsidR="00976565">
        <w:rPr>
          <w:rFonts w:ascii="Times New Roman" w:hAnsi="Times New Roman" w:cs="Times New Roman"/>
        </w:rPr>
        <w:t>,</w:t>
      </w:r>
      <w:r w:rsidR="00976565" w:rsidRPr="00976565">
        <w:rPr>
          <w:rFonts w:ascii="Times New Roman" w:hAnsi="Times New Roman" w:cs="Times New Roman"/>
        </w:rPr>
        <w:t>031</w:t>
      </w:r>
      <w:r w:rsidR="00976565">
        <w:rPr>
          <w:rFonts w:ascii="Times New Roman" w:hAnsi="Times New Roman" w:cs="Times New Roman"/>
        </w:rPr>
        <w:t xml:space="preserve"> units were untreated units. </w:t>
      </w:r>
      <w:r w:rsidR="00C17609">
        <w:rPr>
          <w:rFonts w:ascii="Times New Roman" w:hAnsi="Times New Roman" w:cs="Times New Roman"/>
        </w:rPr>
        <w:t xml:space="preserve">Among </w:t>
      </w:r>
      <w:r w:rsidR="003469E0">
        <w:rPr>
          <w:rFonts w:ascii="Times New Roman" w:hAnsi="Times New Roman" w:cs="Times New Roman"/>
        </w:rPr>
        <w:t xml:space="preserve">for-profit private institutions, there were </w:t>
      </w:r>
      <w:r w:rsidR="00E032A8">
        <w:rPr>
          <w:rFonts w:ascii="Times New Roman" w:hAnsi="Times New Roman" w:cs="Times New Roman"/>
        </w:rPr>
        <w:t xml:space="preserve">738 </w:t>
      </w:r>
      <w:r w:rsidR="00024B81">
        <w:rPr>
          <w:rFonts w:ascii="Times New Roman" w:hAnsi="Times New Roman" w:cs="Times New Roman"/>
        </w:rPr>
        <w:t>comparison group</w:t>
      </w:r>
      <w:r w:rsidR="00E032A8">
        <w:rPr>
          <w:rFonts w:ascii="Times New Roman" w:hAnsi="Times New Roman" w:cs="Times New Roman"/>
        </w:rPr>
        <w:t xml:space="preserve"> units and </w:t>
      </w:r>
      <w:r w:rsidR="00DA4DBB">
        <w:rPr>
          <w:rFonts w:ascii="Times New Roman" w:hAnsi="Times New Roman" w:cs="Times New Roman"/>
        </w:rPr>
        <w:t>one</w:t>
      </w:r>
      <w:r w:rsidR="00E032A8">
        <w:rPr>
          <w:rFonts w:ascii="Times New Roman" w:hAnsi="Times New Roman" w:cs="Times New Roman"/>
        </w:rPr>
        <w:t xml:space="preserve"> treated unit in my final sample. There were 462</w:t>
      </w:r>
      <w:r w:rsidR="00DA4DBB">
        <w:rPr>
          <w:rFonts w:ascii="Times New Roman" w:hAnsi="Times New Roman" w:cs="Times New Roman"/>
        </w:rPr>
        <w:t xml:space="preserve"> </w:t>
      </w:r>
      <w:r w:rsidR="00024B81">
        <w:rPr>
          <w:rFonts w:ascii="Times New Roman" w:hAnsi="Times New Roman" w:cs="Times New Roman"/>
        </w:rPr>
        <w:t xml:space="preserve">comparison group </w:t>
      </w:r>
      <w:r w:rsidR="00E032A8">
        <w:rPr>
          <w:rFonts w:ascii="Times New Roman" w:hAnsi="Times New Roman" w:cs="Times New Roman"/>
        </w:rPr>
        <w:t xml:space="preserve">and </w:t>
      </w:r>
      <w:r w:rsidR="00DA4DBB">
        <w:rPr>
          <w:rFonts w:ascii="Times New Roman" w:hAnsi="Times New Roman" w:cs="Times New Roman"/>
        </w:rPr>
        <w:t xml:space="preserve">two treated </w:t>
      </w:r>
      <w:r w:rsidR="00E032A8">
        <w:rPr>
          <w:rFonts w:ascii="Times New Roman" w:hAnsi="Times New Roman" w:cs="Times New Roman"/>
        </w:rPr>
        <w:t xml:space="preserve">non-profit private </w:t>
      </w:r>
      <w:r w:rsidR="00DA4DBB">
        <w:rPr>
          <w:rFonts w:ascii="Times New Roman" w:hAnsi="Times New Roman" w:cs="Times New Roman"/>
        </w:rPr>
        <w:t xml:space="preserve">institutions in my sample. There were </w:t>
      </w:r>
      <w:r w:rsidR="007365A1">
        <w:rPr>
          <w:rFonts w:ascii="Times New Roman" w:hAnsi="Times New Roman" w:cs="Times New Roman"/>
        </w:rPr>
        <w:t>831</w:t>
      </w:r>
      <w:r w:rsidR="00FE2F30">
        <w:rPr>
          <w:rFonts w:ascii="Times New Roman" w:hAnsi="Times New Roman" w:cs="Times New Roman"/>
        </w:rPr>
        <w:t xml:space="preserve"> </w:t>
      </w:r>
      <w:r w:rsidR="00024B81">
        <w:rPr>
          <w:rFonts w:ascii="Times New Roman" w:hAnsi="Times New Roman" w:cs="Times New Roman"/>
        </w:rPr>
        <w:t xml:space="preserve">comparison group </w:t>
      </w:r>
      <w:r w:rsidR="00FE2F30">
        <w:rPr>
          <w:rFonts w:ascii="Times New Roman" w:hAnsi="Times New Roman" w:cs="Times New Roman"/>
        </w:rPr>
        <w:t xml:space="preserve">and </w:t>
      </w:r>
      <w:r w:rsidR="007365A1">
        <w:rPr>
          <w:rFonts w:ascii="Times New Roman" w:hAnsi="Times New Roman" w:cs="Times New Roman"/>
        </w:rPr>
        <w:t>491</w:t>
      </w:r>
      <w:r w:rsidR="00FE2F30">
        <w:rPr>
          <w:rFonts w:ascii="Times New Roman" w:hAnsi="Times New Roman" w:cs="Times New Roman"/>
        </w:rPr>
        <w:t xml:space="preserve"> treated public institutions in my sample. </w:t>
      </w:r>
      <w:r w:rsidR="00633F2E">
        <w:rPr>
          <w:rFonts w:ascii="Times New Roman" w:hAnsi="Times New Roman" w:cs="Times New Roman"/>
        </w:rPr>
        <w:t xml:space="preserve">Regarding state-funded public institutions only, there </w:t>
      </w:r>
      <w:r w:rsidR="007365A1">
        <w:rPr>
          <w:rFonts w:ascii="Times New Roman" w:hAnsi="Times New Roman" w:cs="Times New Roman"/>
        </w:rPr>
        <w:t xml:space="preserve">were 815 untreated institutions and 489 treated institutions. </w:t>
      </w:r>
    </w:p>
    <w:p w14:paraId="055EBE97" w14:textId="385D2E28" w:rsidR="00B054E3" w:rsidRPr="00783D19" w:rsidRDefault="00B054E3"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Pr="00AF63E2">
        <w:rPr>
          <w:rFonts w:ascii="Times New Roman" w:hAnsi="Times New Roman" w:cs="Times New Roman"/>
        </w:rPr>
        <w:t>I run multiple models restricting the sample comparison’s group. These models an</w:t>
      </w:r>
      <w:r w:rsidRPr="00783D19">
        <w:rPr>
          <w:rFonts w:ascii="Times New Roman" w:hAnsi="Times New Roman" w:cs="Times New Roman"/>
        </w:rPr>
        <w:t>d the sample sizes utilized in these models are:</w:t>
      </w:r>
    </w:p>
    <w:p w14:paraId="1EC261E7" w14:textId="616E7CC5" w:rsidR="00B054E3" w:rsidRPr="00783D19" w:rsidRDefault="00B054E3" w:rsidP="00CD45D6">
      <w:pPr>
        <w:pStyle w:val="ListParagraph"/>
        <w:numPr>
          <w:ilvl w:val="0"/>
          <w:numId w:val="23"/>
        </w:numPr>
        <w:rPr>
          <w:rFonts w:ascii="Times New Roman" w:hAnsi="Times New Roman" w:cs="Times New Roman"/>
        </w:rPr>
      </w:pPr>
      <w:r w:rsidRPr="00783D19">
        <w:rPr>
          <w:rFonts w:ascii="Times New Roman" w:hAnsi="Times New Roman" w:cs="Times New Roman"/>
        </w:rPr>
        <w:t>model including for-profit private, non-profit private, and non-profit public institutions (</w:t>
      </w:r>
      <w:r w:rsidRPr="00783D19">
        <w:rPr>
          <w:rFonts w:ascii="Times New Roman" w:hAnsi="Times New Roman" w:cs="Times New Roman"/>
          <w:i/>
          <w:iCs/>
        </w:rPr>
        <w:t>n =</w:t>
      </w:r>
      <w:r w:rsidRPr="00783D19">
        <w:rPr>
          <w:rFonts w:ascii="Times New Roman" w:hAnsi="Times New Roman" w:cs="Times New Roman"/>
        </w:rPr>
        <w:t xml:space="preserve"> 2,52</w:t>
      </w:r>
      <w:r w:rsidR="00F21BA3" w:rsidRPr="00783D19">
        <w:rPr>
          <w:rFonts w:ascii="Times New Roman" w:hAnsi="Times New Roman" w:cs="Times New Roman"/>
        </w:rPr>
        <w:t>5</w:t>
      </w:r>
      <w:r w:rsidRPr="00783D19">
        <w:rPr>
          <w:rFonts w:ascii="Times New Roman" w:hAnsi="Times New Roman" w:cs="Times New Roman"/>
        </w:rPr>
        <w:t>)</w:t>
      </w:r>
    </w:p>
    <w:p w14:paraId="2232937E" w14:textId="5D4E125F" w:rsidR="00B054E3" w:rsidRPr="00783D19" w:rsidRDefault="00B054E3" w:rsidP="00CD45D6">
      <w:pPr>
        <w:pStyle w:val="ListParagraph"/>
        <w:numPr>
          <w:ilvl w:val="0"/>
          <w:numId w:val="23"/>
        </w:numPr>
        <w:rPr>
          <w:rFonts w:ascii="Times New Roman" w:hAnsi="Times New Roman" w:cs="Times New Roman"/>
        </w:rPr>
      </w:pPr>
      <w:r w:rsidRPr="00783D19">
        <w:rPr>
          <w:rFonts w:ascii="Times New Roman" w:hAnsi="Times New Roman" w:cs="Times New Roman"/>
        </w:rPr>
        <w:t>model excluding for-profit private institutions while including non-profit private and non-profit</w:t>
      </w:r>
      <w:r w:rsidR="00A70440" w:rsidRPr="00783D19">
        <w:rPr>
          <w:rFonts w:ascii="Times New Roman" w:hAnsi="Times New Roman" w:cs="Times New Roman"/>
        </w:rPr>
        <w:t xml:space="preserve"> </w:t>
      </w:r>
      <w:r w:rsidRPr="00783D19">
        <w:rPr>
          <w:rFonts w:ascii="Times New Roman" w:hAnsi="Times New Roman" w:cs="Times New Roman"/>
        </w:rPr>
        <w:t>public institutions (</w:t>
      </w:r>
      <w:r w:rsidRPr="00783D19">
        <w:rPr>
          <w:rFonts w:ascii="Times New Roman" w:hAnsi="Times New Roman" w:cs="Times New Roman"/>
          <w:i/>
          <w:iCs/>
        </w:rPr>
        <w:t>n =</w:t>
      </w:r>
      <w:r w:rsidRPr="00783D19">
        <w:rPr>
          <w:rFonts w:ascii="Times New Roman" w:hAnsi="Times New Roman" w:cs="Times New Roman"/>
        </w:rPr>
        <w:t xml:space="preserve"> 1,</w:t>
      </w:r>
      <w:r w:rsidR="00F5493B" w:rsidRPr="00783D19">
        <w:rPr>
          <w:rFonts w:ascii="Times New Roman" w:hAnsi="Times New Roman" w:cs="Times New Roman"/>
        </w:rPr>
        <w:t>78</w:t>
      </w:r>
      <w:r w:rsidR="009F48A7" w:rsidRPr="00783D19">
        <w:rPr>
          <w:rFonts w:ascii="Times New Roman" w:hAnsi="Times New Roman" w:cs="Times New Roman"/>
        </w:rPr>
        <w:t>6</w:t>
      </w:r>
      <w:r w:rsidRPr="00783D19">
        <w:rPr>
          <w:rFonts w:ascii="Times New Roman" w:hAnsi="Times New Roman" w:cs="Times New Roman"/>
        </w:rPr>
        <w:t>)</w:t>
      </w:r>
    </w:p>
    <w:p w14:paraId="09510193" w14:textId="1FEE75AC" w:rsidR="00B054E3" w:rsidRPr="00783D19" w:rsidRDefault="00B054E3" w:rsidP="00CD45D6">
      <w:pPr>
        <w:pStyle w:val="ListParagraph"/>
        <w:numPr>
          <w:ilvl w:val="0"/>
          <w:numId w:val="23"/>
        </w:numPr>
        <w:rPr>
          <w:rFonts w:ascii="Times New Roman" w:hAnsi="Times New Roman" w:cs="Times New Roman"/>
        </w:rPr>
      </w:pPr>
      <w:r w:rsidRPr="00783D19">
        <w:rPr>
          <w:rFonts w:ascii="Times New Roman" w:hAnsi="Times New Roman" w:cs="Times New Roman"/>
        </w:rPr>
        <w:lastRenderedPageBreak/>
        <w:t>model excluding for-profit private and non-profit private institutions while including non-profit</w:t>
      </w:r>
      <w:r w:rsidR="00A70440" w:rsidRPr="00783D19">
        <w:rPr>
          <w:rFonts w:ascii="Times New Roman" w:hAnsi="Times New Roman" w:cs="Times New Roman"/>
        </w:rPr>
        <w:t xml:space="preserve"> </w:t>
      </w:r>
      <w:r w:rsidRPr="00783D19">
        <w:rPr>
          <w:rFonts w:ascii="Times New Roman" w:hAnsi="Times New Roman" w:cs="Times New Roman"/>
        </w:rPr>
        <w:t>public institutions (</w:t>
      </w:r>
      <w:r w:rsidRPr="00783D19">
        <w:rPr>
          <w:rFonts w:ascii="Times New Roman" w:hAnsi="Times New Roman" w:cs="Times New Roman"/>
          <w:i/>
          <w:iCs/>
        </w:rPr>
        <w:t>n =</w:t>
      </w:r>
      <w:r w:rsidRPr="00783D19">
        <w:rPr>
          <w:rFonts w:ascii="Times New Roman" w:hAnsi="Times New Roman" w:cs="Times New Roman"/>
        </w:rPr>
        <w:t xml:space="preserve"> </w:t>
      </w:r>
      <w:r w:rsidR="00BE4D83" w:rsidRPr="00783D19">
        <w:rPr>
          <w:rFonts w:ascii="Times New Roman" w:hAnsi="Times New Roman" w:cs="Times New Roman"/>
        </w:rPr>
        <w:t>1,32</w:t>
      </w:r>
      <w:r w:rsidR="008172F6" w:rsidRPr="00783D19">
        <w:rPr>
          <w:rFonts w:ascii="Times New Roman" w:hAnsi="Times New Roman" w:cs="Times New Roman"/>
        </w:rPr>
        <w:t>2</w:t>
      </w:r>
      <w:r w:rsidRPr="00783D19">
        <w:rPr>
          <w:rFonts w:ascii="Times New Roman" w:hAnsi="Times New Roman" w:cs="Times New Roman"/>
        </w:rPr>
        <w:t>)</w:t>
      </w:r>
    </w:p>
    <w:p w14:paraId="03B60BBE" w14:textId="4BAFA111" w:rsidR="00B054E3" w:rsidRPr="00783D19" w:rsidRDefault="00B054E3" w:rsidP="00CD45D6">
      <w:pPr>
        <w:pStyle w:val="ListParagraph"/>
        <w:numPr>
          <w:ilvl w:val="0"/>
          <w:numId w:val="23"/>
        </w:numPr>
        <w:rPr>
          <w:rFonts w:ascii="Times New Roman" w:hAnsi="Times New Roman" w:cs="Times New Roman"/>
        </w:rPr>
      </w:pPr>
      <w:r w:rsidRPr="00783D19">
        <w:rPr>
          <w:rFonts w:ascii="Times New Roman" w:hAnsi="Times New Roman" w:cs="Times New Roman"/>
        </w:rPr>
        <w:t>model excluding for-profit private, non-profit private institutions, and locally funded public non-profit institutions (i.e., institutions that do not receive state appropriations) while including only state funded</w:t>
      </w:r>
      <w:r w:rsidR="003C686A">
        <w:rPr>
          <w:rFonts w:ascii="Times New Roman" w:hAnsi="Times New Roman" w:cs="Times New Roman"/>
        </w:rPr>
        <w:t xml:space="preserve"> </w:t>
      </w:r>
      <w:r w:rsidRPr="00783D19">
        <w:rPr>
          <w:rFonts w:ascii="Times New Roman" w:hAnsi="Times New Roman" w:cs="Times New Roman"/>
        </w:rPr>
        <w:t>public institutions (</w:t>
      </w:r>
      <w:r w:rsidRPr="00783D19">
        <w:rPr>
          <w:rFonts w:ascii="Times New Roman" w:hAnsi="Times New Roman" w:cs="Times New Roman"/>
          <w:i/>
          <w:iCs/>
        </w:rPr>
        <w:t>n =</w:t>
      </w:r>
      <w:r w:rsidRPr="00783D19">
        <w:rPr>
          <w:rFonts w:ascii="Times New Roman" w:hAnsi="Times New Roman" w:cs="Times New Roman"/>
        </w:rPr>
        <w:t xml:space="preserve"> </w:t>
      </w:r>
      <w:r w:rsidR="00BE4D83" w:rsidRPr="00783D19">
        <w:rPr>
          <w:rFonts w:ascii="Times New Roman" w:hAnsi="Times New Roman" w:cs="Times New Roman"/>
        </w:rPr>
        <w:t>1,17</w:t>
      </w:r>
      <w:r w:rsidR="009F48A7" w:rsidRPr="00783D19">
        <w:rPr>
          <w:rFonts w:ascii="Times New Roman" w:hAnsi="Times New Roman" w:cs="Times New Roman"/>
        </w:rPr>
        <w:t>3</w:t>
      </w:r>
      <w:r w:rsidRPr="00783D19">
        <w:rPr>
          <w:rFonts w:ascii="Times New Roman" w:hAnsi="Times New Roman" w:cs="Times New Roman"/>
        </w:rPr>
        <w:t xml:space="preserve">). </w:t>
      </w:r>
    </w:p>
    <w:p w14:paraId="27431849" w14:textId="77777777" w:rsidR="00217EFC" w:rsidRDefault="00AD39CE"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w:t>
      </w:r>
      <w:r w:rsidR="00EF7D15">
        <w:rPr>
          <w:rFonts w:ascii="Times New Roman" w:hAnsi="Times New Roman" w:cs="Times New Roman"/>
        </w:rPr>
        <w:t xml:space="preserve">hen I restrict the comparison group to public institutions, I remove institutions </w:t>
      </w:r>
      <w:r w:rsidR="008C068A">
        <w:rPr>
          <w:rFonts w:ascii="Times New Roman" w:hAnsi="Times New Roman" w:cs="Times New Roman"/>
        </w:rPr>
        <w:t xml:space="preserve">in both the treatment and comparison group that are not public institutions. </w:t>
      </w:r>
      <w:r w:rsidR="007B1C89" w:rsidRPr="00AF63E2">
        <w:rPr>
          <w:rFonts w:ascii="Times New Roman" w:hAnsi="Times New Roman" w:cs="Times New Roman"/>
        </w:rPr>
        <w:t>The di</w:t>
      </w:r>
      <w:r w:rsidR="007B1C89">
        <w:rPr>
          <w:rFonts w:ascii="Times New Roman" w:hAnsi="Times New Roman" w:cs="Times New Roman"/>
        </w:rPr>
        <w:t>stinction between the model</w:t>
      </w:r>
      <w:r w:rsidR="00217EFC">
        <w:rPr>
          <w:rFonts w:ascii="Times New Roman" w:hAnsi="Times New Roman" w:cs="Times New Roman"/>
        </w:rPr>
        <w:t>s</w:t>
      </w:r>
      <w:r w:rsidR="007B1C89">
        <w:rPr>
          <w:rFonts w:ascii="Times New Roman" w:hAnsi="Times New Roman" w:cs="Times New Roman"/>
        </w:rPr>
        <w:t xml:space="preserve"> that include only nonprofit public institutions and </w:t>
      </w:r>
      <w:r w:rsidR="00217EFC">
        <w:rPr>
          <w:rFonts w:ascii="Times New Roman" w:hAnsi="Times New Roman" w:cs="Times New Roman"/>
        </w:rPr>
        <w:t xml:space="preserve">only </w:t>
      </w:r>
      <w:r w:rsidR="007B1C89">
        <w:rPr>
          <w:rFonts w:ascii="Times New Roman" w:hAnsi="Times New Roman" w:cs="Times New Roman"/>
        </w:rPr>
        <w:t>state-funded public non-profits is an important inclusion because in states where ther</w:t>
      </w:r>
      <w:r w:rsidR="0034459E">
        <w:rPr>
          <w:rFonts w:ascii="Times New Roman" w:hAnsi="Times New Roman" w:cs="Times New Roman"/>
        </w:rPr>
        <w:t>e are state-ran promise programs</w:t>
      </w:r>
      <w:r w:rsidR="008E6A97">
        <w:rPr>
          <w:rFonts w:ascii="Times New Roman" w:hAnsi="Times New Roman" w:cs="Times New Roman"/>
        </w:rPr>
        <w:t xml:space="preserve">, these institutions that are </w:t>
      </w:r>
      <w:r w:rsidR="00217EFC">
        <w:rPr>
          <w:rFonts w:ascii="Times New Roman" w:hAnsi="Times New Roman" w:cs="Times New Roman"/>
        </w:rPr>
        <w:t xml:space="preserve">locally </w:t>
      </w:r>
      <w:r w:rsidR="008E6A97">
        <w:rPr>
          <w:rFonts w:ascii="Times New Roman" w:hAnsi="Times New Roman" w:cs="Times New Roman"/>
        </w:rPr>
        <w:t>funded are not served by these state programs.</w:t>
      </w:r>
      <w:r w:rsidR="007B1C89">
        <w:rPr>
          <w:rFonts w:ascii="Times New Roman" w:hAnsi="Times New Roman" w:cs="Times New Roman"/>
        </w:rPr>
        <w:t xml:space="preserve"> </w:t>
      </w:r>
      <w:r w:rsidR="00C327AD">
        <w:rPr>
          <w:rFonts w:ascii="Times New Roman" w:hAnsi="Times New Roman" w:cs="Times New Roman"/>
        </w:rPr>
        <w:t xml:space="preserve">Including this fourth model allows for these locally funded institutions to be removed. </w:t>
      </w:r>
      <w:r w:rsidR="00B054E3">
        <w:rPr>
          <w:rFonts w:ascii="Times New Roman" w:hAnsi="Times New Roman" w:cs="Times New Roman"/>
        </w:rPr>
        <w:t xml:space="preserve">Including these four models of varying sample size by institutional characteristics alters the comparison group of the sample. </w:t>
      </w:r>
    </w:p>
    <w:p w14:paraId="66953272" w14:textId="43496D7B" w:rsidR="006E4C54" w:rsidRDefault="00217EFC"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B054E3">
        <w:rPr>
          <w:rFonts w:ascii="Times New Roman" w:hAnsi="Times New Roman" w:cs="Times New Roman"/>
        </w:rPr>
        <w:t xml:space="preserve">While </w:t>
      </w:r>
      <w:r w:rsidR="00B10DEC">
        <w:rPr>
          <w:rFonts w:ascii="Times New Roman" w:hAnsi="Times New Roman" w:cs="Times New Roman"/>
        </w:rPr>
        <w:t>my</w:t>
      </w:r>
      <w:r w:rsidR="00B054E3">
        <w:rPr>
          <w:rFonts w:ascii="Times New Roman" w:hAnsi="Times New Roman" w:cs="Times New Roman"/>
        </w:rPr>
        <w:t xml:space="preserve"> more specific models reduce </w:t>
      </w:r>
      <w:r w:rsidR="006E0226">
        <w:rPr>
          <w:rFonts w:ascii="Times New Roman" w:hAnsi="Times New Roman" w:cs="Times New Roman"/>
        </w:rPr>
        <w:t>my</w:t>
      </w:r>
      <w:r w:rsidR="00B054E3">
        <w:rPr>
          <w:rFonts w:ascii="Times New Roman" w:hAnsi="Times New Roman" w:cs="Times New Roman"/>
        </w:rPr>
        <w:t xml:space="preserve"> comparison group</w:t>
      </w:r>
      <w:r w:rsidR="006E4C54">
        <w:rPr>
          <w:rFonts w:ascii="Times New Roman" w:hAnsi="Times New Roman" w:cs="Times New Roman"/>
        </w:rPr>
        <w:t xml:space="preserve"> size</w:t>
      </w:r>
      <w:r w:rsidR="00B054E3">
        <w:rPr>
          <w:rFonts w:ascii="Times New Roman" w:hAnsi="Times New Roman" w:cs="Times New Roman"/>
        </w:rPr>
        <w:t xml:space="preserve">, these models </w:t>
      </w:r>
      <w:r w:rsidR="006E4C54">
        <w:rPr>
          <w:rFonts w:ascii="Times New Roman" w:hAnsi="Times New Roman" w:cs="Times New Roman"/>
        </w:rPr>
        <w:t xml:space="preserve">also </w:t>
      </w:r>
      <w:r w:rsidR="00B054E3">
        <w:rPr>
          <w:rFonts w:ascii="Times New Roman" w:hAnsi="Times New Roman" w:cs="Times New Roman"/>
        </w:rPr>
        <w:t xml:space="preserve">offer increased similarity between treatment and non-promise program sub-baccalaureate institutions. </w:t>
      </w:r>
      <w:r w:rsidR="006E4C54">
        <w:rPr>
          <w:rFonts w:ascii="Times New Roman" w:hAnsi="Times New Roman" w:cs="Times New Roman"/>
        </w:rPr>
        <w:t xml:space="preserve">For example, </w:t>
      </w:r>
      <w:r w:rsidR="00B054E3">
        <w:rPr>
          <w:rFonts w:ascii="Times New Roman" w:hAnsi="Times New Roman" w:cs="Times New Roman"/>
        </w:rPr>
        <w:t>the sample size of the model excluding for-profit private, non-profit private institutions, and locally funded public non-profit institutions while including only state funded public non-profit public institutions is the smallest</w:t>
      </w:r>
      <w:r w:rsidR="006E4C54">
        <w:rPr>
          <w:rFonts w:ascii="Times New Roman" w:hAnsi="Times New Roman" w:cs="Times New Roman"/>
        </w:rPr>
        <w:t xml:space="preserve"> of my samples</w:t>
      </w:r>
      <w:r w:rsidR="006E0226">
        <w:rPr>
          <w:rFonts w:ascii="Times New Roman" w:hAnsi="Times New Roman" w:cs="Times New Roman"/>
        </w:rPr>
        <w:t xml:space="preserve">. However, this sample </w:t>
      </w:r>
      <w:r w:rsidR="006E4C54">
        <w:rPr>
          <w:rFonts w:ascii="Times New Roman" w:hAnsi="Times New Roman" w:cs="Times New Roman"/>
        </w:rPr>
        <w:t xml:space="preserve">also </w:t>
      </w:r>
      <w:r w:rsidR="00B10DEC">
        <w:rPr>
          <w:rFonts w:ascii="Times New Roman" w:hAnsi="Times New Roman" w:cs="Times New Roman"/>
        </w:rPr>
        <w:t>provides a</w:t>
      </w:r>
      <w:r w:rsidR="006E4C54">
        <w:rPr>
          <w:rFonts w:ascii="Times New Roman" w:hAnsi="Times New Roman" w:cs="Times New Roman"/>
        </w:rPr>
        <w:t xml:space="preserve"> model where institutions in the treatment and comparison groups are most similar.</w:t>
      </w:r>
      <w:r w:rsidR="00B054E3">
        <w:rPr>
          <w:rFonts w:ascii="Times New Roman" w:hAnsi="Times New Roman" w:cs="Times New Roman"/>
        </w:rPr>
        <w:t xml:space="preserve"> </w:t>
      </w:r>
    </w:p>
    <w:p w14:paraId="4F5CB640" w14:textId="0B8248C8" w:rsidR="002D7EB3" w:rsidRDefault="006E4C54"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B054E3">
        <w:rPr>
          <w:rFonts w:ascii="Times New Roman" w:hAnsi="Times New Roman" w:cs="Times New Roman"/>
        </w:rPr>
        <w:t xml:space="preserve">I identify </w:t>
      </w:r>
      <w:r>
        <w:rPr>
          <w:rFonts w:ascii="Times New Roman" w:hAnsi="Times New Roman" w:cs="Times New Roman"/>
        </w:rPr>
        <w:t xml:space="preserve">the public </w:t>
      </w:r>
      <w:r w:rsidR="003F6BD7">
        <w:rPr>
          <w:rFonts w:ascii="Times New Roman" w:hAnsi="Times New Roman" w:cs="Times New Roman"/>
        </w:rPr>
        <w:t xml:space="preserve">institutions </w:t>
      </w:r>
      <w:r>
        <w:rPr>
          <w:rFonts w:ascii="Times New Roman" w:hAnsi="Times New Roman" w:cs="Times New Roman"/>
        </w:rPr>
        <w:t xml:space="preserve">only </w:t>
      </w:r>
      <w:r w:rsidR="006E0226">
        <w:rPr>
          <w:rFonts w:ascii="Times New Roman" w:hAnsi="Times New Roman" w:cs="Times New Roman"/>
        </w:rPr>
        <w:t>sample</w:t>
      </w:r>
      <w:r>
        <w:rPr>
          <w:rFonts w:ascii="Times New Roman" w:hAnsi="Times New Roman" w:cs="Times New Roman"/>
        </w:rPr>
        <w:t xml:space="preserve"> </w:t>
      </w:r>
      <w:r w:rsidR="00B054E3">
        <w:rPr>
          <w:rFonts w:ascii="Times New Roman" w:hAnsi="Times New Roman" w:cs="Times New Roman"/>
        </w:rPr>
        <w:t xml:space="preserve">as my preferred </w:t>
      </w:r>
      <w:r w:rsidR="006E0226">
        <w:rPr>
          <w:rFonts w:ascii="Times New Roman" w:hAnsi="Times New Roman" w:cs="Times New Roman"/>
        </w:rPr>
        <w:t>sample</w:t>
      </w:r>
      <w:r w:rsidR="00B054E3">
        <w:rPr>
          <w:rFonts w:ascii="Times New Roman" w:hAnsi="Times New Roman" w:cs="Times New Roman"/>
        </w:rPr>
        <w:t xml:space="preserve"> for this study</w:t>
      </w:r>
      <w:r w:rsidR="000021A7">
        <w:rPr>
          <w:rFonts w:ascii="Times New Roman" w:hAnsi="Times New Roman" w:cs="Times New Roman"/>
        </w:rPr>
        <w:t xml:space="preserve"> (</w:t>
      </w:r>
      <w:r w:rsidR="000021A7">
        <w:rPr>
          <w:rFonts w:ascii="Times New Roman" w:hAnsi="Times New Roman" w:cs="Times New Roman"/>
          <w:i/>
          <w:iCs/>
        </w:rPr>
        <w:t xml:space="preserve">n = </w:t>
      </w:r>
      <w:r w:rsidR="000021A7">
        <w:rPr>
          <w:rFonts w:ascii="Times New Roman" w:hAnsi="Times New Roman" w:cs="Times New Roman"/>
        </w:rPr>
        <w:t xml:space="preserve">1,322 with </w:t>
      </w:r>
      <w:r w:rsidR="00131226">
        <w:rPr>
          <w:rFonts w:ascii="Times New Roman" w:hAnsi="Times New Roman" w:cs="Times New Roman"/>
        </w:rPr>
        <w:t xml:space="preserve">831 </w:t>
      </w:r>
      <w:r w:rsidR="00024B81">
        <w:rPr>
          <w:rFonts w:ascii="Times New Roman" w:hAnsi="Times New Roman" w:cs="Times New Roman"/>
        </w:rPr>
        <w:t xml:space="preserve">comparison group </w:t>
      </w:r>
      <w:r w:rsidR="00131226">
        <w:rPr>
          <w:rFonts w:ascii="Times New Roman" w:hAnsi="Times New Roman" w:cs="Times New Roman"/>
        </w:rPr>
        <w:t>units and 491 treated units</w:t>
      </w:r>
      <w:r w:rsidR="000021A7">
        <w:rPr>
          <w:rFonts w:ascii="Times New Roman" w:hAnsi="Times New Roman" w:cs="Times New Roman"/>
        </w:rPr>
        <w:t>)</w:t>
      </w:r>
      <w:r w:rsidR="00B054E3">
        <w:rPr>
          <w:rFonts w:ascii="Times New Roman" w:hAnsi="Times New Roman" w:cs="Times New Roman"/>
        </w:rPr>
        <w:t xml:space="preserve">. I do this because </w:t>
      </w:r>
      <w:r w:rsidR="00B054E3">
        <w:rPr>
          <w:rFonts w:ascii="Times New Roman" w:hAnsi="Times New Roman" w:cs="Times New Roman"/>
        </w:rPr>
        <w:lastRenderedPageBreak/>
        <w:t xml:space="preserve">doing this </w:t>
      </w:r>
      <w:r w:rsidR="006F59B7">
        <w:rPr>
          <w:rFonts w:ascii="Times New Roman" w:hAnsi="Times New Roman" w:cs="Times New Roman"/>
        </w:rPr>
        <w:t xml:space="preserve">ensures that dissimilar for-profit and private non-profit sub-baccalaureate </w:t>
      </w:r>
      <w:r w:rsidR="006E0226">
        <w:rPr>
          <w:rFonts w:ascii="Times New Roman" w:hAnsi="Times New Roman" w:cs="Times New Roman"/>
        </w:rPr>
        <w:t>institutions</w:t>
      </w:r>
      <w:r w:rsidR="006F59B7">
        <w:rPr>
          <w:rFonts w:ascii="Times New Roman" w:hAnsi="Times New Roman" w:cs="Times New Roman"/>
        </w:rPr>
        <w:t xml:space="preserve"> are not in my comparison group while also preserving the size of my comparison group through the inclusion of </w:t>
      </w:r>
      <w:r w:rsidR="00B21467">
        <w:rPr>
          <w:rFonts w:ascii="Times New Roman" w:hAnsi="Times New Roman" w:cs="Times New Roman"/>
        </w:rPr>
        <w:t xml:space="preserve">public institutions that are locally funded. </w:t>
      </w:r>
      <w:r w:rsidR="007524C2">
        <w:rPr>
          <w:rFonts w:ascii="Times New Roman" w:hAnsi="Times New Roman" w:cs="Times New Roman"/>
        </w:rPr>
        <w:t xml:space="preserve">I provide an overview of treatment </w:t>
      </w:r>
      <w:r w:rsidR="002D7EB3">
        <w:rPr>
          <w:rFonts w:ascii="Times New Roman" w:hAnsi="Times New Roman" w:cs="Times New Roman"/>
        </w:rPr>
        <w:t xml:space="preserve">assignment by year for each of my models in </w:t>
      </w:r>
      <w:r w:rsidR="002D7EB3" w:rsidRPr="00CD45D6">
        <w:rPr>
          <w:rFonts w:ascii="Times New Roman" w:hAnsi="Times New Roman" w:cs="Times New Roman"/>
          <w:b/>
          <w:bCs/>
        </w:rPr>
        <w:t>Figures 1</w:t>
      </w:r>
      <w:r w:rsidR="002D7EB3">
        <w:rPr>
          <w:rFonts w:ascii="Times New Roman" w:hAnsi="Times New Roman" w:cs="Times New Roman"/>
        </w:rPr>
        <w:t xml:space="preserve"> </w:t>
      </w:r>
      <w:r w:rsidR="002D7EB3" w:rsidRPr="00CD45D6">
        <w:rPr>
          <w:rFonts w:ascii="Times New Roman" w:hAnsi="Times New Roman" w:cs="Times New Roman"/>
          <w:b/>
          <w:bCs/>
        </w:rPr>
        <w:t>through 4</w:t>
      </w:r>
      <w:r w:rsidR="002D7EB3">
        <w:rPr>
          <w:rFonts w:ascii="Times New Roman" w:hAnsi="Times New Roman" w:cs="Times New Roman"/>
        </w:rPr>
        <w:t xml:space="preserve">. </w:t>
      </w:r>
      <w:r w:rsidR="002D7EB3" w:rsidRPr="00CD45D6">
        <w:rPr>
          <w:rFonts w:ascii="Times New Roman" w:hAnsi="Times New Roman" w:cs="Times New Roman"/>
          <w:b/>
          <w:bCs/>
        </w:rPr>
        <w:t>Figure 3</w:t>
      </w:r>
      <w:r w:rsidR="002D7EB3">
        <w:rPr>
          <w:rFonts w:ascii="Times New Roman" w:hAnsi="Times New Roman" w:cs="Times New Roman"/>
        </w:rPr>
        <w:t xml:space="preserve"> contains the overview of treatment assignment by year for the </w:t>
      </w:r>
    </w:p>
    <w:p w14:paraId="104F6461" w14:textId="77777777" w:rsidR="00CD45D6" w:rsidRDefault="00CD45D6"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bookmarkStart w:id="60" w:name="_Toc179135798"/>
      <w:bookmarkStart w:id="61" w:name="_Toc180144581"/>
      <w:r>
        <w:rPr>
          <w:rFonts w:ascii="Times New Roman" w:hAnsi="Times New Roman" w:cs="Times New Roman"/>
        </w:rPr>
        <w:t xml:space="preserve">preferred sample of this study which provides a balance of a sufficiently large comparison group </w:t>
      </w:r>
      <w:proofErr w:type="gramStart"/>
      <w:r>
        <w:rPr>
          <w:rFonts w:ascii="Times New Roman" w:hAnsi="Times New Roman" w:cs="Times New Roman"/>
        </w:rPr>
        <w:t>and  sufficiently</w:t>
      </w:r>
      <w:proofErr w:type="gramEnd"/>
      <w:r>
        <w:rPr>
          <w:rFonts w:ascii="Times New Roman" w:hAnsi="Times New Roman" w:cs="Times New Roman"/>
        </w:rPr>
        <w:t xml:space="preserve"> similar institutions to the treatment group.</w:t>
      </w:r>
    </w:p>
    <w:p w14:paraId="50CA9C1A" w14:textId="77777777" w:rsidR="00CD45D6" w:rsidRDefault="00CD45D6" w:rsidP="00CD45D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The sub-samples for each of these models </w:t>
      </w:r>
      <w:proofErr w:type="gramStart"/>
      <w:r>
        <w:rPr>
          <w:rFonts w:ascii="Times New Roman" w:hAnsi="Times New Roman" w:cs="Times New Roman"/>
        </w:rPr>
        <w:t>was</w:t>
      </w:r>
      <w:proofErr w:type="gramEnd"/>
      <w:r>
        <w:rPr>
          <w:rFonts w:ascii="Times New Roman" w:hAnsi="Times New Roman" w:cs="Times New Roman"/>
        </w:rPr>
        <w:t xml:space="preserve"> prepared through a Stata .do file provided in Appendix A. This project utilized a total of two STATA .do files. I utilized a loop to repeat my empirical analysis for each sub-sample. This allowed me to only utilize two .do files to manage this project. In addition to my data preparation .do file in Appendix A, I provide my analysis .do file in Appendix B.</w:t>
      </w:r>
      <w:r>
        <w:rPr>
          <w:rFonts w:ascii="Times New Roman" w:hAnsi="Times New Roman" w:cs="Times New Roman"/>
        </w:rPr>
        <w:tab/>
        <w:t xml:space="preserve"> </w:t>
      </w:r>
    </w:p>
    <w:p w14:paraId="274B9B9F" w14:textId="77777777" w:rsidR="00CD45D6" w:rsidRPr="00546D52" w:rsidRDefault="00CD45D6" w:rsidP="00CD45D6">
      <w:pPr>
        <w:pStyle w:val="Heading2"/>
        <w:spacing w:before="0" w:after="0"/>
      </w:pPr>
      <w:bookmarkStart w:id="62" w:name="_Toc183282276"/>
      <w:r w:rsidRPr="00546D52">
        <w:t>Assumptions</w:t>
      </w:r>
      <w:bookmarkEnd w:id="62"/>
    </w:p>
    <w:p w14:paraId="1A9DF0FD" w14:textId="77777777" w:rsidR="00CD45D6" w:rsidRPr="0097233A" w:rsidRDefault="00CD45D6" w:rsidP="00CD45D6">
      <w:pPr>
        <w:spacing w:line="480" w:lineRule="auto"/>
        <w:rPr>
          <w:rFonts w:ascii="Times New Roman" w:hAnsi="Times New Roman" w:cs="Times New Roman"/>
        </w:rPr>
      </w:pPr>
      <w:r w:rsidRPr="00546D52">
        <w:rPr>
          <w:rFonts w:ascii="Times New Roman" w:hAnsi="Times New Roman" w:cs="Times New Roman"/>
        </w:rPr>
        <w:tab/>
        <w:t xml:space="preserve">Roth et al. </w:t>
      </w:r>
      <w:sdt>
        <w:sdtPr>
          <w:rPr>
            <w:rFonts w:ascii="Times New Roman" w:hAnsi="Times New Roman" w:cs="Times New Roman"/>
          </w:rPr>
          <w:id w:val="-597788907"/>
          <w:citation/>
        </w:sdtPr>
        <w:sdtContent>
          <w:r>
            <w:rPr>
              <w:rFonts w:ascii="Times New Roman" w:hAnsi="Times New Roman" w:cs="Times New Roman"/>
            </w:rPr>
            <w:fldChar w:fldCharType="begin"/>
          </w:r>
          <w:r>
            <w:rPr>
              <w:rFonts w:ascii="Times New Roman" w:hAnsi="Times New Roman" w:cs="Times New Roman"/>
            </w:rPr>
            <w:instrText xml:space="preserve">CITATION Rot23 \n  \t  \l 1033 </w:instrText>
          </w:r>
          <w:r>
            <w:rPr>
              <w:rFonts w:ascii="Times New Roman" w:hAnsi="Times New Roman" w:cs="Times New Roman"/>
            </w:rPr>
            <w:fldChar w:fldCharType="separate"/>
          </w:r>
          <w:r w:rsidRPr="00A10468">
            <w:rPr>
              <w:rFonts w:ascii="Times New Roman" w:hAnsi="Times New Roman" w:cs="Times New Roman"/>
              <w:noProof/>
            </w:rPr>
            <w:t>(2023)</w:t>
          </w:r>
          <w:r>
            <w:rPr>
              <w:rFonts w:ascii="Times New Roman" w:hAnsi="Times New Roman" w:cs="Times New Roman"/>
            </w:rPr>
            <w:fldChar w:fldCharType="end"/>
          </w:r>
        </w:sdtContent>
      </w:sdt>
      <w:r>
        <w:rPr>
          <w:rFonts w:ascii="Times New Roman" w:hAnsi="Times New Roman" w:cs="Times New Roman"/>
        </w:rPr>
        <w:t xml:space="preserve"> </w:t>
      </w:r>
      <w:r w:rsidRPr="00546D52">
        <w:rPr>
          <w:rFonts w:ascii="Times New Roman" w:hAnsi="Times New Roman" w:cs="Times New Roman"/>
        </w:rPr>
        <w:t xml:space="preserve">provide a robust review </w:t>
      </w:r>
      <w:r>
        <w:rPr>
          <w:rFonts w:ascii="Times New Roman" w:hAnsi="Times New Roman" w:cs="Times New Roman"/>
        </w:rPr>
        <w:t>on</w:t>
      </w:r>
      <w:r w:rsidRPr="00546D52">
        <w:rPr>
          <w:rFonts w:ascii="Times New Roman" w:hAnsi="Times New Roman" w:cs="Times New Roman"/>
        </w:rPr>
        <w:t xml:space="preserve"> the state of difference-in-difference designs including the necessary assumptions to conduct a basic difference-in-difference model as well as the assumptions needed for more advanced models</w:t>
      </w:r>
      <w:r>
        <w:rPr>
          <w:rFonts w:ascii="Times New Roman" w:hAnsi="Times New Roman" w:cs="Times New Roman"/>
        </w:rPr>
        <w:t>. These more advanced models</w:t>
      </w:r>
      <w:r w:rsidRPr="00546D52">
        <w:rPr>
          <w:rFonts w:ascii="Times New Roman" w:hAnsi="Times New Roman" w:cs="Times New Roman"/>
        </w:rPr>
        <w:t xml:space="preserve"> require researchers to account for issues such as heterogenous treatment</w:t>
      </w:r>
      <w:r>
        <w:rPr>
          <w:rFonts w:ascii="Times New Roman" w:hAnsi="Times New Roman" w:cs="Times New Roman"/>
        </w:rPr>
        <w:t xml:space="preserve">, treatments that may turn on or off over time, </w:t>
      </w:r>
      <w:r w:rsidRPr="00546D52">
        <w:rPr>
          <w:rFonts w:ascii="Times New Roman" w:hAnsi="Times New Roman" w:cs="Times New Roman"/>
        </w:rPr>
        <w:t>and</w:t>
      </w:r>
      <w:r>
        <w:rPr>
          <w:rFonts w:ascii="Times New Roman" w:hAnsi="Times New Roman" w:cs="Times New Roman"/>
        </w:rPr>
        <w:t>/or</w:t>
      </w:r>
      <w:r w:rsidRPr="00546D52">
        <w:rPr>
          <w:rFonts w:ascii="Times New Roman" w:hAnsi="Times New Roman" w:cs="Times New Roman"/>
        </w:rPr>
        <w:t xml:space="preserve"> unit-specific time trends</w:t>
      </w:r>
      <w:r>
        <w:rPr>
          <w:rFonts w:ascii="Times New Roman" w:hAnsi="Times New Roman" w:cs="Times New Roman"/>
        </w:rPr>
        <w:t xml:space="preserve"> </w:t>
      </w:r>
      <w:sdt>
        <w:sdtPr>
          <w:rPr>
            <w:rFonts w:ascii="Times New Roman" w:hAnsi="Times New Roman" w:cs="Times New Roman"/>
          </w:rPr>
          <w:id w:val="-1759522259"/>
          <w:citation/>
        </w:sdtPr>
        <w:sdtContent>
          <w:r>
            <w:rPr>
              <w:rFonts w:ascii="Times New Roman" w:hAnsi="Times New Roman" w:cs="Times New Roman"/>
            </w:rPr>
            <w:fldChar w:fldCharType="begin"/>
          </w:r>
          <w:r>
            <w:rPr>
              <w:rFonts w:ascii="Times New Roman" w:hAnsi="Times New Roman" w:cs="Times New Roman"/>
            </w:rPr>
            <w:instrText xml:space="preserve">CITATION Rot23 \t  \l 1033 </w:instrText>
          </w:r>
          <w:r>
            <w:rPr>
              <w:rFonts w:ascii="Times New Roman" w:hAnsi="Times New Roman" w:cs="Times New Roman"/>
            </w:rPr>
            <w:fldChar w:fldCharType="separate"/>
          </w:r>
          <w:r w:rsidRPr="00A10468">
            <w:rPr>
              <w:rFonts w:ascii="Times New Roman" w:hAnsi="Times New Roman" w:cs="Times New Roman"/>
              <w:noProof/>
            </w:rPr>
            <w:t>(Roth, Sant’Anna, Bilinski, &amp; Poe, 2023)</w:t>
          </w:r>
          <w:r>
            <w:rPr>
              <w:rFonts w:ascii="Times New Roman" w:hAnsi="Times New Roman" w:cs="Times New Roman"/>
            </w:rPr>
            <w:fldChar w:fldCharType="end"/>
          </w:r>
        </w:sdtContent>
      </w:sdt>
      <w:r>
        <w:rPr>
          <w:rFonts w:ascii="Times New Roman" w:hAnsi="Times New Roman" w:cs="Times New Roman"/>
        </w:rPr>
        <w:t>.</w:t>
      </w:r>
      <w:r w:rsidRPr="0097233A">
        <w:rPr>
          <w:rFonts w:ascii="Times New Roman" w:hAnsi="Times New Roman" w:cs="Times New Roman"/>
        </w:rPr>
        <w:t xml:space="preserve"> Assumptions for basic difference-in-difference models include: </w:t>
      </w:r>
    </w:p>
    <w:p w14:paraId="7D14918E" w14:textId="77777777" w:rsidR="00CD45D6" w:rsidRDefault="00CD45D6" w:rsidP="008F0AA3">
      <w:pPr>
        <w:pStyle w:val="TableofFigs"/>
      </w:pPr>
    </w:p>
    <w:bookmarkEnd w:id="60"/>
    <w:bookmarkEnd w:id="61"/>
    <w:p w14:paraId="24F4160B" w14:textId="77777777" w:rsidR="007524C2" w:rsidRDefault="007524C2" w:rsidP="003538E4">
      <w:pPr>
        <w:rPr>
          <w:rFonts w:ascii="Times New Roman" w:hAnsi="Times New Roman" w:cs="Times New Roman"/>
          <w:i/>
          <w:iCs/>
        </w:rPr>
      </w:pPr>
    </w:p>
    <w:p w14:paraId="0220AA7A" w14:textId="5A2AD974" w:rsidR="00E1238D" w:rsidRDefault="003E6576" w:rsidP="006013AE">
      <w:pPr>
        <w:spacing w:line="480" w:lineRule="auto"/>
        <w:rPr>
          <w:rFonts w:ascii="Times New Roman" w:hAnsi="Times New Roman" w:cs="Times New Roman"/>
          <w:i/>
          <w:iCs/>
        </w:rPr>
      </w:pPr>
      <w:r>
        <w:rPr>
          <w:noProof/>
        </w:rPr>
        <w:lastRenderedPageBreak/>
        <w:drawing>
          <wp:inline distT="0" distB="0" distL="0" distR="0" wp14:anchorId="74B4C3CB" wp14:editId="6EC38267">
            <wp:extent cx="5486400" cy="6061075"/>
            <wp:effectExtent l="0" t="0" r="12700" b="9525"/>
            <wp:docPr id="1085701403" name="Chart 1">
              <a:extLst xmlns:a="http://schemas.openxmlformats.org/drawingml/2006/main">
                <a:ext uri="{FF2B5EF4-FFF2-40B4-BE49-F238E27FC236}">
                  <a16:creationId xmlns:a16="http://schemas.microsoft.com/office/drawing/2014/main" id="{2A1A580A-5C11-4FA4-B194-0FD1A4CD1E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B2F7A9" w14:textId="77777777" w:rsidR="00CD45D6" w:rsidRPr="003D375B" w:rsidRDefault="00CD45D6" w:rsidP="00CD45D6">
      <w:pPr>
        <w:pStyle w:val="TableofFigs"/>
        <w:spacing w:line="240" w:lineRule="auto"/>
        <w:ind w:left="0" w:firstLine="0"/>
      </w:pPr>
      <w:r w:rsidRPr="00600A5C">
        <w:t>Figure 1</w:t>
      </w:r>
    </w:p>
    <w:p w14:paraId="25156AE7" w14:textId="534C0C3A" w:rsidR="00CD45D6" w:rsidRPr="00CD45D6" w:rsidRDefault="00CD45D6" w:rsidP="00CD45D6">
      <w:pPr>
        <w:rPr>
          <w:rFonts w:ascii="Times New Roman" w:hAnsi="Times New Roman" w:cs="Times New Roman"/>
          <w:i/>
          <w:iCs/>
        </w:rPr>
      </w:pPr>
      <w:r>
        <w:rPr>
          <w:rFonts w:ascii="Times New Roman" w:hAnsi="Times New Roman" w:cs="Times New Roman"/>
          <w:i/>
          <w:iCs/>
        </w:rPr>
        <w:t>Treatment Assignment Count Among Sample Institutions Per Year (All: For-profits &amp; Non-Profits)</w:t>
      </w:r>
    </w:p>
    <w:p w14:paraId="73DC4F77" w14:textId="4EC2DFED" w:rsidR="007C7138" w:rsidRPr="00930952" w:rsidRDefault="001E329E" w:rsidP="00CD45D6">
      <w:pPr>
        <w:rPr>
          <w:rFonts w:ascii="Times New Roman" w:hAnsi="Times New Roman" w:cs="Times New Roman"/>
        </w:rPr>
      </w:pPr>
      <w:r>
        <w:rPr>
          <w:rFonts w:ascii="Times New Roman" w:hAnsi="Times New Roman" w:cs="Times New Roman"/>
        </w:rPr>
        <w:t>This figure depicts d</w:t>
      </w:r>
      <w:r w:rsidR="00930952">
        <w:rPr>
          <w:rFonts w:ascii="Times New Roman" w:hAnsi="Times New Roman" w:cs="Times New Roman"/>
        </w:rPr>
        <w:t>istributions of treated and comparison group assignments overtime</w:t>
      </w:r>
      <w:r w:rsidR="00E52B6A">
        <w:rPr>
          <w:rFonts w:ascii="Times New Roman" w:hAnsi="Times New Roman" w:cs="Times New Roman"/>
        </w:rPr>
        <w:t xml:space="preserve"> for a sample that includes all sub-baccalaureate granting institutions</w:t>
      </w:r>
      <w:r w:rsidR="00930952">
        <w:rPr>
          <w:rFonts w:ascii="Times New Roman" w:hAnsi="Times New Roman" w:cs="Times New Roman"/>
        </w:rPr>
        <w:t>.</w:t>
      </w:r>
      <w:r>
        <w:rPr>
          <w:rFonts w:ascii="Times New Roman" w:hAnsi="Times New Roman" w:cs="Times New Roman"/>
        </w:rPr>
        <w:t xml:space="preserve"> Treatment group assignment does not change after treatment is turned on in this sample.</w:t>
      </w:r>
    </w:p>
    <w:p w14:paraId="1A58D052" w14:textId="1AEA0338" w:rsidR="007524C2" w:rsidRDefault="003E6576" w:rsidP="00CD45D6">
      <w:pPr>
        <w:pStyle w:val="TableofFigs"/>
        <w:spacing w:line="240" w:lineRule="auto"/>
        <w:rPr>
          <w:rFonts w:cs="Times New Roman"/>
          <w:i/>
          <w:iCs/>
        </w:rPr>
      </w:pPr>
      <w:r>
        <w:rPr>
          <w:i/>
        </w:rPr>
        <w:br w:type="page"/>
      </w:r>
    </w:p>
    <w:p w14:paraId="510C4E3A" w14:textId="554526DE" w:rsidR="00BC3883" w:rsidRDefault="000D53E9" w:rsidP="006013AE">
      <w:pPr>
        <w:spacing w:line="480" w:lineRule="auto"/>
        <w:rPr>
          <w:rFonts w:ascii="Times New Roman" w:hAnsi="Times New Roman" w:cs="Times New Roman"/>
          <w:i/>
          <w:iCs/>
        </w:rPr>
      </w:pPr>
      <w:r>
        <w:rPr>
          <w:noProof/>
        </w:rPr>
        <w:lastRenderedPageBreak/>
        <w:drawing>
          <wp:inline distT="0" distB="0" distL="0" distR="0" wp14:anchorId="7F6436D8" wp14:editId="75E8BDF8">
            <wp:extent cx="5486400" cy="5913755"/>
            <wp:effectExtent l="0" t="0" r="12700" b="17145"/>
            <wp:docPr id="18418035" name="Chart 1">
              <a:extLst xmlns:a="http://schemas.openxmlformats.org/drawingml/2006/main">
                <a:ext uri="{FF2B5EF4-FFF2-40B4-BE49-F238E27FC236}">
                  <a16:creationId xmlns:a16="http://schemas.microsoft.com/office/drawing/2014/main" id="{360DB808-77CD-4AE9-86BE-1EFECB336E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E315DFB" w14:textId="77777777" w:rsidR="00CD45D6" w:rsidRPr="003D375B" w:rsidRDefault="00CD45D6" w:rsidP="00CD45D6">
      <w:pPr>
        <w:pStyle w:val="TableofFigs"/>
        <w:spacing w:line="240" w:lineRule="auto"/>
      </w:pPr>
      <w:bookmarkStart w:id="63" w:name="_Toc179135799"/>
      <w:bookmarkStart w:id="64" w:name="_Toc180144582"/>
      <w:r w:rsidRPr="004C564E">
        <w:t>Figure 2</w:t>
      </w:r>
      <w:bookmarkEnd w:id="63"/>
      <w:bookmarkEnd w:id="64"/>
    </w:p>
    <w:p w14:paraId="26EF3EE7" w14:textId="77777777" w:rsidR="00CD45D6" w:rsidRDefault="00CD45D6" w:rsidP="00CD45D6">
      <w:pPr>
        <w:rPr>
          <w:rFonts w:ascii="Times New Roman" w:hAnsi="Times New Roman" w:cs="Times New Roman"/>
          <w:i/>
          <w:iCs/>
        </w:rPr>
      </w:pPr>
      <w:r>
        <w:rPr>
          <w:rFonts w:ascii="Times New Roman" w:hAnsi="Times New Roman" w:cs="Times New Roman"/>
          <w:i/>
          <w:iCs/>
        </w:rPr>
        <w:t>Treatment Assignment Count Among Sample Institutions Per Year (Non-Profits Only)</w:t>
      </w:r>
    </w:p>
    <w:p w14:paraId="4A402D5D" w14:textId="716543F2" w:rsidR="00E52B6A" w:rsidRPr="00930952" w:rsidRDefault="00E52B6A" w:rsidP="00E52B6A">
      <w:pPr>
        <w:rPr>
          <w:rFonts w:ascii="Times New Roman" w:hAnsi="Times New Roman" w:cs="Times New Roman"/>
        </w:rPr>
      </w:pPr>
      <w:r>
        <w:rPr>
          <w:rFonts w:ascii="Times New Roman" w:hAnsi="Times New Roman" w:cs="Times New Roman"/>
        </w:rPr>
        <w:t>This figure depicts distributions of treated and comparison group assignments overtime for a sample that includes only non-profit sub-baccalaureate granting institutions. Treatment group assignment does not change after treatment is turned on in this sample.</w:t>
      </w:r>
    </w:p>
    <w:p w14:paraId="740F7CD5" w14:textId="28253C50" w:rsidR="003D375B" w:rsidRDefault="003E6576" w:rsidP="003D375B">
      <w:pPr>
        <w:rPr>
          <w:rFonts w:ascii="Times New Roman" w:hAnsi="Times New Roman" w:cs="Times New Roman"/>
          <w:i/>
          <w:iCs/>
        </w:rPr>
      </w:pPr>
      <w:r>
        <w:rPr>
          <w:rFonts w:ascii="Times New Roman" w:hAnsi="Times New Roman" w:cs="Times New Roman"/>
          <w:i/>
          <w:iCs/>
        </w:rPr>
        <w:br w:type="page"/>
      </w:r>
    </w:p>
    <w:p w14:paraId="095250B9" w14:textId="7F9E40C5" w:rsidR="00E1238D" w:rsidRDefault="00D37B50" w:rsidP="006013AE">
      <w:pPr>
        <w:spacing w:line="480" w:lineRule="auto"/>
        <w:rPr>
          <w:rFonts w:ascii="Times New Roman" w:hAnsi="Times New Roman" w:cs="Times New Roman"/>
          <w:i/>
          <w:iCs/>
        </w:rPr>
      </w:pPr>
      <w:r>
        <w:rPr>
          <w:noProof/>
        </w:rPr>
        <w:lastRenderedPageBreak/>
        <w:drawing>
          <wp:inline distT="0" distB="0" distL="0" distR="0" wp14:anchorId="056A3E88" wp14:editId="0B7E8B70">
            <wp:extent cx="5486400" cy="6045835"/>
            <wp:effectExtent l="0" t="0" r="12700" b="12065"/>
            <wp:docPr id="1439560398" name="Chart 1">
              <a:extLst xmlns:a="http://schemas.openxmlformats.org/drawingml/2006/main">
                <a:ext uri="{FF2B5EF4-FFF2-40B4-BE49-F238E27FC236}">
                  <a16:creationId xmlns:a16="http://schemas.microsoft.com/office/drawing/2014/main" id="{BCBDBD52-8A85-4D44-91F4-08DC64F30F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A29462" w14:textId="77777777" w:rsidR="00CD45D6" w:rsidRPr="004C564E" w:rsidRDefault="00CD45D6" w:rsidP="00CD45D6">
      <w:pPr>
        <w:pStyle w:val="TableofFigs"/>
        <w:spacing w:line="240" w:lineRule="auto"/>
      </w:pPr>
      <w:bookmarkStart w:id="65" w:name="_Toc179135800"/>
      <w:bookmarkStart w:id="66" w:name="_Toc180144583"/>
      <w:r w:rsidRPr="004C564E">
        <w:t>Figure 3</w:t>
      </w:r>
      <w:bookmarkEnd w:id="65"/>
      <w:bookmarkEnd w:id="66"/>
    </w:p>
    <w:p w14:paraId="1F234BF2" w14:textId="77777777" w:rsidR="00CD45D6" w:rsidRDefault="00CD45D6" w:rsidP="00CD45D6">
      <w:pPr>
        <w:rPr>
          <w:rFonts w:ascii="Times New Roman" w:hAnsi="Times New Roman" w:cs="Times New Roman"/>
          <w:i/>
          <w:iCs/>
        </w:rPr>
      </w:pPr>
      <w:r>
        <w:rPr>
          <w:rFonts w:ascii="Times New Roman" w:hAnsi="Times New Roman" w:cs="Times New Roman"/>
          <w:i/>
          <w:iCs/>
        </w:rPr>
        <w:t>Treatment Assignment Count Among Sample Institutions Per Year (Public, Non-Profits Only)</w:t>
      </w:r>
    </w:p>
    <w:p w14:paraId="37A36588" w14:textId="1E23E842" w:rsidR="003D375B" w:rsidRPr="00CD45D6" w:rsidRDefault="00E52B6A" w:rsidP="003D375B">
      <w:pPr>
        <w:rPr>
          <w:rFonts w:ascii="Times New Roman" w:hAnsi="Times New Roman"/>
        </w:rPr>
      </w:pPr>
      <w:r>
        <w:rPr>
          <w:rFonts w:ascii="Times New Roman" w:hAnsi="Times New Roman" w:cs="Times New Roman"/>
        </w:rPr>
        <w:t>This figure depicts distributions of treated and comparison group assignments overtime for a sample that includes only public sub-baccalaureate granting institutions. Treatment group assignment does not change after treatment is turned on in this sample.</w:t>
      </w:r>
      <w:r w:rsidR="003E6576">
        <w:rPr>
          <w:rFonts w:ascii="Times New Roman" w:hAnsi="Times New Roman" w:cs="Times New Roman"/>
          <w:i/>
          <w:iCs/>
        </w:rPr>
        <w:br w:type="page"/>
      </w:r>
    </w:p>
    <w:p w14:paraId="6F6A0101" w14:textId="0D1B602B" w:rsidR="006013AE" w:rsidRPr="00C63272" w:rsidRDefault="000D53E9" w:rsidP="002E75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noProof/>
        </w:rPr>
        <w:lastRenderedPageBreak/>
        <w:drawing>
          <wp:inline distT="0" distB="0" distL="0" distR="0" wp14:anchorId="45B12EBE" wp14:editId="7771B505">
            <wp:extent cx="5486400" cy="5882640"/>
            <wp:effectExtent l="0" t="0" r="12700" b="10160"/>
            <wp:docPr id="961130684" name="Chart 1">
              <a:extLst xmlns:a="http://schemas.openxmlformats.org/drawingml/2006/main">
                <a:ext uri="{FF2B5EF4-FFF2-40B4-BE49-F238E27FC236}">
                  <a16:creationId xmlns:a16="http://schemas.microsoft.com/office/drawing/2014/main" id="{123AC6DB-0EF7-48BC-84F3-BC9A4E2735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3510DE" w14:textId="77777777" w:rsidR="00CD45D6" w:rsidRPr="00DE1830" w:rsidRDefault="00CD45D6" w:rsidP="00CD45D6">
      <w:pPr>
        <w:pStyle w:val="TableofFigs"/>
        <w:spacing w:line="240" w:lineRule="auto"/>
      </w:pPr>
      <w:bookmarkStart w:id="67" w:name="_Toc179135801"/>
      <w:bookmarkStart w:id="68" w:name="_Toc180144584"/>
      <w:r w:rsidRPr="00DE1830">
        <w:t>Figure 4</w:t>
      </w:r>
      <w:bookmarkEnd w:id="67"/>
      <w:bookmarkEnd w:id="68"/>
    </w:p>
    <w:p w14:paraId="78D4FE12" w14:textId="77777777" w:rsidR="00CD45D6" w:rsidRDefault="00CD45D6" w:rsidP="00CD45D6">
      <w:pPr>
        <w:rPr>
          <w:rFonts w:ascii="Times New Roman" w:hAnsi="Times New Roman" w:cs="Times New Roman"/>
          <w:i/>
          <w:iCs/>
        </w:rPr>
      </w:pPr>
      <w:r>
        <w:rPr>
          <w:rFonts w:ascii="Times New Roman" w:hAnsi="Times New Roman" w:cs="Times New Roman"/>
          <w:i/>
          <w:iCs/>
        </w:rPr>
        <w:t>Treatment Assignment Count Among Sample Institutions Per Year (State-funded, Public, Non-Profits Only)</w:t>
      </w:r>
    </w:p>
    <w:p w14:paraId="56A1C340" w14:textId="6B22B0DD" w:rsidR="00E52B6A" w:rsidRPr="00930952" w:rsidRDefault="00E52B6A" w:rsidP="00E52B6A">
      <w:pPr>
        <w:rPr>
          <w:rFonts w:ascii="Times New Roman" w:hAnsi="Times New Roman" w:cs="Times New Roman"/>
        </w:rPr>
      </w:pPr>
      <w:r>
        <w:rPr>
          <w:rFonts w:ascii="Times New Roman" w:hAnsi="Times New Roman" w:cs="Times New Roman"/>
        </w:rPr>
        <w:t>This figure depicts distributions of treated and comparison group assignments overtime for a sample that includes only state-funded sub-baccalaureate granting institutions. Treatment group assignment does not change after treatment is turned on in this sample.</w:t>
      </w:r>
    </w:p>
    <w:p w14:paraId="11DDA771" w14:textId="77777777" w:rsidR="003E6576" w:rsidRDefault="003E6576">
      <w:pPr>
        <w:rPr>
          <w:rFonts w:ascii="Times New Roman" w:hAnsi="Times New Roman" w:cs="Times New Roman"/>
        </w:rPr>
      </w:pPr>
      <w:r>
        <w:rPr>
          <w:rFonts w:ascii="Times New Roman" w:hAnsi="Times New Roman" w:cs="Times New Roman"/>
        </w:rPr>
        <w:br w:type="page"/>
      </w:r>
    </w:p>
    <w:p w14:paraId="081A0E83" w14:textId="77777777" w:rsidR="005349C0" w:rsidRPr="0097233A" w:rsidRDefault="005349C0" w:rsidP="00CD45D6">
      <w:pPr>
        <w:pStyle w:val="ListParagraph"/>
        <w:numPr>
          <w:ilvl w:val="0"/>
          <w:numId w:val="20"/>
        </w:numPr>
        <w:rPr>
          <w:rFonts w:ascii="Times New Roman" w:hAnsi="Times New Roman" w:cs="Times New Roman"/>
        </w:rPr>
      </w:pPr>
      <w:r w:rsidRPr="0097233A">
        <w:rPr>
          <w:rFonts w:ascii="Times New Roman" w:hAnsi="Times New Roman" w:cs="Times New Roman"/>
        </w:rPr>
        <w:lastRenderedPageBreak/>
        <w:t xml:space="preserve">that pre-treatment trend lines for the outcome should be close to parallel, </w:t>
      </w:r>
    </w:p>
    <w:p w14:paraId="6AAB6C43" w14:textId="77777777" w:rsidR="005349C0" w:rsidRPr="00546D52" w:rsidRDefault="005349C0" w:rsidP="00CD45D6">
      <w:pPr>
        <w:spacing w:line="480" w:lineRule="auto"/>
        <w:ind w:firstLine="720"/>
        <w:rPr>
          <w:rFonts w:ascii="Times New Roman" w:hAnsi="Times New Roman" w:cs="Times New Roman"/>
        </w:rPr>
      </w:pPr>
      <w:r w:rsidRPr="0097233A">
        <w:rPr>
          <w:rFonts w:ascii="Times New Roman" w:hAnsi="Times New Roman" w:cs="Times New Roman"/>
        </w:rPr>
        <w:t>(2) there should</w:t>
      </w:r>
      <w:r w:rsidRPr="00546D52">
        <w:rPr>
          <w:rFonts w:ascii="Times New Roman" w:hAnsi="Times New Roman" w:cs="Times New Roman"/>
        </w:rPr>
        <w:t xml:space="preserve"> be no anticipatory effects, and </w:t>
      </w:r>
    </w:p>
    <w:p w14:paraId="4D653AC7" w14:textId="77777777" w:rsidR="005349C0" w:rsidRPr="00546D52" w:rsidRDefault="005349C0" w:rsidP="00CD45D6">
      <w:pPr>
        <w:spacing w:line="480" w:lineRule="auto"/>
        <w:ind w:firstLine="720"/>
        <w:rPr>
          <w:rFonts w:ascii="Times New Roman" w:hAnsi="Times New Roman" w:cs="Times New Roman"/>
        </w:rPr>
      </w:pPr>
      <w:r w:rsidRPr="00546D52">
        <w:rPr>
          <w:rFonts w:ascii="Times New Roman" w:hAnsi="Times New Roman" w:cs="Times New Roman"/>
        </w:rPr>
        <w:t xml:space="preserve">(3) a sample is independent and identically distributed. </w:t>
      </w:r>
    </w:p>
    <w:p w14:paraId="3F8CC879" w14:textId="77777777" w:rsidR="005349C0" w:rsidRPr="00546D52" w:rsidRDefault="005349C0" w:rsidP="00CD45D6">
      <w:pPr>
        <w:spacing w:line="480" w:lineRule="auto"/>
        <w:rPr>
          <w:rFonts w:ascii="Times New Roman" w:hAnsi="Times New Roman" w:cs="Times New Roman"/>
        </w:rPr>
      </w:pPr>
      <w:r w:rsidRPr="00546D52">
        <w:rPr>
          <w:rFonts w:ascii="Times New Roman" w:hAnsi="Times New Roman" w:cs="Times New Roman"/>
        </w:rPr>
        <w:t xml:space="preserve">Assumptions for more advanced models that examine heterogenous treatment assignment such as my specified model include: </w:t>
      </w:r>
    </w:p>
    <w:p w14:paraId="16F39E2E" w14:textId="77777777" w:rsidR="005349C0" w:rsidRPr="00546D52" w:rsidRDefault="005349C0" w:rsidP="00CD45D6">
      <w:pPr>
        <w:spacing w:line="480" w:lineRule="auto"/>
        <w:ind w:left="1080" w:hanging="360"/>
        <w:rPr>
          <w:rFonts w:ascii="Times New Roman" w:hAnsi="Times New Roman" w:cs="Times New Roman"/>
        </w:rPr>
      </w:pPr>
      <w:r w:rsidRPr="00546D52">
        <w:rPr>
          <w:rFonts w:ascii="Times New Roman" w:hAnsi="Times New Roman" w:cs="Times New Roman"/>
        </w:rPr>
        <w:t xml:space="preserve">(4) that in the counterfactual where treatment had not occurred, the average outcomes for all adoption groups would have evolved in parallel and </w:t>
      </w:r>
    </w:p>
    <w:p w14:paraId="1B08047C" w14:textId="5BF15349" w:rsidR="005349C0" w:rsidRPr="00546D52" w:rsidRDefault="005349C0" w:rsidP="00CD45D6">
      <w:pPr>
        <w:spacing w:line="480" w:lineRule="auto"/>
        <w:ind w:left="1080" w:hanging="360"/>
        <w:rPr>
          <w:rFonts w:ascii="Times New Roman" w:hAnsi="Times New Roman" w:cs="Times New Roman"/>
        </w:rPr>
      </w:pPr>
      <w:r w:rsidRPr="00546D52">
        <w:rPr>
          <w:rFonts w:ascii="Times New Roman" w:hAnsi="Times New Roman" w:cs="Times New Roman"/>
        </w:rPr>
        <w:t xml:space="preserve">(5) if </w:t>
      </w:r>
      <w:r w:rsidR="00373292">
        <w:rPr>
          <w:rFonts w:ascii="Times New Roman" w:hAnsi="Times New Roman" w:cs="Times New Roman"/>
        </w:rPr>
        <w:t>the</w:t>
      </w:r>
      <w:r w:rsidRPr="00546D52">
        <w:rPr>
          <w:rFonts w:ascii="Times New Roman" w:hAnsi="Times New Roman" w:cs="Times New Roman"/>
        </w:rPr>
        <w:t xml:space="preserve"> unit is untreated in period </w:t>
      </w:r>
      <w:r w:rsidRPr="00373292">
        <w:rPr>
          <w:rFonts w:ascii="Times New Roman" w:hAnsi="Times New Roman" w:cs="Times New Roman"/>
          <w:i/>
          <w:iCs/>
        </w:rPr>
        <w:t>t</w:t>
      </w:r>
      <w:r w:rsidRPr="00546D52">
        <w:rPr>
          <w:rFonts w:ascii="Times New Roman" w:hAnsi="Times New Roman" w:cs="Times New Roman"/>
        </w:rPr>
        <w:t xml:space="preserve">, their outcome does not depend on what time period they will be treated in the future. </w:t>
      </w:r>
    </w:p>
    <w:p w14:paraId="1DA0BE40" w14:textId="77777777" w:rsidR="005349C0" w:rsidRPr="00546D52" w:rsidRDefault="005349C0" w:rsidP="00CD45D6">
      <w:pPr>
        <w:spacing w:line="480" w:lineRule="auto"/>
        <w:rPr>
          <w:rFonts w:ascii="Times New Roman" w:hAnsi="Times New Roman" w:cs="Times New Roman"/>
        </w:rPr>
      </w:pPr>
      <w:r w:rsidRPr="00546D52">
        <w:rPr>
          <w:rFonts w:ascii="Times New Roman" w:hAnsi="Times New Roman" w:cs="Times New Roman"/>
        </w:rPr>
        <w:t>In the coming sections, I review these assumptions for both the basic difference-in-difference specification and the additional assumptions required for my model using heterogenous treatment groups.</w:t>
      </w:r>
    </w:p>
    <w:p w14:paraId="3AAF4F61" w14:textId="2E4AE661" w:rsidR="005349C0" w:rsidRPr="00546D52" w:rsidRDefault="00B76686" w:rsidP="00CD45D6">
      <w:pPr>
        <w:pStyle w:val="Heading3"/>
        <w:spacing w:before="0" w:after="0"/>
      </w:pPr>
      <w:bookmarkStart w:id="69" w:name="_Toc183282277"/>
      <w:r>
        <w:t>Unit-Specific Time Trends</w:t>
      </w:r>
      <w:r w:rsidR="005349C0" w:rsidRPr="00546D52">
        <w:t xml:space="preserve"> </w:t>
      </w:r>
      <w:r w:rsidR="008B261C">
        <w:t>&amp; Parallel Pre-Treatment Trends</w:t>
      </w:r>
      <w:bookmarkEnd w:id="69"/>
    </w:p>
    <w:p w14:paraId="72850391" w14:textId="4C7E8956" w:rsidR="005349C0" w:rsidRDefault="00B76686" w:rsidP="00CD45D6">
      <w:pPr>
        <w:spacing w:line="480" w:lineRule="auto"/>
        <w:ind w:firstLine="720"/>
        <w:rPr>
          <w:rFonts w:ascii="Times New Roman" w:hAnsi="Times New Roman" w:cs="Times New Roman"/>
        </w:rPr>
      </w:pPr>
      <w:r>
        <w:rPr>
          <w:rFonts w:ascii="Times New Roman" w:hAnsi="Times New Roman" w:cs="Times New Roman"/>
        </w:rPr>
        <w:t>It is important that my</w:t>
      </w:r>
      <w:r w:rsidR="005349C0" w:rsidRPr="00546D52">
        <w:rPr>
          <w:rFonts w:ascii="Times New Roman" w:hAnsi="Times New Roman" w:cs="Times New Roman"/>
        </w:rPr>
        <w:t xml:space="preserve"> selected estimators are able to handle further complexity such as unit-specific time trends. This is because institutions that adopt promise programs may have pre-existing trend coefficients in enrollment and graduation counts that could be significantly different from zero which would bias comparisons made between the pre- and post-treatment groups. In this empirical </w:t>
      </w:r>
      <w:r w:rsidR="005349C0">
        <w:rPr>
          <w:rFonts w:ascii="Times New Roman" w:hAnsi="Times New Roman" w:cs="Times New Roman"/>
        </w:rPr>
        <w:t xml:space="preserve">design, establishing that the pre-treatment trends for the treated and comparison groups are not significantly different from one another establishes that parallel pre-treatment trends assumption. </w:t>
      </w:r>
    </w:p>
    <w:p w14:paraId="6F9EC742" w14:textId="54EFA232" w:rsidR="005349C0" w:rsidRPr="005349C0" w:rsidRDefault="005349C0" w:rsidP="00CD45D6">
      <w:pPr>
        <w:spacing w:line="480" w:lineRule="auto"/>
        <w:ind w:firstLine="720"/>
        <w:rPr>
          <w:rFonts w:ascii="Times New Roman" w:hAnsi="Times New Roman" w:cs="Times New Roman"/>
        </w:rPr>
      </w:pPr>
      <w:r>
        <w:rPr>
          <w:rFonts w:ascii="Times New Roman" w:hAnsi="Times New Roman" w:cs="Times New Roman"/>
        </w:rPr>
        <w:t xml:space="preserve">For example, an institution struggling with enrollment and graduation counts may be motivated to secure funding for a free college program as a strategy to boost </w:t>
      </w:r>
      <w:r>
        <w:rPr>
          <w:rFonts w:ascii="Times New Roman" w:hAnsi="Times New Roman" w:cs="Times New Roman"/>
        </w:rPr>
        <w:lastRenderedPageBreak/>
        <w:t>enrollment and stabilize institution finances. This type of pre-treatment trend would contribute to a significantly non-zero beta coefficient for an outcome of interest</w:t>
      </w:r>
      <w:r w:rsidR="004D36B1">
        <w:rPr>
          <w:rFonts w:ascii="Times New Roman" w:hAnsi="Times New Roman" w:cs="Times New Roman"/>
        </w:rPr>
        <w:t>. This introduces complications to my</w:t>
      </w:r>
      <w:r>
        <w:rPr>
          <w:rFonts w:ascii="Times New Roman" w:hAnsi="Times New Roman" w:cs="Times New Roman"/>
        </w:rPr>
        <w:t xml:space="preserve"> ability to draw out causal estimates between the comparison and treatment groups across the pre- and post-treatment periods</w:t>
      </w:r>
      <w:r w:rsidR="004D36B1">
        <w:rPr>
          <w:rFonts w:ascii="Times New Roman" w:hAnsi="Times New Roman" w:cs="Times New Roman"/>
        </w:rPr>
        <w:t xml:space="preserve"> which require</w:t>
      </w:r>
      <w:r w:rsidR="00B75D83">
        <w:rPr>
          <w:rFonts w:ascii="Times New Roman" w:hAnsi="Times New Roman" w:cs="Times New Roman"/>
        </w:rPr>
        <w:t xml:space="preserve">s consideration for unit-specific time trends in my empirical strategy. </w:t>
      </w:r>
    </w:p>
    <w:p w14:paraId="5AB5CCB8" w14:textId="15797589" w:rsidR="00A10F0C" w:rsidRPr="00334F2A" w:rsidRDefault="00A10F0C" w:rsidP="00CD45D6">
      <w:pPr>
        <w:pStyle w:val="Heading2"/>
        <w:spacing w:before="0" w:after="0"/>
      </w:pPr>
      <w:bookmarkStart w:id="70" w:name="_Toc183282278"/>
      <w:r w:rsidRPr="00334F2A">
        <w:t>Appl</w:t>
      </w:r>
      <w:r w:rsidR="000349F2">
        <w:t>ying</w:t>
      </w:r>
      <w:r w:rsidRPr="00334F2A">
        <w:t xml:space="preserve"> </w:t>
      </w:r>
      <w:r w:rsidR="000349F2">
        <w:t xml:space="preserve">a </w:t>
      </w:r>
      <w:r w:rsidRPr="00334F2A">
        <w:t>Staggered Difference-In-Difference</w:t>
      </w:r>
      <w:r w:rsidR="000349F2">
        <w:t xml:space="preserve"> Design</w:t>
      </w:r>
      <w:bookmarkEnd w:id="70"/>
    </w:p>
    <w:p w14:paraId="57931A1C" w14:textId="4280CC2E" w:rsidR="00C021CE" w:rsidRDefault="00A10F0C" w:rsidP="00CD45D6">
      <w:pPr>
        <w:spacing w:line="480" w:lineRule="auto"/>
        <w:ind w:firstLine="720"/>
        <w:rPr>
          <w:rFonts w:ascii="Times New Roman" w:hAnsi="Times New Roman" w:cs="Times New Roman"/>
        </w:rPr>
      </w:pPr>
      <w:r>
        <w:rPr>
          <w:rFonts w:ascii="Times New Roman" w:hAnsi="Times New Roman" w:cs="Times New Roman"/>
        </w:rPr>
        <w:t xml:space="preserve">Basic difference-in-difference has frequently been utilized to research promise programs </w:t>
      </w:r>
      <w:sdt>
        <w:sdtPr>
          <w:rPr>
            <w:rFonts w:ascii="Times New Roman" w:hAnsi="Times New Roman" w:cs="Times New Roman"/>
          </w:rPr>
          <w:id w:val="-1756352480"/>
          <w:citation/>
        </w:sdtPr>
        <w:sdtContent>
          <w:r w:rsidR="002A545C">
            <w:rPr>
              <w:rFonts w:ascii="Times New Roman" w:hAnsi="Times New Roman" w:cs="Times New Roman"/>
            </w:rPr>
            <w:fldChar w:fldCharType="begin"/>
          </w:r>
          <w:r w:rsidR="002A545C">
            <w:rPr>
              <w:rFonts w:ascii="Times New Roman" w:hAnsi="Times New Roman" w:cs="Times New Roman"/>
            </w:rPr>
            <w:instrText xml:space="preserve">CITATION Swa20 \t  \l 1033 </w:instrText>
          </w:r>
          <w:r w:rsidR="002A545C">
            <w:rPr>
              <w:rFonts w:ascii="Times New Roman" w:hAnsi="Times New Roman" w:cs="Times New Roman"/>
            </w:rPr>
            <w:fldChar w:fldCharType="separate"/>
          </w:r>
          <w:r w:rsidR="00A10468" w:rsidRPr="00A10468">
            <w:rPr>
              <w:rFonts w:ascii="Times New Roman" w:hAnsi="Times New Roman" w:cs="Times New Roman"/>
              <w:noProof/>
            </w:rPr>
            <w:t>(Swanson, Watson, &amp; Ritter, 2020)</w:t>
          </w:r>
          <w:r w:rsidR="002A545C">
            <w:rPr>
              <w:rFonts w:ascii="Times New Roman" w:hAnsi="Times New Roman" w:cs="Times New Roman"/>
            </w:rPr>
            <w:fldChar w:fldCharType="end"/>
          </w:r>
        </w:sdtContent>
      </w:sdt>
      <w:r w:rsidR="002A545C">
        <w:rPr>
          <w:rFonts w:ascii="Times New Roman" w:hAnsi="Times New Roman" w:cs="Times New Roman"/>
        </w:rPr>
        <w:t xml:space="preserve">. </w:t>
      </w:r>
      <w:r>
        <w:rPr>
          <w:rFonts w:ascii="Times New Roman" w:hAnsi="Times New Roman" w:cs="Times New Roman"/>
        </w:rPr>
        <w:t>As seen in the literature review and motivation for this study to establish a national estimate of the effect of promise programs on graduation, previous difference-in-difference studies on promise programs have mostly only studied a singular program</w:t>
      </w:r>
      <w:r w:rsidR="00C834D2">
        <w:rPr>
          <w:rFonts w:ascii="Times New Roman" w:hAnsi="Times New Roman" w:cs="Times New Roman"/>
        </w:rPr>
        <w:t xml:space="preserve"> and largely studied effects on enrollment</w:t>
      </w:r>
      <w:r w:rsidR="00D068BD">
        <w:rPr>
          <w:rFonts w:ascii="Times New Roman" w:hAnsi="Times New Roman" w:cs="Times New Roman"/>
        </w:rPr>
        <w:t xml:space="preserve"> with few studying effects on program completion</w:t>
      </w:r>
      <w:r>
        <w:rPr>
          <w:rFonts w:ascii="Times New Roman" w:hAnsi="Times New Roman" w:cs="Times New Roman"/>
        </w:rPr>
        <w:t>.</w:t>
      </w:r>
      <w:r w:rsidR="00F63F3D">
        <w:rPr>
          <w:rFonts w:ascii="Times New Roman" w:hAnsi="Times New Roman" w:cs="Times New Roman"/>
        </w:rPr>
        <w:t xml:space="preserve"> </w:t>
      </w:r>
      <w:r w:rsidR="00794D89">
        <w:rPr>
          <w:rFonts w:ascii="Times New Roman" w:hAnsi="Times New Roman" w:cs="Times New Roman"/>
        </w:rPr>
        <w:t xml:space="preserve">Based on my review of the literature to prepare for this study, I could </w:t>
      </w:r>
      <w:r w:rsidR="00F63F3D">
        <w:rPr>
          <w:rFonts w:ascii="Times New Roman" w:hAnsi="Times New Roman" w:cs="Times New Roman"/>
        </w:rPr>
        <w:t xml:space="preserve">only identify the Li </w:t>
      </w:r>
      <w:r w:rsidR="00B125F4">
        <w:rPr>
          <w:rFonts w:ascii="Times New Roman" w:hAnsi="Times New Roman" w:cs="Times New Roman"/>
        </w:rPr>
        <w:t xml:space="preserve">and </w:t>
      </w:r>
      <w:r w:rsidR="00B125F4" w:rsidRPr="00B125F4">
        <w:rPr>
          <w:rFonts w:ascii="Times New Roman" w:hAnsi="Times New Roman" w:cs="Times New Roman"/>
        </w:rPr>
        <w:t>Gándara</w:t>
      </w:r>
      <w:r w:rsidR="00B125F4">
        <w:rPr>
          <w:rFonts w:ascii="Times New Roman" w:hAnsi="Times New Roman" w:cs="Times New Roman"/>
        </w:rPr>
        <w:t xml:space="preserve"> </w:t>
      </w:r>
      <w:sdt>
        <w:sdtPr>
          <w:rPr>
            <w:rFonts w:ascii="Times New Roman" w:hAnsi="Times New Roman" w:cs="Times New Roman"/>
          </w:rPr>
          <w:id w:val="-451560405"/>
          <w:citation/>
        </w:sdtPr>
        <w:sdtContent>
          <w:r w:rsidR="002A545C">
            <w:rPr>
              <w:rFonts w:ascii="Times New Roman" w:hAnsi="Times New Roman" w:cs="Times New Roman"/>
            </w:rPr>
            <w:fldChar w:fldCharType="begin"/>
          </w:r>
          <w:r w:rsidR="002A545C">
            <w:rPr>
              <w:rFonts w:ascii="Times New Roman" w:hAnsi="Times New Roman" w:cs="Times New Roman"/>
            </w:rPr>
            <w:instrText xml:space="preserve">CITATION LiA20 \n  \t  \l 1033 </w:instrText>
          </w:r>
          <w:r w:rsidR="002A545C">
            <w:rPr>
              <w:rFonts w:ascii="Times New Roman" w:hAnsi="Times New Roman" w:cs="Times New Roman"/>
            </w:rPr>
            <w:fldChar w:fldCharType="separate"/>
          </w:r>
          <w:r w:rsidR="00A10468" w:rsidRPr="00A10468">
            <w:rPr>
              <w:rFonts w:ascii="Times New Roman" w:hAnsi="Times New Roman" w:cs="Times New Roman"/>
              <w:noProof/>
            </w:rPr>
            <w:t>(2020)</w:t>
          </w:r>
          <w:r w:rsidR="002A545C">
            <w:rPr>
              <w:rFonts w:ascii="Times New Roman" w:hAnsi="Times New Roman" w:cs="Times New Roman"/>
            </w:rPr>
            <w:fldChar w:fldCharType="end"/>
          </w:r>
        </w:sdtContent>
      </w:sdt>
      <w:r w:rsidR="002A545C">
        <w:rPr>
          <w:rFonts w:ascii="Times New Roman" w:hAnsi="Times New Roman" w:cs="Times New Roman"/>
        </w:rPr>
        <w:t xml:space="preserve"> </w:t>
      </w:r>
      <w:r w:rsidR="00B125F4">
        <w:rPr>
          <w:rFonts w:ascii="Times New Roman" w:hAnsi="Times New Roman" w:cs="Times New Roman"/>
        </w:rPr>
        <w:t xml:space="preserve">and </w:t>
      </w:r>
      <w:r w:rsidR="00B125F4" w:rsidRPr="00B125F4">
        <w:rPr>
          <w:rFonts w:ascii="Times New Roman" w:hAnsi="Times New Roman" w:cs="Times New Roman"/>
        </w:rPr>
        <w:t>Gándara</w:t>
      </w:r>
      <w:r w:rsidR="00B125F4">
        <w:rPr>
          <w:rFonts w:ascii="Times New Roman" w:hAnsi="Times New Roman" w:cs="Times New Roman"/>
        </w:rPr>
        <w:t xml:space="preserve"> and Li </w:t>
      </w:r>
      <w:sdt>
        <w:sdtPr>
          <w:rPr>
            <w:rFonts w:ascii="Times New Roman" w:hAnsi="Times New Roman" w:cs="Times New Roman"/>
          </w:rPr>
          <w:id w:val="1332183990"/>
          <w:citation/>
        </w:sdtPr>
        <w:sdtContent>
          <w:r w:rsidR="002A545C">
            <w:rPr>
              <w:rFonts w:ascii="Times New Roman" w:hAnsi="Times New Roman" w:cs="Times New Roman"/>
            </w:rPr>
            <w:fldChar w:fldCharType="begin"/>
          </w:r>
          <w:r w:rsidR="002A545C">
            <w:rPr>
              <w:rFonts w:ascii="Times New Roman" w:hAnsi="Times New Roman" w:cs="Times New Roman"/>
            </w:rPr>
            <w:instrText xml:space="preserve">CITATION Gan20 \n  \t  \l 1033 </w:instrText>
          </w:r>
          <w:r w:rsidR="002A545C">
            <w:rPr>
              <w:rFonts w:ascii="Times New Roman" w:hAnsi="Times New Roman" w:cs="Times New Roman"/>
            </w:rPr>
            <w:fldChar w:fldCharType="separate"/>
          </w:r>
          <w:r w:rsidR="00A10468" w:rsidRPr="00A10468">
            <w:rPr>
              <w:rFonts w:ascii="Times New Roman" w:hAnsi="Times New Roman" w:cs="Times New Roman"/>
              <w:noProof/>
            </w:rPr>
            <w:t>(2020)</w:t>
          </w:r>
          <w:r w:rsidR="002A545C">
            <w:rPr>
              <w:rFonts w:ascii="Times New Roman" w:hAnsi="Times New Roman" w:cs="Times New Roman"/>
            </w:rPr>
            <w:fldChar w:fldCharType="end"/>
          </w:r>
        </w:sdtContent>
      </w:sdt>
      <w:r w:rsidR="002A545C">
        <w:rPr>
          <w:rFonts w:ascii="Times New Roman" w:hAnsi="Times New Roman" w:cs="Times New Roman"/>
        </w:rPr>
        <w:t xml:space="preserve"> </w:t>
      </w:r>
      <w:r w:rsidR="005E093B">
        <w:rPr>
          <w:rFonts w:ascii="Times New Roman" w:hAnsi="Times New Roman" w:cs="Times New Roman"/>
        </w:rPr>
        <w:t xml:space="preserve">studies as having used some form of staggered difference-in-difference approach to study promise programs however </w:t>
      </w:r>
      <w:r w:rsidR="00F45FE4">
        <w:rPr>
          <w:rFonts w:ascii="Times New Roman" w:hAnsi="Times New Roman" w:cs="Times New Roman"/>
        </w:rPr>
        <w:t>their</w:t>
      </w:r>
      <w:r w:rsidR="005E093B">
        <w:rPr>
          <w:rFonts w:ascii="Times New Roman" w:hAnsi="Times New Roman" w:cs="Times New Roman"/>
        </w:rPr>
        <w:t xml:space="preserve"> sample utilized a much smaller range of treated groups </w:t>
      </w:r>
      <w:r w:rsidR="00376101">
        <w:rPr>
          <w:rFonts w:ascii="Times New Roman" w:hAnsi="Times New Roman" w:cs="Times New Roman"/>
        </w:rPr>
        <w:t>(</w:t>
      </w:r>
      <w:r w:rsidR="00376101">
        <w:rPr>
          <w:rFonts w:ascii="Times New Roman" w:hAnsi="Times New Roman" w:cs="Times New Roman"/>
          <w:i/>
          <w:iCs/>
        </w:rPr>
        <w:t xml:space="preserve">n = </w:t>
      </w:r>
      <w:r w:rsidR="00376101">
        <w:rPr>
          <w:rFonts w:ascii="Times New Roman" w:hAnsi="Times New Roman" w:cs="Times New Roman"/>
        </w:rPr>
        <w:t>32</w:t>
      </w:r>
      <w:r w:rsidR="00AE03B4">
        <w:rPr>
          <w:rFonts w:ascii="Times New Roman" w:hAnsi="Times New Roman" w:cs="Times New Roman"/>
        </w:rPr>
        <w:t>)</w:t>
      </w:r>
      <w:r w:rsidR="00376101">
        <w:rPr>
          <w:rFonts w:ascii="Times New Roman" w:hAnsi="Times New Roman" w:cs="Times New Roman"/>
        </w:rPr>
        <w:t xml:space="preserve"> and smaller comparison group </w:t>
      </w:r>
      <w:r w:rsidR="00386F30">
        <w:rPr>
          <w:rFonts w:ascii="Times New Roman" w:hAnsi="Times New Roman" w:cs="Times New Roman"/>
        </w:rPr>
        <w:t>that is unspecified in size but limited to the nearest 5-7 institutions of each treated college</w:t>
      </w:r>
      <w:r w:rsidR="00794D89">
        <w:rPr>
          <w:rFonts w:ascii="Times New Roman" w:hAnsi="Times New Roman" w:cs="Times New Roman"/>
        </w:rPr>
        <w:t xml:space="preserve">. </w:t>
      </w:r>
      <w:r w:rsidR="00D068BD">
        <w:rPr>
          <w:rFonts w:ascii="Times New Roman" w:hAnsi="Times New Roman" w:cs="Times New Roman"/>
        </w:rPr>
        <w:t xml:space="preserve">Additionally, </w:t>
      </w:r>
      <w:r w:rsidR="00AE03B4">
        <w:rPr>
          <w:rFonts w:ascii="Times New Roman" w:hAnsi="Times New Roman" w:cs="Times New Roman"/>
        </w:rPr>
        <w:t xml:space="preserve">these event studies </w:t>
      </w:r>
      <w:r w:rsidR="00657B49">
        <w:rPr>
          <w:rFonts w:ascii="Times New Roman" w:hAnsi="Times New Roman" w:cs="Times New Roman"/>
        </w:rPr>
        <w:t xml:space="preserve">focus on enrollment rather than completion. My study builds upon </w:t>
      </w:r>
      <w:r w:rsidR="00D068BD">
        <w:rPr>
          <w:rFonts w:ascii="Times New Roman" w:hAnsi="Times New Roman" w:cs="Times New Roman"/>
        </w:rPr>
        <w:t>this earlier work</w:t>
      </w:r>
      <w:r w:rsidR="00657B49">
        <w:rPr>
          <w:rFonts w:ascii="Times New Roman" w:hAnsi="Times New Roman" w:cs="Times New Roman"/>
        </w:rPr>
        <w:t xml:space="preserve"> by applying event study designs to </w:t>
      </w:r>
      <w:r w:rsidR="008062C7">
        <w:rPr>
          <w:rFonts w:ascii="Times New Roman" w:hAnsi="Times New Roman" w:cs="Times New Roman"/>
        </w:rPr>
        <w:t xml:space="preserve">the postsecondary outcome of completion. </w:t>
      </w:r>
      <w:r w:rsidR="009A25B4">
        <w:rPr>
          <w:rFonts w:ascii="Times New Roman" w:hAnsi="Times New Roman" w:cs="Times New Roman"/>
        </w:rPr>
        <w:t xml:space="preserve"> </w:t>
      </w:r>
    </w:p>
    <w:p w14:paraId="2176025D" w14:textId="06C1F81B" w:rsidR="00A10F0C" w:rsidRDefault="008062C7" w:rsidP="00CD45D6">
      <w:pPr>
        <w:spacing w:line="480" w:lineRule="auto"/>
        <w:ind w:firstLine="720"/>
        <w:rPr>
          <w:rFonts w:ascii="Times New Roman" w:hAnsi="Times New Roman" w:cs="Times New Roman"/>
        </w:rPr>
      </w:pPr>
      <w:r>
        <w:rPr>
          <w:rFonts w:ascii="Times New Roman" w:hAnsi="Times New Roman" w:cs="Times New Roman"/>
        </w:rPr>
        <w:t>Additionally, the</w:t>
      </w:r>
      <w:r w:rsidR="00A10F0C">
        <w:rPr>
          <w:rFonts w:ascii="Times New Roman" w:hAnsi="Times New Roman" w:cs="Times New Roman"/>
        </w:rPr>
        <w:t xml:space="preserve"> use of staggered difference-in-difference to study varying policy adoption timings (heterogeneous treatment) is useful in quasi-experimental settings because treated units such as states or institutions often adopt policies in a non-uniform </w:t>
      </w:r>
      <w:r w:rsidR="00A10F0C">
        <w:rPr>
          <w:rFonts w:ascii="Times New Roman" w:hAnsi="Times New Roman" w:cs="Times New Roman"/>
        </w:rPr>
        <w:lastRenderedPageBreak/>
        <w:t>manner. These studies where treatment may switch on in a non-uniform manner in a difference-in-difference model are also occasionally referred to as event studies. Outside of education they have been applied to designs studying</w:t>
      </w:r>
      <w:r w:rsidR="00923382">
        <w:rPr>
          <w:rFonts w:ascii="Times New Roman" w:hAnsi="Times New Roman" w:cs="Times New Roman"/>
        </w:rPr>
        <w:t xml:space="preserve"> other </w:t>
      </w:r>
      <w:r w:rsidR="00DA05B4">
        <w:rPr>
          <w:rFonts w:ascii="Times New Roman" w:hAnsi="Times New Roman" w:cs="Times New Roman"/>
        </w:rPr>
        <w:t>areas such as</w:t>
      </w:r>
      <w:r w:rsidR="00A10F0C">
        <w:rPr>
          <w:rFonts w:ascii="Times New Roman" w:hAnsi="Times New Roman" w:cs="Times New Roman"/>
        </w:rPr>
        <w:t xml:space="preserve"> automotive plant closures, family planning access, and healthcare reform</w:t>
      </w:r>
      <w:r w:rsidR="00460521">
        <w:rPr>
          <w:rFonts w:ascii="Times New Roman" w:hAnsi="Times New Roman" w:cs="Times New Roman"/>
        </w:rPr>
        <w:t xml:space="preserve"> </w:t>
      </w:r>
      <w:sdt>
        <w:sdtPr>
          <w:rPr>
            <w:rFonts w:ascii="Times New Roman" w:hAnsi="Times New Roman" w:cs="Times New Roman"/>
          </w:rPr>
          <w:id w:val="1112023612"/>
          <w:citation/>
        </w:sdtPr>
        <w:sdtContent>
          <w:r w:rsidR="00460521">
            <w:rPr>
              <w:rFonts w:ascii="Times New Roman" w:hAnsi="Times New Roman" w:cs="Times New Roman"/>
            </w:rPr>
            <w:fldChar w:fldCharType="begin"/>
          </w:r>
          <w:r w:rsidR="00E158F7">
            <w:rPr>
              <w:rFonts w:ascii="Times New Roman" w:hAnsi="Times New Roman" w:cs="Times New Roman"/>
            </w:rPr>
            <w:instrText xml:space="preserve">CITATION Ven20 \m Bai18 \m Dim20 \l 1033 </w:instrText>
          </w:r>
          <w:r w:rsidR="00460521">
            <w:rPr>
              <w:rFonts w:ascii="Times New Roman" w:hAnsi="Times New Roman" w:cs="Times New Roman"/>
            </w:rPr>
            <w:fldChar w:fldCharType="separate"/>
          </w:r>
          <w:r w:rsidR="00A10468" w:rsidRPr="00A10468">
            <w:rPr>
              <w:rFonts w:ascii="Times New Roman" w:hAnsi="Times New Roman" w:cs="Times New Roman"/>
              <w:noProof/>
            </w:rPr>
            <w:t>(Venkataramani, Bair, O’Brien, &amp; Tsai, 2020; Bailey &amp; Lindo, 2018; Dimitrovová, Perelman, &amp; Serrano-Alarcón, 2020)</w:t>
          </w:r>
          <w:r w:rsidR="00460521">
            <w:rPr>
              <w:rFonts w:ascii="Times New Roman" w:hAnsi="Times New Roman" w:cs="Times New Roman"/>
            </w:rPr>
            <w:fldChar w:fldCharType="end"/>
          </w:r>
        </w:sdtContent>
      </w:sdt>
      <w:r w:rsidR="004224C0">
        <w:rPr>
          <w:rFonts w:ascii="Times New Roman" w:hAnsi="Times New Roman" w:cs="Times New Roman"/>
        </w:rPr>
        <w:t xml:space="preserve">. </w:t>
      </w:r>
      <w:r w:rsidR="00A10F0C">
        <w:rPr>
          <w:rFonts w:ascii="Times New Roman" w:hAnsi="Times New Roman" w:cs="Times New Roman"/>
        </w:rPr>
        <w:t xml:space="preserve">Regarding education, staggered difference-in-difference has been utilized to study postsecondary finance policy, university reform, and intergenerational </w:t>
      </w:r>
      <w:r w:rsidR="00A10F0C" w:rsidRPr="002832B8">
        <w:rPr>
          <w:rFonts w:ascii="Times New Roman" w:hAnsi="Times New Roman" w:cs="Times New Roman"/>
        </w:rPr>
        <w:t>mobility</w:t>
      </w:r>
      <w:r w:rsidR="002832B8">
        <w:rPr>
          <w:rFonts w:ascii="Times New Roman" w:hAnsi="Times New Roman" w:cs="Times New Roman"/>
        </w:rPr>
        <w:t xml:space="preserve"> </w:t>
      </w:r>
      <w:sdt>
        <w:sdtPr>
          <w:rPr>
            <w:rFonts w:ascii="Times New Roman" w:hAnsi="Times New Roman" w:cs="Times New Roman"/>
          </w:rPr>
          <w:id w:val="1829014836"/>
          <w:citation/>
        </w:sdtPr>
        <w:sdtContent>
          <w:r w:rsidR="002832B8">
            <w:rPr>
              <w:rFonts w:ascii="Times New Roman" w:hAnsi="Times New Roman" w:cs="Times New Roman"/>
            </w:rPr>
            <w:fldChar w:fldCharType="begin"/>
          </w:r>
          <w:r w:rsidR="002832B8">
            <w:rPr>
              <w:rFonts w:ascii="Times New Roman" w:hAnsi="Times New Roman" w:cs="Times New Roman"/>
            </w:rPr>
            <w:instrText>CITATION Kel24 \t  \l 1033  \m Ort23</w:instrText>
          </w:r>
          <w:r w:rsidR="00675966">
            <w:rPr>
              <w:rFonts w:ascii="Times New Roman" w:hAnsi="Times New Roman" w:cs="Times New Roman"/>
            </w:rPr>
            <w:instrText xml:space="preserve"> \m Suh19</w:instrText>
          </w:r>
          <w:r w:rsidR="002832B8">
            <w:rPr>
              <w:rFonts w:ascii="Times New Roman" w:hAnsi="Times New Roman" w:cs="Times New Roman"/>
            </w:rPr>
            <w:fldChar w:fldCharType="separate"/>
          </w:r>
          <w:r w:rsidR="00A10468" w:rsidRPr="00A10468">
            <w:rPr>
              <w:rFonts w:ascii="Times New Roman" w:hAnsi="Times New Roman" w:cs="Times New Roman"/>
              <w:noProof/>
            </w:rPr>
            <w:t>(Kelchen &amp; Pingel, 2024; Ortagus, Rosinger, Kelchen, Voorhees, &amp; Chu, 2023; Suhonen &amp; Karhunen, 2019)</w:t>
          </w:r>
          <w:r w:rsidR="002832B8">
            <w:rPr>
              <w:rFonts w:ascii="Times New Roman" w:hAnsi="Times New Roman" w:cs="Times New Roman"/>
            </w:rPr>
            <w:fldChar w:fldCharType="end"/>
          </w:r>
        </w:sdtContent>
      </w:sdt>
      <w:r w:rsidR="00675966">
        <w:rPr>
          <w:rFonts w:ascii="Times New Roman" w:hAnsi="Times New Roman" w:cs="Times New Roman"/>
        </w:rPr>
        <w:t>.</w:t>
      </w:r>
      <w:r w:rsidR="00A10F0C">
        <w:rPr>
          <w:rFonts w:ascii="Times New Roman" w:hAnsi="Times New Roman" w:cs="Times New Roman"/>
        </w:rPr>
        <w:t xml:space="preserve"> </w:t>
      </w:r>
    </w:p>
    <w:p w14:paraId="40445FE8" w14:textId="3C60D7D6" w:rsidR="004D5335" w:rsidRDefault="00A10F0C" w:rsidP="00CD45D6">
      <w:pPr>
        <w:spacing w:line="480" w:lineRule="auto"/>
        <w:ind w:firstLine="720"/>
        <w:rPr>
          <w:rFonts w:ascii="Times New Roman" w:hAnsi="Times New Roman" w:cs="Times New Roman"/>
        </w:rPr>
      </w:pPr>
      <w:r>
        <w:rPr>
          <w:rFonts w:ascii="Times New Roman" w:hAnsi="Times New Roman" w:cs="Times New Roman"/>
        </w:rPr>
        <w:t xml:space="preserve">Regarding student outcomes specifically, staggered difference-in-difference has been utilized to study the effects of state performance policies on student loan debt and underrepresented minority student enrollment </w:t>
      </w:r>
      <w:sdt>
        <w:sdtPr>
          <w:rPr>
            <w:rFonts w:ascii="Times New Roman" w:hAnsi="Times New Roman" w:cs="Times New Roman"/>
          </w:rPr>
          <w:id w:val="-1524391838"/>
          <w:citation/>
        </w:sdtPr>
        <w:sdtContent>
          <w:r w:rsidR="00532A10">
            <w:rPr>
              <w:rFonts w:ascii="Times New Roman" w:hAnsi="Times New Roman" w:cs="Times New Roman"/>
            </w:rPr>
            <w:fldChar w:fldCharType="begin"/>
          </w:r>
          <w:r w:rsidR="00532A10">
            <w:rPr>
              <w:rFonts w:ascii="Times New Roman" w:hAnsi="Times New Roman" w:cs="Times New Roman"/>
            </w:rPr>
            <w:instrText xml:space="preserve"> CITATION Ros21 \l 1033 </w:instrText>
          </w:r>
          <w:r w:rsidR="003415F0">
            <w:rPr>
              <w:rFonts w:ascii="Times New Roman" w:hAnsi="Times New Roman" w:cs="Times New Roman"/>
            </w:rPr>
            <w:instrText xml:space="preserve"> \m Kel22</w:instrText>
          </w:r>
          <w:r w:rsidR="00532A10">
            <w:rPr>
              <w:rFonts w:ascii="Times New Roman" w:hAnsi="Times New Roman" w:cs="Times New Roman"/>
            </w:rPr>
            <w:fldChar w:fldCharType="separate"/>
          </w:r>
          <w:r w:rsidR="00A10468" w:rsidRPr="00A10468">
            <w:rPr>
              <w:rFonts w:ascii="Times New Roman" w:hAnsi="Times New Roman" w:cs="Times New Roman"/>
              <w:noProof/>
            </w:rPr>
            <w:t>(Rosinger, Ortagus, J., Cassell, &amp; Brown, 2021; Kelchen, Ortagus, Rosinger, &amp; Cassell, 2022)</w:t>
          </w:r>
          <w:r w:rsidR="00532A10">
            <w:rPr>
              <w:rFonts w:ascii="Times New Roman" w:hAnsi="Times New Roman" w:cs="Times New Roman"/>
            </w:rPr>
            <w:fldChar w:fldCharType="end"/>
          </w:r>
        </w:sdtContent>
      </w:sdt>
      <w:r w:rsidR="00532A10">
        <w:rPr>
          <w:rFonts w:ascii="Times New Roman" w:hAnsi="Times New Roman" w:cs="Times New Roman"/>
        </w:rPr>
        <w:t xml:space="preserve">. </w:t>
      </w:r>
      <w:r>
        <w:rPr>
          <w:rFonts w:ascii="Times New Roman" w:hAnsi="Times New Roman" w:cs="Times New Roman"/>
        </w:rPr>
        <w:t xml:space="preserve">However, examples of using staggered difference-in-difference are limited due to the relative newness of relevant statistical packages and on-going discussions as the field identifies the best </w:t>
      </w:r>
      <w:r w:rsidR="008726C4">
        <w:rPr>
          <w:rFonts w:ascii="Times New Roman" w:hAnsi="Times New Roman" w:cs="Times New Roman"/>
        </w:rPr>
        <w:t xml:space="preserve">staggered difference-in-difference </w:t>
      </w:r>
      <w:r>
        <w:rPr>
          <w:rFonts w:ascii="Times New Roman" w:hAnsi="Times New Roman" w:cs="Times New Roman"/>
        </w:rPr>
        <w:t>estimator for given situations</w:t>
      </w:r>
      <w:r w:rsidR="00CF09CE">
        <w:rPr>
          <w:rFonts w:ascii="Times New Roman" w:hAnsi="Times New Roman" w:cs="Times New Roman"/>
        </w:rPr>
        <w:t xml:space="preserve"> </w:t>
      </w:r>
      <w:sdt>
        <w:sdtPr>
          <w:rPr>
            <w:rFonts w:ascii="Times New Roman" w:hAnsi="Times New Roman" w:cs="Times New Roman"/>
          </w:rPr>
          <w:id w:val="103093724"/>
          <w:citation/>
        </w:sdtPr>
        <w:sdtContent>
          <w:r w:rsidR="00CF09CE">
            <w:rPr>
              <w:rFonts w:ascii="Times New Roman" w:hAnsi="Times New Roman" w:cs="Times New Roman"/>
            </w:rPr>
            <w:fldChar w:fldCharType="begin"/>
          </w:r>
          <w:r w:rsidR="00CF09CE">
            <w:rPr>
              <w:rFonts w:ascii="Times New Roman" w:hAnsi="Times New Roman" w:cs="Times New Roman"/>
            </w:rPr>
            <w:instrText xml:space="preserve"> CITATION Rot23 \l 1033 </w:instrText>
          </w:r>
          <w:r w:rsidR="00CF09CE">
            <w:rPr>
              <w:rFonts w:ascii="Times New Roman" w:hAnsi="Times New Roman" w:cs="Times New Roman"/>
            </w:rPr>
            <w:fldChar w:fldCharType="separate"/>
          </w:r>
          <w:r w:rsidR="00A10468" w:rsidRPr="00A10468">
            <w:rPr>
              <w:rFonts w:ascii="Times New Roman" w:hAnsi="Times New Roman" w:cs="Times New Roman"/>
              <w:noProof/>
            </w:rPr>
            <w:t>(Roth, Sant’Anna, Bilinski, &amp; Poe, 2023)</w:t>
          </w:r>
          <w:r w:rsidR="00CF09CE">
            <w:rPr>
              <w:rFonts w:ascii="Times New Roman" w:hAnsi="Times New Roman" w:cs="Times New Roman"/>
            </w:rPr>
            <w:fldChar w:fldCharType="end"/>
          </w:r>
        </w:sdtContent>
      </w:sdt>
      <w:r>
        <w:rPr>
          <w:rFonts w:ascii="Times New Roman" w:hAnsi="Times New Roman" w:cs="Times New Roman"/>
        </w:rPr>
        <w:t>. As packages are developed to support recent econometric developments</w:t>
      </w:r>
      <w:r w:rsidR="009576A4">
        <w:rPr>
          <w:rFonts w:ascii="Times New Roman" w:hAnsi="Times New Roman" w:cs="Times New Roman"/>
        </w:rPr>
        <w:t>,</w:t>
      </w:r>
      <w:r>
        <w:rPr>
          <w:rFonts w:ascii="Times New Roman" w:hAnsi="Times New Roman" w:cs="Times New Roman"/>
        </w:rPr>
        <w:t xml:space="preserve"> various </w:t>
      </w:r>
      <w:r w:rsidR="009576A4">
        <w:rPr>
          <w:rFonts w:ascii="Times New Roman" w:hAnsi="Times New Roman" w:cs="Times New Roman"/>
        </w:rPr>
        <w:t>approaches</w:t>
      </w:r>
      <w:r>
        <w:rPr>
          <w:rFonts w:ascii="Times New Roman" w:hAnsi="Times New Roman" w:cs="Times New Roman"/>
        </w:rPr>
        <w:t xml:space="preserve"> </w:t>
      </w:r>
      <w:r w:rsidR="009576A4">
        <w:rPr>
          <w:rFonts w:ascii="Times New Roman" w:hAnsi="Times New Roman" w:cs="Times New Roman"/>
        </w:rPr>
        <w:t xml:space="preserve">to staggered difference-in-difference </w:t>
      </w:r>
      <w:r>
        <w:rPr>
          <w:rFonts w:ascii="Times New Roman" w:hAnsi="Times New Roman" w:cs="Times New Roman"/>
        </w:rPr>
        <w:t>are limited and subject to future updates. For example, the recently identified extended two-way fixed effects estimator from Wool</w:t>
      </w:r>
      <w:r w:rsidR="00F24771">
        <w:rPr>
          <w:rFonts w:ascii="Times New Roman" w:hAnsi="Times New Roman" w:cs="Times New Roman"/>
        </w:rPr>
        <w:t>d</w:t>
      </w:r>
      <w:r>
        <w:rPr>
          <w:rFonts w:ascii="Times New Roman" w:hAnsi="Times New Roman" w:cs="Times New Roman"/>
        </w:rPr>
        <w:t xml:space="preserve">ridge utilizes sample heterogeneity by interacting cohort effects (adoption year) with time specific effects which is ideal for establishing an average treatment effect on </w:t>
      </w:r>
      <w:r>
        <w:rPr>
          <w:rFonts w:ascii="Times New Roman" w:hAnsi="Times New Roman" w:cs="Times New Roman"/>
        </w:rPr>
        <w:lastRenderedPageBreak/>
        <w:t>the treated; however, current packages for these extended-TWFE (ETWFE) model</w:t>
      </w:r>
      <w:r w:rsidR="0054648E">
        <w:rPr>
          <w:rFonts w:ascii="Times New Roman" w:hAnsi="Times New Roman" w:cs="Times New Roman"/>
        </w:rPr>
        <w:t>s</w:t>
      </w:r>
      <w:r>
        <w:rPr>
          <w:rFonts w:ascii="Times New Roman" w:hAnsi="Times New Roman" w:cs="Times New Roman"/>
        </w:rPr>
        <w:t xml:space="preserve"> are not able to account for unit-specific time trends. </w:t>
      </w:r>
    </w:p>
    <w:p w14:paraId="42AB6004" w14:textId="03E510E4" w:rsidR="005349C0" w:rsidRPr="00262293" w:rsidRDefault="00A10F0C" w:rsidP="00CD45D6">
      <w:pPr>
        <w:spacing w:line="480" w:lineRule="auto"/>
        <w:ind w:firstLine="720"/>
        <w:rPr>
          <w:rFonts w:ascii="Times New Roman" w:hAnsi="Times New Roman" w:cs="Times New Roman"/>
        </w:rPr>
      </w:pPr>
      <w:r w:rsidRPr="004D5335">
        <w:rPr>
          <w:rFonts w:ascii="Times New Roman" w:hAnsi="Times New Roman" w:cs="Times New Roman"/>
        </w:rPr>
        <w:t>Another leading estimator from Call</w:t>
      </w:r>
      <w:r w:rsidR="00992789" w:rsidRPr="004D5335">
        <w:rPr>
          <w:rFonts w:ascii="Times New Roman" w:hAnsi="Times New Roman" w:cs="Times New Roman"/>
        </w:rPr>
        <w:t>a</w:t>
      </w:r>
      <w:r w:rsidRPr="004D5335">
        <w:rPr>
          <w:rFonts w:ascii="Times New Roman" w:hAnsi="Times New Roman" w:cs="Times New Roman"/>
        </w:rPr>
        <w:t>way and Sant’</w:t>
      </w:r>
      <w:r w:rsidR="002C160C" w:rsidRPr="004D5335">
        <w:rPr>
          <w:rFonts w:ascii="Times New Roman" w:hAnsi="Times New Roman" w:cs="Times New Roman"/>
        </w:rPr>
        <w:t>A</w:t>
      </w:r>
      <w:r w:rsidRPr="004D5335">
        <w:rPr>
          <w:rFonts w:ascii="Times New Roman" w:hAnsi="Times New Roman" w:cs="Times New Roman"/>
        </w:rPr>
        <w:t>nna</w:t>
      </w:r>
      <w:r w:rsidR="003415F0">
        <w:rPr>
          <w:rFonts w:ascii="Times New Roman" w:hAnsi="Times New Roman" w:cs="Times New Roman"/>
        </w:rPr>
        <w:t xml:space="preserve"> </w:t>
      </w:r>
      <w:sdt>
        <w:sdtPr>
          <w:rPr>
            <w:rFonts w:ascii="Times New Roman" w:hAnsi="Times New Roman" w:cs="Times New Roman"/>
          </w:rPr>
          <w:id w:val="-609974807"/>
          <w:citation/>
        </w:sdtPr>
        <w:sdtContent>
          <w:r w:rsidR="003415F0">
            <w:rPr>
              <w:rFonts w:ascii="Times New Roman" w:hAnsi="Times New Roman" w:cs="Times New Roman"/>
            </w:rPr>
            <w:fldChar w:fldCharType="begin"/>
          </w:r>
          <w:r w:rsidR="003415F0">
            <w:rPr>
              <w:rFonts w:ascii="Times New Roman" w:hAnsi="Times New Roman" w:cs="Times New Roman"/>
            </w:rPr>
            <w:instrText xml:space="preserve">CITATION Bra21 \n  \t  \l 1033 </w:instrText>
          </w:r>
          <w:r w:rsidR="003415F0">
            <w:rPr>
              <w:rFonts w:ascii="Times New Roman" w:hAnsi="Times New Roman" w:cs="Times New Roman"/>
            </w:rPr>
            <w:fldChar w:fldCharType="separate"/>
          </w:r>
          <w:r w:rsidR="00A10468" w:rsidRPr="00A10468">
            <w:rPr>
              <w:rFonts w:ascii="Times New Roman" w:hAnsi="Times New Roman" w:cs="Times New Roman"/>
              <w:noProof/>
            </w:rPr>
            <w:t>(2021)</w:t>
          </w:r>
          <w:r w:rsidR="003415F0">
            <w:rPr>
              <w:rFonts w:ascii="Times New Roman" w:hAnsi="Times New Roman" w:cs="Times New Roman"/>
            </w:rPr>
            <w:fldChar w:fldCharType="end"/>
          </w:r>
        </w:sdtContent>
      </w:sdt>
      <w:r w:rsidRPr="004D5335">
        <w:rPr>
          <w:rFonts w:ascii="Times New Roman" w:hAnsi="Times New Roman" w:cs="Times New Roman"/>
        </w:rPr>
        <w:t xml:space="preserve"> also </w:t>
      </w:r>
      <w:r w:rsidR="004D5335" w:rsidRPr="004D5335">
        <w:rPr>
          <w:rFonts w:ascii="Times New Roman" w:hAnsi="Times New Roman" w:cs="Times New Roman"/>
        </w:rPr>
        <w:t xml:space="preserve">presents </w:t>
      </w:r>
      <w:r w:rsidRPr="004D5335">
        <w:rPr>
          <w:rFonts w:ascii="Times New Roman" w:hAnsi="Times New Roman" w:cs="Times New Roman"/>
        </w:rPr>
        <w:t xml:space="preserve">current software package </w:t>
      </w:r>
      <w:r w:rsidR="004D5335" w:rsidRPr="004D5335">
        <w:rPr>
          <w:rFonts w:ascii="Times New Roman" w:hAnsi="Times New Roman" w:cs="Times New Roman"/>
        </w:rPr>
        <w:t xml:space="preserve">limitations that </w:t>
      </w:r>
      <w:r w:rsidRPr="004D5335">
        <w:rPr>
          <w:rFonts w:ascii="Times New Roman" w:hAnsi="Times New Roman" w:cs="Times New Roman"/>
        </w:rPr>
        <w:t xml:space="preserve">do not allow for </w:t>
      </w:r>
      <w:r w:rsidR="004D5335" w:rsidRPr="004D5335">
        <w:rPr>
          <w:rFonts w:ascii="Times New Roman" w:hAnsi="Times New Roman" w:cs="Times New Roman"/>
        </w:rPr>
        <w:t xml:space="preserve">a </w:t>
      </w:r>
      <w:r w:rsidRPr="004D5335">
        <w:rPr>
          <w:rFonts w:ascii="Times New Roman" w:hAnsi="Times New Roman" w:cs="Times New Roman"/>
        </w:rPr>
        <w:t>specification</w:t>
      </w:r>
      <w:r w:rsidR="004D5335" w:rsidRPr="004D5335">
        <w:rPr>
          <w:rFonts w:ascii="Times New Roman" w:hAnsi="Times New Roman" w:cs="Times New Roman"/>
        </w:rPr>
        <w:t xml:space="preserve"> that accounts for unit-specific time trends</w:t>
      </w:r>
      <w:r w:rsidRPr="004D5335">
        <w:rPr>
          <w:rFonts w:ascii="Times New Roman" w:hAnsi="Times New Roman" w:cs="Times New Roman"/>
        </w:rPr>
        <w:t>. In selecting an appropriate estimator,</w:t>
      </w:r>
      <w:r>
        <w:rPr>
          <w:rFonts w:ascii="Times New Roman" w:hAnsi="Times New Roman" w:cs="Times New Roman"/>
        </w:rPr>
        <w:t xml:space="preserve"> I constructed Appendix </w:t>
      </w:r>
      <w:r w:rsidR="00A52C61">
        <w:rPr>
          <w:rFonts w:ascii="Times New Roman" w:hAnsi="Times New Roman" w:cs="Times New Roman"/>
        </w:rPr>
        <w:t>C</w:t>
      </w:r>
      <w:r>
        <w:rPr>
          <w:rFonts w:ascii="Times New Roman" w:hAnsi="Times New Roman" w:cs="Times New Roman"/>
        </w:rPr>
        <w:t xml:space="preserve"> which highlights strengths and weaknesses of current emerging estimators for staggered difference-in-difference. Given my samples issues with unit-specific time trends, I provide </w:t>
      </w:r>
      <w:r w:rsidRPr="00CD45D6">
        <w:rPr>
          <w:rFonts w:ascii="Times New Roman" w:hAnsi="Times New Roman" w:cs="Times New Roman"/>
          <w:b/>
          <w:bCs/>
        </w:rPr>
        <w:t xml:space="preserve">table </w:t>
      </w:r>
      <w:r w:rsidR="00FD7F94" w:rsidRPr="00CD45D6">
        <w:rPr>
          <w:rFonts w:ascii="Times New Roman" w:hAnsi="Times New Roman" w:cs="Times New Roman"/>
          <w:b/>
          <w:bCs/>
        </w:rPr>
        <w:t>4</w:t>
      </w:r>
      <w:r w:rsidR="00DC3650">
        <w:rPr>
          <w:rFonts w:ascii="Times New Roman" w:hAnsi="Times New Roman" w:cs="Times New Roman"/>
        </w:rPr>
        <w:t xml:space="preserve"> </w:t>
      </w:r>
      <w:r>
        <w:rPr>
          <w:rFonts w:ascii="Times New Roman" w:hAnsi="Times New Roman" w:cs="Times New Roman"/>
        </w:rPr>
        <w:t xml:space="preserve">to track which models are capable </w:t>
      </w:r>
      <w:r w:rsidR="005349C0">
        <w:rPr>
          <w:rFonts w:ascii="Times New Roman" w:hAnsi="Times New Roman" w:cs="Times New Roman"/>
        </w:rPr>
        <w:t>for accounting for my sample’s issue of unit-specific time trends and identify whether that model is utilized in my data analysis strategy.</w:t>
      </w:r>
    </w:p>
    <w:p w14:paraId="4AA4260C" w14:textId="77777777" w:rsidR="00CD45D6" w:rsidRDefault="00CD45D6" w:rsidP="00CD45D6">
      <w:pPr>
        <w:pStyle w:val="Heading2"/>
        <w:spacing w:before="0" w:after="0"/>
      </w:pPr>
      <w:bookmarkStart w:id="71" w:name="_Toc183282279"/>
      <w:r w:rsidRPr="0036471E">
        <w:t>Data Analysis</w:t>
      </w:r>
      <w:bookmarkEnd w:id="71"/>
    </w:p>
    <w:p w14:paraId="16547EFE" w14:textId="77777777" w:rsidR="00CD45D6" w:rsidRDefault="00CD45D6" w:rsidP="00CD45D6">
      <w:pPr>
        <w:spacing w:line="480" w:lineRule="auto"/>
        <w:ind w:firstLine="720"/>
        <w:rPr>
          <w:rFonts w:ascii="Times New Roman" w:hAnsi="Times New Roman" w:cs="Times New Roman"/>
        </w:rPr>
      </w:pPr>
      <w:r>
        <w:rPr>
          <w:rFonts w:ascii="Times New Roman" w:hAnsi="Times New Roman" w:cs="Times New Roman"/>
        </w:rPr>
        <w:t xml:space="preserve">With only the interaction weighted </w:t>
      </w:r>
      <w:sdt>
        <w:sdtPr>
          <w:rPr>
            <w:rFonts w:ascii="Times New Roman" w:hAnsi="Times New Roman" w:cs="Times New Roman"/>
          </w:rPr>
          <w:id w:val="447127135"/>
          <w:citation/>
        </w:sdtPr>
        <w:sdtContent>
          <w:r>
            <w:rPr>
              <w:rFonts w:ascii="Times New Roman" w:hAnsi="Times New Roman" w:cs="Times New Roman"/>
            </w:rPr>
            <w:fldChar w:fldCharType="begin"/>
          </w:r>
          <w:r>
            <w:rPr>
              <w:rFonts w:ascii="Times New Roman" w:hAnsi="Times New Roman" w:cs="Times New Roman"/>
            </w:rPr>
            <w:instrText xml:space="preserve"> CITATION Sun21 \l 1033 </w:instrText>
          </w:r>
          <w:r>
            <w:rPr>
              <w:rFonts w:ascii="Times New Roman" w:hAnsi="Times New Roman" w:cs="Times New Roman"/>
            </w:rPr>
            <w:fldChar w:fldCharType="separate"/>
          </w:r>
          <w:r w:rsidRPr="00A10468">
            <w:rPr>
              <w:rFonts w:ascii="Times New Roman" w:hAnsi="Times New Roman" w:cs="Times New Roman"/>
              <w:noProof/>
            </w:rPr>
            <w:t>(Sun &amp; Abraham, 2021)</w:t>
          </w:r>
          <w:r>
            <w:rPr>
              <w:rFonts w:ascii="Times New Roman" w:hAnsi="Times New Roman" w:cs="Times New Roman"/>
            </w:rPr>
            <w:fldChar w:fldCharType="end"/>
          </w:r>
        </w:sdtContent>
      </w:sdt>
      <w:r>
        <w:rPr>
          <w:rFonts w:ascii="Times New Roman" w:hAnsi="Times New Roman" w:cs="Times New Roman"/>
        </w:rPr>
        <w:t xml:space="preserve"> and imputation </w:t>
      </w:r>
      <w:sdt>
        <w:sdtPr>
          <w:rPr>
            <w:rFonts w:ascii="Times New Roman" w:hAnsi="Times New Roman" w:cs="Times New Roman"/>
          </w:rPr>
          <w:id w:val="-698776842"/>
          <w:citation/>
        </w:sdtPr>
        <w:sdtContent>
          <w:r>
            <w:rPr>
              <w:rFonts w:ascii="Times New Roman" w:hAnsi="Times New Roman" w:cs="Times New Roman"/>
            </w:rPr>
            <w:fldChar w:fldCharType="begin"/>
          </w:r>
          <w:r>
            <w:rPr>
              <w:rFonts w:ascii="Times New Roman" w:hAnsi="Times New Roman" w:cs="Times New Roman"/>
            </w:rPr>
            <w:instrText xml:space="preserve">CITATION Bor24 \t  \l 1033 </w:instrText>
          </w:r>
          <w:r>
            <w:rPr>
              <w:rFonts w:ascii="Times New Roman" w:hAnsi="Times New Roman" w:cs="Times New Roman"/>
            </w:rPr>
            <w:fldChar w:fldCharType="separate"/>
          </w:r>
          <w:r w:rsidRPr="00A10468">
            <w:rPr>
              <w:rFonts w:ascii="Times New Roman" w:hAnsi="Times New Roman" w:cs="Times New Roman"/>
              <w:noProof/>
            </w:rPr>
            <w:t>(Borusyak, Jaravel, &amp; Spiess, 2024)</w:t>
          </w:r>
          <w:r>
            <w:rPr>
              <w:rFonts w:ascii="Times New Roman" w:hAnsi="Times New Roman" w:cs="Times New Roman"/>
            </w:rPr>
            <w:fldChar w:fldCharType="end"/>
          </w:r>
        </w:sdtContent>
      </w:sdt>
      <w:r>
        <w:rPr>
          <w:rFonts w:ascii="Times New Roman" w:hAnsi="Times New Roman" w:cs="Times New Roman"/>
        </w:rPr>
        <w:t xml:space="preserve"> approaches being able to unit-specific time trends with current packages, I selected these two approaches as my estimators for this dissertation. </w:t>
      </w:r>
      <w:r w:rsidRPr="00546D52">
        <w:rPr>
          <w:rFonts w:ascii="Times New Roman" w:hAnsi="Times New Roman" w:cs="Times New Roman"/>
        </w:rPr>
        <w:t xml:space="preserve">I selected the interaction weighted estimator </w:t>
      </w:r>
      <w:r>
        <w:rPr>
          <w:rFonts w:ascii="Times New Roman" w:hAnsi="Times New Roman" w:cs="Times New Roman"/>
        </w:rPr>
        <w:t xml:space="preserve">as my preferred approach </w:t>
      </w:r>
      <w:r w:rsidRPr="00546D52">
        <w:rPr>
          <w:rFonts w:ascii="Times New Roman" w:hAnsi="Times New Roman" w:cs="Times New Roman"/>
        </w:rPr>
        <w:t xml:space="preserve">because the imputation estimator has a noted issue of showing a jump in time of treatment even in the absence of a treatment effect which results in unreliable visual heuristics tests for parallel </w:t>
      </w:r>
      <w:r>
        <w:rPr>
          <w:rFonts w:ascii="Times New Roman" w:hAnsi="Times New Roman" w:cs="Times New Roman"/>
        </w:rPr>
        <w:t>pre-treatment</w:t>
      </w:r>
      <w:r w:rsidRPr="00546D52">
        <w:rPr>
          <w:rFonts w:ascii="Times New Roman" w:hAnsi="Times New Roman" w:cs="Times New Roman"/>
        </w:rPr>
        <w:t xml:space="preserve"> trends</w:t>
      </w:r>
      <w:r>
        <w:rPr>
          <w:rFonts w:ascii="Times New Roman" w:hAnsi="Times New Roman" w:cs="Times New Roman"/>
          <w:noProof/>
        </w:rPr>
        <w:t xml:space="preserve"> </w:t>
      </w:r>
      <w:r w:rsidRPr="00693756">
        <w:rPr>
          <w:rFonts w:ascii="Times New Roman" w:hAnsi="Times New Roman" w:cs="Times New Roman"/>
          <w:noProof/>
        </w:rPr>
        <w:t>(Roth, 2024)</w:t>
      </w:r>
      <w:r>
        <w:rPr>
          <w:rFonts w:ascii="Times New Roman" w:hAnsi="Times New Roman" w:cs="Times New Roman"/>
        </w:rPr>
        <w:t>.</w:t>
      </w:r>
      <w:r w:rsidRPr="00546D52">
        <w:rPr>
          <w:rFonts w:ascii="Times New Roman" w:hAnsi="Times New Roman" w:cs="Times New Roman"/>
        </w:rPr>
        <w:t xml:space="preserve"> </w:t>
      </w:r>
      <w:r>
        <w:rPr>
          <w:rFonts w:ascii="Times New Roman" w:hAnsi="Times New Roman" w:cs="Times New Roman"/>
        </w:rPr>
        <w:t xml:space="preserve">I still choose to include this approach as the next best fit for one estimator among several emerging estimators in the field. </w:t>
      </w:r>
    </w:p>
    <w:p w14:paraId="53CA3A5A" w14:textId="438F61E7" w:rsidR="00022AD4" w:rsidRDefault="00022AD4" w:rsidP="00483B7C">
      <w:pPr>
        <w:spacing w:line="480" w:lineRule="auto"/>
        <w:rPr>
          <w:rFonts w:ascii="Times New Roman" w:hAnsi="Times New Roman" w:cs="Times New Roman"/>
        </w:rPr>
      </w:pPr>
    </w:p>
    <w:p w14:paraId="06589180" w14:textId="77777777" w:rsidR="00CD45D6" w:rsidRPr="00546D52" w:rsidRDefault="00CD45D6" w:rsidP="00483B7C">
      <w:pPr>
        <w:spacing w:line="480" w:lineRule="auto"/>
        <w:rPr>
          <w:rFonts w:ascii="Times New Roman" w:hAnsi="Times New Roman" w:cs="Times New Roman"/>
        </w:rPr>
      </w:pPr>
    </w:p>
    <w:p w14:paraId="08D5A300" w14:textId="575C8358" w:rsidR="00022AD4" w:rsidRPr="00245787" w:rsidRDefault="00A10F0C" w:rsidP="00504669">
      <w:pPr>
        <w:pStyle w:val="Caption"/>
        <w:spacing w:before="0" w:after="0" w:line="240" w:lineRule="auto"/>
      </w:pPr>
      <w:bookmarkStart w:id="72" w:name="_Toc179135215"/>
      <w:bookmarkStart w:id="73" w:name="_Toc179136134"/>
      <w:bookmarkStart w:id="74" w:name="_Toc179888479"/>
      <w:bookmarkStart w:id="75" w:name="_Toc181297760"/>
      <w:bookmarkStart w:id="76" w:name="_Toc180144567"/>
      <w:r w:rsidRPr="0075398F">
        <w:lastRenderedPageBreak/>
        <w:t xml:space="preserve">Table </w:t>
      </w:r>
      <w:r w:rsidR="00FD7F94">
        <w:t>4</w:t>
      </w:r>
      <w:bookmarkEnd w:id="72"/>
      <w:bookmarkEnd w:id="73"/>
      <w:bookmarkEnd w:id="74"/>
      <w:bookmarkEnd w:id="75"/>
      <w:bookmarkEnd w:id="76"/>
    </w:p>
    <w:p w14:paraId="530B500C" w14:textId="6B53CC68" w:rsidR="00A10F0C" w:rsidRDefault="00A10F0C" w:rsidP="00504669">
      <w:pPr>
        <w:rPr>
          <w:rFonts w:ascii="Times New Roman" w:hAnsi="Times New Roman" w:cs="Times New Roman"/>
          <w:i/>
          <w:iCs/>
        </w:rPr>
      </w:pPr>
      <w:r>
        <w:rPr>
          <w:rFonts w:ascii="Times New Roman" w:hAnsi="Times New Roman" w:cs="Times New Roman"/>
          <w:i/>
          <w:iCs/>
        </w:rPr>
        <w:t xml:space="preserve">Selected Staggered Difference-in-Difference Estimators for Present Study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2250"/>
        <w:gridCol w:w="2070"/>
        <w:gridCol w:w="1885"/>
      </w:tblGrid>
      <w:tr w:rsidR="00A10F0C" w:rsidRPr="005E2A6B" w14:paraId="7B123423" w14:textId="77777777" w:rsidTr="00971930">
        <w:tc>
          <w:tcPr>
            <w:tcW w:w="2425" w:type="dxa"/>
            <w:tcBorders>
              <w:bottom w:val="single" w:sz="4" w:space="0" w:color="auto"/>
            </w:tcBorders>
            <w:vAlign w:val="bottom"/>
          </w:tcPr>
          <w:p w14:paraId="740ACDA6" w14:textId="77777777" w:rsidR="00A10F0C" w:rsidRPr="005E2A6B" w:rsidRDefault="00A10F0C">
            <w:pPr>
              <w:rPr>
                <w:rFonts w:ascii="Times New Roman" w:hAnsi="Times New Roman" w:cs="Times New Roman"/>
                <w:b/>
                <w:bCs/>
              </w:rPr>
            </w:pPr>
            <w:r w:rsidRPr="005E2A6B">
              <w:rPr>
                <w:rFonts w:ascii="Times New Roman" w:hAnsi="Times New Roman" w:cs="Times New Roman"/>
                <w:b/>
                <w:bCs/>
              </w:rPr>
              <w:t xml:space="preserve">Staggered DiD </w:t>
            </w:r>
          </w:p>
          <w:p w14:paraId="5D804BB8" w14:textId="77777777" w:rsidR="00A10F0C" w:rsidRPr="005E2A6B" w:rsidRDefault="00A10F0C">
            <w:pPr>
              <w:rPr>
                <w:rFonts w:ascii="Times New Roman" w:hAnsi="Times New Roman" w:cs="Times New Roman"/>
                <w:b/>
                <w:bCs/>
              </w:rPr>
            </w:pPr>
            <w:r w:rsidRPr="005E2A6B">
              <w:rPr>
                <w:rFonts w:ascii="Times New Roman" w:hAnsi="Times New Roman" w:cs="Times New Roman"/>
                <w:b/>
                <w:bCs/>
              </w:rPr>
              <w:t xml:space="preserve">Estimator </w:t>
            </w:r>
          </w:p>
        </w:tc>
        <w:tc>
          <w:tcPr>
            <w:tcW w:w="2250" w:type="dxa"/>
            <w:tcBorders>
              <w:bottom w:val="single" w:sz="4" w:space="0" w:color="auto"/>
            </w:tcBorders>
            <w:vAlign w:val="bottom"/>
          </w:tcPr>
          <w:p w14:paraId="1DE5B9C6" w14:textId="77777777" w:rsidR="00A10F0C" w:rsidRPr="005E2A6B" w:rsidRDefault="00A10F0C">
            <w:pPr>
              <w:rPr>
                <w:rFonts w:ascii="Times New Roman" w:hAnsi="Times New Roman" w:cs="Times New Roman"/>
                <w:b/>
                <w:bCs/>
              </w:rPr>
            </w:pPr>
            <w:r w:rsidRPr="005E2A6B">
              <w:rPr>
                <w:rFonts w:ascii="Times New Roman" w:hAnsi="Times New Roman" w:cs="Times New Roman"/>
                <w:b/>
                <w:bCs/>
              </w:rPr>
              <w:t>Current Packages Can Account for Unit-Specific Time Trends</w:t>
            </w:r>
          </w:p>
        </w:tc>
        <w:tc>
          <w:tcPr>
            <w:tcW w:w="2070" w:type="dxa"/>
            <w:tcBorders>
              <w:bottom w:val="single" w:sz="4" w:space="0" w:color="auto"/>
            </w:tcBorders>
            <w:vAlign w:val="bottom"/>
          </w:tcPr>
          <w:p w14:paraId="111491F0" w14:textId="77777777" w:rsidR="00A10F0C" w:rsidRPr="005E2A6B" w:rsidRDefault="00A10F0C">
            <w:pPr>
              <w:rPr>
                <w:rFonts w:ascii="Times New Roman" w:hAnsi="Times New Roman" w:cs="Times New Roman"/>
                <w:b/>
                <w:bCs/>
              </w:rPr>
            </w:pPr>
            <w:r w:rsidRPr="005E2A6B">
              <w:rPr>
                <w:rFonts w:ascii="Times New Roman" w:hAnsi="Times New Roman" w:cs="Times New Roman"/>
                <w:b/>
                <w:bCs/>
              </w:rPr>
              <w:t>Produces a Composite ATT</w:t>
            </w:r>
          </w:p>
        </w:tc>
        <w:tc>
          <w:tcPr>
            <w:tcW w:w="1885" w:type="dxa"/>
            <w:tcBorders>
              <w:bottom w:val="single" w:sz="4" w:space="0" w:color="auto"/>
            </w:tcBorders>
            <w:vAlign w:val="bottom"/>
          </w:tcPr>
          <w:p w14:paraId="5D2F4FB8" w14:textId="77777777" w:rsidR="00A10F0C" w:rsidRPr="005E2A6B" w:rsidRDefault="00A10F0C">
            <w:pPr>
              <w:rPr>
                <w:rFonts w:ascii="Times New Roman" w:hAnsi="Times New Roman" w:cs="Times New Roman"/>
                <w:b/>
                <w:bCs/>
              </w:rPr>
            </w:pPr>
            <w:r w:rsidRPr="005E2A6B">
              <w:rPr>
                <w:rFonts w:ascii="Times New Roman" w:hAnsi="Times New Roman" w:cs="Times New Roman"/>
                <w:b/>
                <w:bCs/>
              </w:rPr>
              <w:t>Standalone Estimator / Not a Diagnostic Tool</w:t>
            </w:r>
          </w:p>
        </w:tc>
      </w:tr>
      <w:tr w:rsidR="00A10F0C" w:rsidRPr="005E2A6B" w14:paraId="4CB38610" w14:textId="77777777" w:rsidTr="00EB6407">
        <w:tc>
          <w:tcPr>
            <w:tcW w:w="2425" w:type="dxa"/>
            <w:tcBorders>
              <w:top w:val="single" w:sz="4" w:space="0" w:color="auto"/>
            </w:tcBorders>
          </w:tcPr>
          <w:p w14:paraId="2B963DD1" w14:textId="77777777" w:rsidR="00A10F0C" w:rsidRPr="005E2A6B" w:rsidRDefault="00A10F0C" w:rsidP="00EB6407">
            <w:pPr>
              <w:rPr>
                <w:rFonts w:ascii="Times New Roman" w:hAnsi="Times New Roman" w:cs="Times New Roman"/>
              </w:rPr>
            </w:pPr>
            <w:r w:rsidRPr="005E2A6B">
              <w:rPr>
                <w:rFonts w:ascii="Times New Roman" w:hAnsi="Times New Roman" w:cs="Times New Roman"/>
              </w:rPr>
              <w:t>Classic TWFE</w:t>
            </w:r>
          </w:p>
          <w:p w14:paraId="04670AF2" w14:textId="77777777" w:rsidR="00971930" w:rsidRPr="005E2A6B" w:rsidRDefault="00971930" w:rsidP="00EB6407">
            <w:pPr>
              <w:rPr>
                <w:rFonts w:ascii="Times New Roman" w:hAnsi="Times New Roman" w:cs="Times New Roman"/>
              </w:rPr>
            </w:pPr>
          </w:p>
        </w:tc>
        <w:tc>
          <w:tcPr>
            <w:tcW w:w="2250" w:type="dxa"/>
            <w:tcBorders>
              <w:top w:val="single" w:sz="4" w:space="0" w:color="auto"/>
            </w:tcBorders>
          </w:tcPr>
          <w:p w14:paraId="001B8C82"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No</w:t>
            </w:r>
          </w:p>
        </w:tc>
        <w:tc>
          <w:tcPr>
            <w:tcW w:w="2070" w:type="dxa"/>
            <w:tcBorders>
              <w:top w:val="single" w:sz="4" w:space="0" w:color="auto"/>
            </w:tcBorders>
          </w:tcPr>
          <w:p w14:paraId="3BE9F93F"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Yes</w:t>
            </w:r>
          </w:p>
        </w:tc>
        <w:tc>
          <w:tcPr>
            <w:tcW w:w="1885" w:type="dxa"/>
            <w:tcBorders>
              <w:top w:val="single" w:sz="4" w:space="0" w:color="auto"/>
            </w:tcBorders>
          </w:tcPr>
          <w:p w14:paraId="1A0BAB33"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Standalone</w:t>
            </w:r>
          </w:p>
        </w:tc>
      </w:tr>
      <w:tr w:rsidR="00A10F0C" w:rsidRPr="005E2A6B" w14:paraId="26E144FF" w14:textId="77777777" w:rsidTr="00EB6407">
        <w:tc>
          <w:tcPr>
            <w:tcW w:w="2425" w:type="dxa"/>
          </w:tcPr>
          <w:p w14:paraId="2BD6A012" w14:textId="77777777" w:rsidR="00A10F0C" w:rsidRPr="005E2A6B" w:rsidRDefault="00A10F0C" w:rsidP="00EB6407">
            <w:pPr>
              <w:rPr>
                <w:rFonts w:ascii="Times New Roman" w:hAnsi="Times New Roman" w:cs="Times New Roman"/>
              </w:rPr>
            </w:pPr>
            <w:r w:rsidRPr="005E2A6B">
              <w:rPr>
                <w:rFonts w:ascii="Times New Roman" w:hAnsi="Times New Roman" w:cs="Times New Roman"/>
              </w:rPr>
              <w:t>Interaction Weighted</w:t>
            </w:r>
          </w:p>
          <w:p w14:paraId="1E2AF90B" w14:textId="77777777" w:rsidR="00971930" w:rsidRPr="005E2A6B" w:rsidRDefault="00971930" w:rsidP="00EB6407">
            <w:pPr>
              <w:rPr>
                <w:rFonts w:ascii="Times New Roman" w:hAnsi="Times New Roman" w:cs="Times New Roman"/>
              </w:rPr>
            </w:pPr>
          </w:p>
        </w:tc>
        <w:tc>
          <w:tcPr>
            <w:tcW w:w="2250" w:type="dxa"/>
          </w:tcPr>
          <w:p w14:paraId="71A0DDAE"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Yes</w:t>
            </w:r>
          </w:p>
        </w:tc>
        <w:tc>
          <w:tcPr>
            <w:tcW w:w="2070" w:type="dxa"/>
          </w:tcPr>
          <w:p w14:paraId="43654F60"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No</w:t>
            </w:r>
          </w:p>
        </w:tc>
        <w:tc>
          <w:tcPr>
            <w:tcW w:w="1885" w:type="dxa"/>
          </w:tcPr>
          <w:p w14:paraId="20A2F6C2"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Standalone</w:t>
            </w:r>
          </w:p>
        </w:tc>
      </w:tr>
      <w:tr w:rsidR="00A10F0C" w:rsidRPr="005E2A6B" w14:paraId="4E32AFA3" w14:textId="77777777" w:rsidTr="00EB6407">
        <w:tc>
          <w:tcPr>
            <w:tcW w:w="2425" w:type="dxa"/>
          </w:tcPr>
          <w:p w14:paraId="1D97C752" w14:textId="77777777" w:rsidR="00971930" w:rsidRPr="005E2A6B" w:rsidRDefault="00A10F0C" w:rsidP="00EB6407">
            <w:pPr>
              <w:rPr>
                <w:rFonts w:ascii="Times New Roman" w:hAnsi="Times New Roman" w:cs="Times New Roman"/>
              </w:rPr>
            </w:pPr>
            <w:r w:rsidRPr="005E2A6B">
              <w:rPr>
                <w:rFonts w:ascii="Times New Roman" w:hAnsi="Times New Roman" w:cs="Times New Roman"/>
              </w:rPr>
              <w:t>Doubly Robust</w:t>
            </w:r>
          </w:p>
          <w:p w14:paraId="2B20C048" w14:textId="7E9CBBAA" w:rsidR="00EB6407" w:rsidRPr="005E2A6B" w:rsidRDefault="00EB6407" w:rsidP="00EB6407">
            <w:pPr>
              <w:rPr>
                <w:rFonts w:ascii="Times New Roman" w:hAnsi="Times New Roman" w:cs="Times New Roman"/>
              </w:rPr>
            </w:pPr>
          </w:p>
        </w:tc>
        <w:tc>
          <w:tcPr>
            <w:tcW w:w="2250" w:type="dxa"/>
          </w:tcPr>
          <w:p w14:paraId="227D553D"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No</w:t>
            </w:r>
          </w:p>
        </w:tc>
        <w:tc>
          <w:tcPr>
            <w:tcW w:w="2070" w:type="dxa"/>
          </w:tcPr>
          <w:p w14:paraId="3D3BB8C9"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No</w:t>
            </w:r>
          </w:p>
        </w:tc>
        <w:tc>
          <w:tcPr>
            <w:tcW w:w="1885" w:type="dxa"/>
          </w:tcPr>
          <w:p w14:paraId="372CD6A1" w14:textId="77777777" w:rsidR="00A10F0C" w:rsidRPr="005E2A6B" w:rsidRDefault="00A10F0C" w:rsidP="00EB6407">
            <w:pPr>
              <w:jc w:val="center"/>
              <w:rPr>
                <w:rFonts w:ascii="Times New Roman" w:hAnsi="Times New Roman" w:cs="Times New Roman"/>
              </w:rPr>
            </w:pPr>
          </w:p>
        </w:tc>
      </w:tr>
      <w:tr w:rsidR="00A10F0C" w:rsidRPr="005E2A6B" w14:paraId="506FF99F" w14:textId="77777777" w:rsidTr="00EB6407">
        <w:tc>
          <w:tcPr>
            <w:tcW w:w="2425" w:type="dxa"/>
          </w:tcPr>
          <w:p w14:paraId="528FF37E" w14:textId="62C64770" w:rsidR="00971930" w:rsidRPr="005E2A6B" w:rsidRDefault="00A10F0C" w:rsidP="00EB6407">
            <w:pPr>
              <w:rPr>
                <w:rFonts w:ascii="Times New Roman" w:hAnsi="Times New Roman" w:cs="Times New Roman"/>
              </w:rPr>
            </w:pPr>
            <w:r w:rsidRPr="005E2A6B">
              <w:rPr>
                <w:rFonts w:ascii="Times New Roman" w:hAnsi="Times New Roman" w:cs="Times New Roman"/>
              </w:rPr>
              <w:t>Decomposition</w:t>
            </w:r>
          </w:p>
          <w:p w14:paraId="63A05DEA" w14:textId="77777777" w:rsidR="00A10F0C" w:rsidRPr="005E2A6B" w:rsidRDefault="00A10F0C" w:rsidP="00EB6407">
            <w:pPr>
              <w:rPr>
                <w:rFonts w:ascii="Times New Roman" w:hAnsi="Times New Roman" w:cs="Times New Roman"/>
              </w:rPr>
            </w:pPr>
            <w:r w:rsidRPr="005E2A6B">
              <w:rPr>
                <w:rFonts w:ascii="Times New Roman" w:hAnsi="Times New Roman" w:cs="Times New Roman"/>
              </w:rPr>
              <w:t>(weighted average of all possible 2x2 estimators)</w:t>
            </w:r>
          </w:p>
          <w:p w14:paraId="0988CF31" w14:textId="5DD86B0E" w:rsidR="00EB6407" w:rsidRPr="005E2A6B" w:rsidRDefault="00EB6407" w:rsidP="00EB6407">
            <w:pPr>
              <w:rPr>
                <w:rFonts w:ascii="Times New Roman" w:hAnsi="Times New Roman" w:cs="Times New Roman"/>
              </w:rPr>
            </w:pPr>
          </w:p>
        </w:tc>
        <w:tc>
          <w:tcPr>
            <w:tcW w:w="2250" w:type="dxa"/>
          </w:tcPr>
          <w:p w14:paraId="60814F82"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n/a</w:t>
            </w:r>
          </w:p>
        </w:tc>
        <w:tc>
          <w:tcPr>
            <w:tcW w:w="2070" w:type="dxa"/>
          </w:tcPr>
          <w:p w14:paraId="5BD41DB8"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Yes</w:t>
            </w:r>
          </w:p>
        </w:tc>
        <w:tc>
          <w:tcPr>
            <w:tcW w:w="1885" w:type="dxa"/>
          </w:tcPr>
          <w:p w14:paraId="73850078" w14:textId="7578508D" w:rsidR="00A10F0C" w:rsidRPr="005E2A6B" w:rsidRDefault="00A07FD6" w:rsidP="00EB6407">
            <w:pPr>
              <w:jc w:val="center"/>
              <w:rPr>
                <w:rFonts w:ascii="Times New Roman" w:hAnsi="Times New Roman" w:cs="Times New Roman"/>
              </w:rPr>
            </w:pPr>
            <w:r w:rsidRPr="005E2A6B">
              <w:rPr>
                <w:rFonts w:ascii="Times New Roman" w:hAnsi="Times New Roman" w:cs="Times New Roman"/>
              </w:rPr>
              <w:t xml:space="preserve">Primarily a </w:t>
            </w:r>
            <w:r w:rsidR="00A10F0C" w:rsidRPr="005E2A6B">
              <w:rPr>
                <w:rFonts w:ascii="Times New Roman" w:hAnsi="Times New Roman" w:cs="Times New Roman"/>
              </w:rPr>
              <w:t>Diagnostic Tool</w:t>
            </w:r>
          </w:p>
        </w:tc>
      </w:tr>
      <w:tr w:rsidR="00A10F0C" w:rsidRPr="005E2A6B" w14:paraId="38D2CF3F" w14:textId="77777777" w:rsidTr="00EB6407">
        <w:tc>
          <w:tcPr>
            <w:tcW w:w="2425" w:type="dxa"/>
          </w:tcPr>
          <w:p w14:paraId="771C43E6" w14:textId="77777777" w:rsidR="00A10F0C" w:rsidRPr="005E2A6B" w:rsidRDefault="00A10F0C" w:rsidP="00EB6407">
            <w:pPr>
              <w:rPr>
                <w:rFonts w:ascii="Times New Roman" w:hAnsi="Times New Roman" w:cs="Times New Roman"/>
              </w:rPr>
            </w:pPr>
            <w:r w:rsidRPr="005E2A6B">
              <w:rPr>
                <w:rFonts w:ascii="Times New Roman" w:hAnsi="Times New Roman" w:cs="Times New Roman"/>
              </w:rPr>
              <w:t>Decomposition (weighted average of all ATEs across group-time combinations)</w:t>
            </w:r>
          </w:p>
          <w:p w14:paraId="72C836AE" w14:textId="77777777" w:rsidR="00EB6407" w:rsidRPr="005E2A6B" w:rsidRDefault="00EB6407" w:rsidP="00EB6407">
            <w:pPr>
              <w:rPr>
                <w:rFonts w:ascii="Times New Roman" w:hAnsi="Times New Roman" w:cs="Times New Roman"/>
              </w:rPr>
            </w:pPr>
          </w:p>
        </w:tc>
        <w:tc>
          <w:tcPr>
            <w:tcW w:w="2250" w:type="dxa"/>
          </w:tcPr>
          <w:p w14:paraId="05E69CF6"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n/a</w:t>
            </w:r>
          </w:p>
        </w:tc>
        <w:tc>
          <w:tcPr>
            <w:tcW w:w="2070" w:type="dxa"/>
          </w:tcPr>
          <w:p w14:paraId="7B2044A2"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Yes</w:t>
            </w:r>
          </w:p>
        </w:tc>
        <w:tc>
          <w:tcPr>
            <w:tcW w:w="1885" w:type="dxa"/>
          </w:tcPr>
          <w:p w14:paraId="1FF5EEB1" w14:textId="20CFDD0E" w:rsidR="00A10F0C" w:rsidRPr="005E2A6B" w:rsidRDefault="00A07FD6" w:rsidP="00EB6407">
            <w:pPr>
              <w:jc w:val="center"/>
              <w:rPr>
                <w:rFonts w:ascii="Times New Roman" w:hAnsi="Times New Roman" w:cs="Times New Roman"/>
              </w:rPr>
            </w:pPr>
            <w:r w:rsidRPr="005E2A6B">
              <w:rPr>
                <w:rFonts w:ascii="Times New Roman" w:hAnsi="Times New Roman" w:cs="Times New Roman"/>
              </w:rPr>
              <w:t xml:space="preserve">Primarily a </w:t>
            </w:r>
            <w:r w:rsidR="00A10F0C" w:rsidRPr="005E2A6B">
              <w:rPr>
                <w:rFonts w:ascii="Times New Roman" w:hAnsi="Times New Roman" w:cs="Times New Roman"/>
              </w:rPr>
              <w:t>Diagnostic Tool</w:t>
            </w:r>
          </w:p>
        </w:tc>
      </w:tr>
      <w:tr w:rsidR="00A10F0C" w:rsidRPr="005E2A6B" w14:paraId="798698F0" w14:textId="77777777" w:rsidTr="00EB6407">
        <w:tc>
          <w:tcPr>
            <w:tcW w:w="2425" w:type="dxa"/>
          </w:tcPr>
          <w:p w14:paraId="5848196C" w14:textId="6BAF8BCC" w:rsidR="00A10F0C" w:rsidRPr="005E2A6B" w:rsidRDefault="00A10F0C" w:rsidP="00EB6407">
            <w:pPr>
              <w:rPr>
                <w:rFonts w:ascii="Times New Roman" w:hAnsi="Times New Roman" w:cs="Times New Roman"/>
              </w:rPr>
            </w:pPr>
            <w:r w:rsidRPr="005E2A6B">
              <w:rPr>
                <w:rFonts w:ascii="Times New Roman" w:hAnsi="Times New Roman" w:cs="Times New Roman"/>
              </w:rPr>
              <w:t>Imputation</w:t>
            </w:r>
          </w:p>
          <w:p w14:paraId="0A6580A7" w14:textId="77777777" w:rsidR="00EB6407" w:rsidRPr="005E2A6B" w:rsidRDefault="00EB6407" w:rsidP="00EB6407">
            <w:pPr>
              <w:rPr>
                <w:rFonts w:ascii="Times New Roman" w:hAnsi="Times New Roman" w:cs="Times New Roman"/>
              </w:rPr>
            </w:pPr>
          </w:p>
        </w:tc>
        <w:tc>
          <w:tcPr>
            <w:tcW w:w="2250" w:type="dxa"/>
          </w:tcPr>
          <w:p w14:paraId="73053532"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Yes</w:t>
            </w:r>
          </w:p>
        </w:tc>
        <w:tc>
          <w:tcPr>
            <w:tcW w:w="2070" w:type="dxa"/>
          </w:tcPr>
          <w:p w14:paraId="29D6B7A7"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No</w:t>
            </w:r>
          </w:p>
        </w:tc>
        <w:tc>
          <w:tcPr>
            <w:tcW w:w="1885" w:type="dxa"/>
          </w:tcPr>
          <w:p w14:paraId="2D503824"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Standalone</w:t>
            </w:r>
          </w:p>
        </w:tc>
      </w:tr>
      <w:tr w:rsidR="00A10F0C" w:rsidRPr="005E2A6B" w14:paraId="1A999F3E" w14:textId="77777777" w:rsidTr="00EB6407">
        <w:tc>
          <w:tcPr>
            <w:tcW w:w="2425" w:type="dxa"/>
          </w:tcPr>
          <w:p w14:paraId="62C94C05" w14:textId="77777777" w:rsidR="00A10F0C" w:rsidRPr="005E2A6B" w:rsidRDefault="00A10F0C" w:rsidP="00EB6407">
            <w:pPr>
              <w:rPr>
                <w:rFonts w:ascii="Times New Roman" w:hAnsi="Times New Roman" w:cs="Times New Roman"/>
              </w:rPr>
            </w:pPr>
            <w:r w:rsidRPr="005E2A6B">
              <w:rPr>
                <w:rFonts w:ascii="Times New Roman" w:hAnsi="Times New Roman" w:cs="Times New Roman"/>
              </w:rPr>
              <w:t>Regression Adjustment</w:t>
            </w:r>
          </w:p>
          <w:p w14:paraId="3BA6238D" w14:textId="77777777" w:rsidR="00EB6407" w:rsidRPr="005E2A6B" w:rsidRDefault="00EB6407" w:rsidP="00EB6407">
            <w:pPr>
              <w:rPr>
                <w:rFonts w:ascii="Times New Roman" w:hAnsi="Times New Roman" w:cs="Times New Roman"/>
              </w:rPr>
            </w:pPr>
          </w:p>
        </w:tc>
        <w:tc>
          <w:tcPr>
            <w:tcW w:w="2250" w:type="dxa"/>
          </w:tcPr>
          <w:p w14:paraId="6FAEB581"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No</w:t>
            </w:r>
          </w:p>
        </w:tc>
        <w:tc>
          <w:tcPr>
            <w:tcW w:w="2070" w:type="dxa"/>
          </w:tcPr>
          <w:p w14:paraId="1C761B8A"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Yes</w:t>
            </w:r>
          </w:p>
        </w:tc>
        <w:tc>
          <w:tcPr>
            <w:tcW w:w="1885" w:type="dxa"/>
          </w:tcPr>
          <w:p w14:paraId="7A0B3267"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Standalone</w:t>
            </w:r>
          </w:p>
        </w:tc>
      </w:tr>
      <w:tr w:rsidR="00A10F0C" w:rsidRPr="005E2A6B" w14:paraId="35200A2C" w14:textId="77777777" w:rsidTr="00EB6407">
        <w:tc>
          <w:tcPr>
            <w:tcW w:w="2425" w:type="dxa"/>
            <w:tcBorders>
              <w:bottom w:val="single" w:sz="4" w:space="0" w:color="auto"/>
            </w:tcBorders>
          </w:tcPr>
          <w:p w14:paraId="127ED0E3" w14:textId="77777777" w:rsidR="00A10F0C" w:rsidRPr="005E2A6B" w:rsidRDefault="00A10F0C" w:rsidP="00EB6407">
            <w:pPr>
              <w:rPr>
                <w:rFonts w:ascii="Times New Roman" w:hAnsi="Times New Roman" w:cs="Times New Roman"/>
              </w:rPr>
            </w:pPr>
            <w:r w:rsidRPr="005E2A6B">
              <w:rPr>
                <w:rFonts w:ascii="Times New Roman" w:hAnsi="Times New Roman" w:cs="Times New Roman"/>
              </w:rPr>
              <w:t>Extended TWFE</w:t>
            </w:r>
          </w:p>
        </w:tc>
        <w:tc>
          <w:tcPr>
            <w:tcW w:w="2250" w:type="dxa"/>
            <w:tcBorders>
              <w:bottom w:val="single" w:sz="4" w:space="0" w:color="auto"/>
            </w:tcBorders>
          </w:tcPr>
          <w:p w14:paraId="26205342" w14:textId="4892F178" w:rsidR="00A10F0C" w:rsidRPr="005E2A6B" w:rsidRDefault="00A10F0C" w:rsidP="00EB6407">
            <w:pPr>
              <w:jc w:val="center"/>
              <w:rPr>
                <w:rFonts w:ascii="Times New Roman" w:hAnsi="Times New Roman" w:cs="Times New Roman"/>
              </w:rPr>
            </w:pPr>
            <w:r w:rsidRPr="005E2A6B">
              <w:rPr>
                <w:rFonts w:ascii="Times New Roman" w:hAnsi="Times New Roman" w:cs="Times New Roman"/>
              </w:rPr>
              <w:t>No*</w:t>
            </w:r>
          </w:p>
          <w:p w14:paraId="4126C6B2"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(not with current packages)</w:t>
            </w:r>
          </w:p>
        </w:tc>
        <w:tc>
          <w:tcPr>
            <w:tcW w:w="2070" w:type="dxa"/>
            <w:tcBorders>
              <w:bottom w:val="single" w:sz="4" w:space="0" w:color="auto"/>
            </w:tcBorders>
          </w:tcPr>
          <w:p w14:paraId="07A16B97"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Yes</w:t>
            </w:r>
          </w:p>
        </w:tc>
        <w:tc>
          <w:tcPr>
            <w:tcW w:w="1885" w:type="dxa"/>
            <w:tcBorders>
              <w:bottom w:val="single" w:sz="4" w:space="0" w:color="auto"/>
            </w:tcBorders>
          </w:tcPr>
          <w:p w14:paraId="56A939ED" w14:textId="77777777" w:rsidR="00A10F0C" w:rsidRPr="005E2A6B" w:rsidRDefault="00A10F0C" w:rsidP="00EB6407">
            <w:pPr>
              <w:jc w:val="center"/>
              <w:rPr>
                <w:rFonts w:ascii="Times New Roman" w:hAnsi="Times New Roman" w:cs="Times New Roman"/>
              </w:rPr>
            </w:pPr>
            <w:r w:rsidRPr="005E2A6B">
              <w:rPr>
                <w:rFonts w:ascii="Times New Roman" w:hAnsi="Times New Roman" w:cs="Times New Roman"/>
              </w:rPr>
              <w:t>Standalone</w:t>
            </w:r>
          </w:p>
        </w:tc>
      </w:tr>
    </w:tbl>
    <w:p w14:paraId="0A68E8A1" w14:textId="77777777" w:rsidR="00B06ECA" w:rsidRDefault="00B06ECA" w:rsidP="00B06ECA"/>
    <w:p w14:paraId="5BE7628B" w14:textId="77777777" w:rsidR="00CD45D6" w:rsidRDefault="00CD45D6" w:rsidP="00B06ECA"/>
    <w:p w14:paraId="07FAD73F" w14:textId="77777777" w:rsidR="00CD45D6" w:rsidRDefault="00CD45D6" w:rsidP="00B06ECA"/>
    <w:p w14:paraId="72CB70E1" w14:textId="77777777" w:rsidR="00CD45D6" w:rsidRDefault="00CD45D6" w:rsidP="00B06ECA"/>
    <w:p w14:paraId="2015745E" w14:textId="77777777" w:rsidR="00CD45D6" w:rsidRDefault="00CD45D6" w:rsidP="00B06ECA"/>
    <w:p w14:paraId="1C4BBB87" w14:textId="77777777" w:rsidR="00CD45D6" w:rsidRDefault="00CD45D6" w:rsidP="00B06ECA"/>
    <w:p w14:paraId="4E8D217E" w14:textId="2AF1F5AE" w:rsidR="00504669" w:rsidRDefault="00504669" w:rsidP="00B06ECA"/>
    <w:p w14:paraId="6191F90B" w14:textId="77777777" w:rsidR="00504669" w:rsidRDefault="00504669" w:rsidP="00B06ECA"/>
    <w:p w14:paraId="7F3DA57E" w14:textId="77777777" w:rsidR="00CD45D6" w:rsidRDefault="00CD45D6" w:rsidP="00B06ECA"/>
    <w:p w14:paraId="706FB03F" w14:textId="77777777" w:rsidR="00CD45D6" w:rsidRDefault="00CD45D6" w:rsidP="00B06ECA"/>
    <w:p w14:paraId="6A67EA07" w14:textId="77777777" w:rsidR="00CD45D6" w:rsidRDefault="00CD45D6" w:rsidP="00B06ECA"/>
    <w:p w14:paraId="56E1591B" w14:textId="5A1475FD" w:rsidR="00181829" w:rsidRDefault="004A44AE" w:rsidP="002040D3">
      <w:pPr>
        <w:spacing w:line="480" w:lineRule="auto"/>
        <w:ind w:firstLine="720"/>
        <w:rPr>
          <w:rFonts w:ascii="Times New Roman" w:hAnsi="Times New Roman" w:cs="Times New Roman"/>
        </w:rPr>
      </w:pPr>
      <w:r>
        <w:rPr>
          <w:rFonts w:ascii="Times New Roman" w:hAnsi="Times New Roman" w:cs="Times New Roman"/>
        </w:rPr>
        <w:lastRenderedPageBreak/>
        <w:t xml:space="preserve">While Roth </w:t>
      </w:r>
      <w:sdt>
        <w:sdtPr>
          <w:rPr>
            <w:rFonts w:ascii="Times New Roman" w:hAnsi="Times New Roman" w:cs="Times New Roman"/>
          </w:rPr>
          <w:id w:val="871349099"/>
          <w:citation/>
        </w:sdtPr>
        <w:sdtContent>
          <w:r w:rsidR="00693756">
            <w:rPr>
              <w:rFonts w:ascii="Times New Roman" w:hAnsi="Times New Roman" w:cs="Times New Roman"/>
            </w:rPr>
            <w:fldChar w:fldCharType="begin"/>
          </w:r>
          <w:r w:rsidR="00693756">
            <w:rPr>
              <w:rFonts w:ascii="Times New Roman" w:hAnsi="Times New Roman" w:cs="Times New Roman"/>
            </w:rPr>
            <w:instrText xml:space="preserve">CITATION Rot24 \n  \t  \l 1033 </w:instrText>
          </w:r>
          <w:r w:rsidR="00693756">
            <w:rPr>
              <w:rFonts w:ascii="Times New Roman" w:hAnsi="Times New Roman" w:cs="Times New Roman"/>
            </w:rPr>
            <w:fldChar w:fldCharType="separate"/>
          </w:r>
          <w:r w:rsidR="00A10468" w:rsidRPr="00A10468">
            <w:rPr>
              <w:rFonts w:ascii="Times New Roman" w:hAnsi="Times New Roman" w:cs="Times New Roman"/>
              <w:noProof/>
            </w:rPr>
            <w:t>(2024)</w:t>
          </w:r>
          <w:r w:rsidR="00693756">
            <w:rPr>
              <w:rFonts w:ascii="Times New Roman" w:hAnsi="Times New Roman" w:cs="Times New Roman"/>
            </w:rPr>
            <w:fldChar w:fldCharType="end"/>
          </w:r>
        </w:sdtContent>
      </w:sdt>
      <w:r w:rsidR="00693756">
        <w:rPr>
          <w:rFonts w:ascii="Times New Roman" w:hAnsi="Times New Roman" w:cs="Times New Roman"/>
        </w:rPr>
        <w:t xml:space="preserve"> </w:t>
      </w:r>
      <w:r>
        <w:rPr>
          <w:rFonts w:ascii="Times New Roman" w:hAnsi="Times New Roman" w:cs="Times New Roman"/>
        </w:rPr>
        <w:t xml:space="preserve">also notes that </w:t>
      </w:r>
      <w:r w:rsidR="00BF1EEB">
        <w:rPr>
          <w:rFonts w:ascii="Times New Roman" w:hAnsi="Times New Roman" w:cs="Times New Roman"/>
        </w:rPr>
        <w:t>Sun and Abraham’s model struggles with a similar issue, there are built</w:t>
      </w:r>
      <w:r w:rsidR="00CE36F8">
        <w:rPr>
          <w:rFonts w:ascii="Times New Roman" w:hAnsi="Times New Roman" w:cs="Times New Roman"/>
        </w:rPr>
        <w:t>-</w:t>
      </w:r>
      <w:r w:rsidR="00BF1EEB">
        <w:rPr>
          <w:rFonts w:ascii="Times New Roman" w:hAnsi="Times New Roman" w:cs="Times New Roman"/>
        </w:rPr>
        <w:t xml:space="preserve">in specification </w:t>
      </w:r>
      <w:r w:rsidR="00CE36F8">
        <w:rPr>
          <w:rFonts w:ascii="Times New Roman" w:hAnsi="Times New Roman" w:cs="Times New Roman"/>
        </w:rPr>
        <w:t>tool options</w:t>
      </w:r>
      <w:r w:rsidR="00BF1EEB">
        <w:rPr>
          <w:rFonts w:ascii="Times New Roman" w:hAnsi="Times New Roman" w:cs="Times New Roman"/>
        </w:rPr>
        <w:t xml:space="preserve"> that allow for this concern to be addressed</w:t>
      </w:r>
      <w:r w:rsidR="00BA167E">
        <w:rPr>
          <w:rFonts w:ascii="Times New Roman" w:hAnsi="Times New Roman" w:cs="Times New Roman"/>
        </w:rPr>
        <w:t xml:space="preserve"> that I use per Roth’s guidance</w:t>
      </w:r>
      <w:r w:rsidR="00BF1EEB">
        <w:rPr>
          <w:rFonts w:ascii="Times New Roman" w:hAnsi="Times New Roman" w:cs="Times New Roman"/>
        </w:rPr>
        <w:t>.</w:t>
      </w:r>
      <w:r w:rsidR="00DC364E">
        <w:rPr>
          <w:rFonts w:ascii="Times New Roman" w:hAnsi="Times New Roman" w:cs="Times New Roman"/>
        </w:rPr>
        <w:t xml:space="preserve"> Because this issue with Sun and Abraham’s estimator is address</w:t>
      </w:r>
      <w:r w:rsidR="00BA167E">
        <w:rPr>
          <w:rFonts w:ascii="Times New Roman" w:hAnsi="Times New Roman" w:cs="Times New Roman"/>
        </w:rPr>
        <w:t>able</w:t>
      </w:r>
      <w:r w:rsidR="00F51067">
        <w:rPr>
          <w:rFonts w:ascii="Times New Roman" w:hAnsi="Times New Roman" w:cs="Times New Roman"/>
        </w:rPr>
        <w:t xml:space="preserve">, I opt to make it my preferred estimator. </w:t>
      </w:r>
      <w:r w:rsidR="00A479C2">
        <w:rPr>
          <w:rFonts w:ascii="Times New Roman" w:hAnsi="Times New Roman" w:cs="Times New Roman"/>
        </w:rPr>
        <w:t xml:space="preserve">However, </w:t>
      </w:r>
      <w:r w:rsidR="00DC364E">
        <w:rPr>
          <w:rFonts w:ascii="Times New Roman" w:hAnsi="Times New Roman" w:cs="Times New Roman"/>
        </w:rPr>
        <w:t xml:space="preserve">I still chose to consider </w:t>
      </w:r>
      <w:r w:rsidR="00F51067">
        <w:rPr>
          <w:rFonts w:ascii="Times New Roman" w:hAnsi="Times New Roman" w:cs="Times New Roman"/>
        </w:rPr>
        <w:t xml:space="preserve">the Borusyak et al. estimator </w:t>
      </w:r>
      <w:r w:rsidR="00A479C2">
        <w:rPr>
          <w:rFonts w:ascii="Times New Roman" w:hAnsi="Times New Roman" w:cs="Times New Roman"/>
        </w:rPr>
        <w:t xml:space="preserve">for a secondary analysis of the robustness of my findings due to </w:t>
      </w:r>
      <w:r w:rsidR="008B4232">
        <w:rPr>
          <w:rFonts w:ascii="Times New Roman" w:hAnsi="Times New Roman" w:cs="Times New Roman"/>
        </w:rPr>
        <w:t xml:space="preserve">evidence that this </w:t>
      </w:r>
      <w:r w:rsidR="00B77415">
        <w:rPr>
          <w:rFonts w:ascii="Times New Roman" w:hAnsi="Times New Roman" w:cs="Times New Roman"/>
        </w:rPr>
        <w:t>imputation-based</w:t>
      </w:r>
      <w:r w:rsidR="008B4232">
        <w:rPr>
          <w:rFonts w:ascii="Times New Roman" w:hAnsi="Times New Roman" w:cs="Times New Roman"/>
        </w:rPr>
        <w:t xml:space="preserve"> estimator can offer more precision that Sun and Abraham’s </w:t>
      </w:r>
      <w:r w:rsidR="00B77415">
        <w:rPr>
          <w:rFonts w:ascii="Times New Roman" w:hAnsi="Times New Roman" w:cs="Times New Roman"/>
        </w:rPr>
        <w:t>interaction-based</w:t>
      </w:r>
      <w:r w:rsidR="008B4232">
        <w:rPr>
          <w:rFonts w:ascii="Times New Roman" w:hAnsi="Times New Roman" w:cs="Times New Roman"/>
        </w:rPr>
        <w:t xml:space="preserve"> estimator (</w:t>
      </w:r>
      <w:r w:rsidR="00171EDB">
        <w:rPr>
          <w:rFonts w:ascii="Times New Roman" w:hAnsi="Times New Roman" w:cs="Times New Roman"/>
        </w:rPr>
        <w:t>d</w:t>
      </w:r>
      <w:r w:rsidR="00171EDB" w:rsidRPr="00171EDB">
        <w:rPr>
          <w:rFonts w:ascii="Times New Roman" w:hAnsi="Times New Roman" w:cs="Times New Roman"/>
        </w:rPr>
        <w:t>e Chaisemartin</w:t>
      </w:r>
      <w:r w:rsidR="00171EDB">
        <w:rPr>
          <w:rFonts w:ascii="Times New Roman" w:hAnsi="Times New Roman" w:cs="Times New Roman"/>
        </w:rPr>
        <w:t xml:space="preserve"> &amp; D</w:t>
      </w:r>
      <w:r w:rsidR="00171EDB" w:rsidRPr="00171EDB">
        <w:rPr>
          <w:rFonts w:ascii="Times New Roman" w:hAnsi="Times New Roman" w:cs="Times New Roman"/>
        </w:rPr>
        <w:t>’Haultfoeuille</w:t>
      </w:r>
      <w:r w:rsidR="0002258F">
        <w:rPr>
          <w:rFonts w:ascii="Times New Roman" w:hAnsi="Times New Roman" w:cs="Times New Roman"/>
        </w:rPr>
        <w:t>, 2023</w:t>
      </w:r>
      <w:r w:rsidR="008B4232">
        <w:rPr>
          <w:rFonts w:ascii="Times New Roman" w:hAnsi="Times New Roman" w:cs="Times New Roman"/>
        </w:rPr>
        <w:t>).</w:t>
      </w:r>
      <w:r w:rsidR="00171EDB">
        <w:rPr>
          <w:rFonts w:ascii="Times New Roman" w:hAnsi="Times New Roman" w:cs="Times New Roman"/>
        </w:rPr>
        <w:t xml:space="preserve"> Of note however is that </w:t>
      </w:r>
      <w:r w:rsidR="00A12B8A">
        <w:rPr>
          <w:rFonts w:ascii="Times New Roman" w:hAnsi="Times New Roman" w:cs="Times New Roman"/>
        </w:rPr>
        <w:t xml:space="preserve">these gains in precision can </w:t>
      </w:r>
      <w:r w:rsidR="00FA69FB">
        <w:rPr>
          <w:rFonts w:ascii="Times New Roman" w:hAnsi="Times New Roman" w:cs="Times New Roman"/>
        </w:rPr>
        <w:t>bias the</w:t>
      </w:r>
      <w:r w:rsidR="00A12B8A">
        <w:rPr>
          <w:rFonts w:ascii="Times New Roman" w:hAnsi="Times New Roman" w:cs="Times New Roman"/>
        </w:rPr>
        <w:t xml:space="preserve"> </w:t>
      </w:r>
      <w:r w:rsidR="00EE4810">
        <w:rPr>
          <w:rFonts w:ascii="Times New Roman" w:hAnsi="Times New Roman" w:cs="Times New Roman"/>
        </w:rPr>
        <w:t xml:space="preserve">outputs utilized to establish a </w:t>
      </w:r>
      <w:r w:rsidR="00A66CE9">
        <w:rPr>
          <w:rFonts w:ascii="Times New Roman" w:hAnsi="Times New Roman" w:cs="Times New Roman"/>
        </w:rPr>
        <w:t>parallel</w:t>
      </w:r>
      <w:r w:rsidR="00EE4810">
        <w:rPr>
          <w:rFonts w:ascii="Times New Roman" w:hAnsi="Times New Roman" w:cs="Times New Roman"/>
        </w:rPr>
        <w:t xml:space="preserve"> trends assumption when </w:t>
      </w:r>
      <w:r w:rsidR="00C455C0">
        <w:rPr>
          <w:rFonts w:ascii="Times New Roman" w:hAnsi="Times New Roman" w:cs="Times New Roman"/>
        </w:rPr>
        <w:t xml:space="preserve">compared to other estimators </w:t>
      </w:r>
      <w:r w:rsidR="000F016D">
        <w:rPr>
          <w:rFonts w:ascii="Times New Roman" w:hAnsi="Times New Roman" w:cs="Times New Roman"/>
        </w:rPr>
        <w:t>under a dynamic effects assumption with longer time frames such as those found in my study</w:t>
      </w:r>
      <w:r w:rsidR="00570FC4">
        <w:rPr>
          <w:rFonts w:ascii="Times New Roman" w:hAnsi="Times New Roman" w:cs="Times New Roman"/>
        </w:rPr>
        <w:t xml:space="preserve"> </w:t>
      </w:r>
      <w:sdt>
        <w:sdtPr>
          <w:rPr>
            <w:rFonts w:ascii="Times New Roman" w:hAnsi="Times New Roman" w:cs="Times New Roman"/>
          </w:rPr>
          <w:id w:val="-1082142730"/>
          <w:citation/>
        </w:sdtPr>
        <w:sdtContent>
          <w:r w:rsidR="002D61E8">
            <w:rPr>
              <w:rFonts w:ascii="Times New Roman" w:hAnsi="Times New Roman" w:cs="Times New Roman"/>
            </w:rPr>
            <w:fldChar w:fldCharType="begin"/>
          </w:r>
          <w:r w:rsidR="002D61E8">
            <w:rPr>
              <w:rFonts w:ascii="Times New Roman" w:hAnsi="Times New Roman" w:cs="Times New Roman"/>
            </w:rPr>
            <w:instrText xml:space="preserve">CITATION DeC23 \t  \l 1033 </w:instrText>
          </w:r>
          <w:r w:rsidR="002D61E8">
            <w:rPr>
              <w:rFonts w:ascii="Times New Roman" w:hAnsi="Times New Roman" w:cs="Times New Roman"/>
            </w:rPr>
            <w:fldChar w:fldCharType="separate"/>
          </w:r>
          <w:r w:rsidR="00A10468" w:rsidRPr="00A10468">
            <w:rPr>
              <w:rFonts w:ascii="Times New Roman" w:hAnsi="Times New Roman" w:cs="Times New Roman"/>
              <w:noProof/>
            </w:rPr>
            <w:t>(De Chaisemartin &amp; d’Haultfoeuille, 2023)</w:t>
          </w:r>
          <w:r w:rsidR="002D61E8">
            <w:rPr>
              <w:rFonts w:ascii="Times New Roman" w:hAnsi="Times New Roman" w:cs="Times New Roman"/>
            </w:rPr>
            <w:fldChar w:fldCharType="end"/>
          </w:r>
        </w:sdtContent>
      </w:sdt>
      <w:r w:rsidR="002D61E8">
        <w:rPr>
          <w:rFonts w:ascii="Times New Roman" w:hAnsi="Times New Roman" w:cs="Times New Roman"/>
        </w:rPr>
        <w:t xml:space="preserve">. </w:t>
      </w:r>
      <w:r w:rsidR="00EE4810">
        <w:rPr>
          <w:rFonts w:ascii="Times New Roman" w:hAnsi="Times New Roman" w:cs="Times New Roman"/>
        </w:rPr>
        <w:t xml:space="preserve">Ultimately, while the utility of the imputation-based estimator is limited in </w:t>
      </w:r>
      <w:r w:rsidR="00FA69FB">
        <w:rPr>
          <w:rFonts w:ascii="Times New Roman" w:hAnsi="Times New Roman" w:cs="Times New Roman"/>
        </w:rPr>
        <w:t>my</w:t>
      </w:r>
      <w:r w:rsidR="00EE4810">
        <w:rPr>
          <w:rFonts w:ascii="Times New Roman" w:hAnsi="Times New Roman" w:cs="Times New Roman"/>
        </w:rPr>
        <w:t xml:space="preserve"> study, it </w:t>
      </w:r>
      <w:r w:rsidR="00AF20A0">
        <w:rPr>
          <w:rFonts w:ascii="Times New Roman" w:hAnsi="Times New Roman" w:cs="Times New Roman"/>
        </w:rPr>
        <w:t xml:space="preserve">represents the </w:t>
      </w:r>
      <w:r w:rsidR="003F0B56">
        <w:rPr>
          <w:rFonts w:ascii="Times New Roman" w:hAnsi="Times New Roman" w:cs="Times New Roman"/>
        </w:rPr>
        <w:t>second-best</w:t>
      </w:r>
      <w:r w:rsidR="00AF20A0">
        <w:rPr>
          <w:rFonts w:ascii="Times New Roman" w:hAnsi="Times New Roman" w:cs="Times New Roman"/>
        </w:rPr>
        <w:t xml:space="preserve"> available strategy to examine the validity of my findings. Thus, I include it in this manuscript for transparency and </w:t>
      </w:r>
      <w:r w:rsidR="00397A1C">
        <w:rPr>
          <w:rFonts w:ascii="Times New Roman" w:hAnsi="Times New Roman" w:cs="Times New Roman"/>
        </w:rPr>
        <w:t xml:space="preserve">documentation of an attempt to examine the robustness of my results. </w:t>
      </w:r>
      <w:r w:rsidR="00EE4810">
        <w:rPr>
          <w:rFonts w:ascii="Times New Roman" w:hAnsi="Times New Roman" w:cs="Times New Roman"/>
        </w:rPr>
        <w:t xml:space="preserve"> </w:t>
      </w:r>
    </w:p>
    <w:p w14:paraId="039D42C8" w14:textId="7EC600B7" w:rsidR="00E775F9" w:rsidRDefault="00181829" w:rsidP="00E775F9">
      <w:pPr>
        <w:spacing w:line="480" w:lineRule="auto"/>
        <w:ind w:firstLine="720"/>
        <w:rPr>
          <w:rFonts w:ascii="Times New Roman" w:hAnsi="Times New Roman" w:cs="Times New Roman"/>
        </w:rPr>
      </w:pPr>
      <w:r w:rsidRPr="00546D52">
        <w:rPr>
          <w:rFonts w:ascii="Times New Roman" w:hAnsi="Times New Roman" w:cs="Times New Roman"/>
        </w:rPr>
        <w:t xml:space="preserve">While I will primarily focus on </w:t>
      </w:r>
      <w:r w:rsidR="00943121">
        <w:rPr>
          <w:rFonts w:ascii="Times New Roman" w:hAnsi="Times New Roman" w:cs="Times New Roman"/>
        </w:rPr>
        <w:t>my Sun and Abraham</w:t>
      </w:r>
      <w:r w:rsidRPr="00546D52">
        <w:rPr>
          <w:rFonts w:ascii="Times New Roman" w:hAnsi="Times New Roman" w:cs="Times New Roman"/>
        </w:rPr>
        <w:t xml:space="preserve"> estimator in Chapters 4 and 5, I will still </w:t>
      </w:r>
      <w:r w:rsidR="00943121">
        <w:rPr>
          <w:rFonts w:ascii="Times New Roman" w:hAnsi="Times New Roman" w:cs="Times New Roman"/>
        </w:rPr>
        <w:t>report</w:t>
      </w:r>
      <w:r w:rsidRPr="00546D52">
        <w:rPr>
          <w:rFonts w:ascii="Times New Roman" w:hAnsi="Times New Roman" w:cs="Times New Roman"/>
        </w:rPr>
        <w:t xml:space="preserve"> the outputs produced by Borusyak et al.’s imputation estimator and a basic TWFE estimator. </w:t>
      </w:r>
      <w:r>
        <w:rPr>
          <w:rFonts w:ascii="Times New Roman" w:hAnsi="Times New Roman" w:cs="Times New Roman"/>
        </w:rPr>
        <w:t xml:space="preserve">This inclusion of the Borusyak et al. estimator will serve as a robustness test of the Sun and Abraham estimator. </w:t>
      </w:r>
      <w:r w:rsidR="002040D3" w:rsidRPr="00546D52">
        <w:rPr>
          <w:rFonts w:ascii="Times New Roman" w:hAnsi="Times New Roman" w:cs="Times New Roman"/>
        </w:rPr>
        <w:t xml:space="preserve">I also included de Chaisemartin &amp; D'Haultfœuille’s </w:t>
      </w:r>
      <w:sdt>
        <w:sdtPr>
          <w:rPr>
            <w:rFonts w:ascii="Times New Roman" w:hAnsi="Times New Roman" w:cs="Times New Roman"/>
          </w:rPr>
          <w:id w:val="441423530"/>
          <w:citation/>
        </w:sdtPr>
        <w:sdtContent>
          <w:r w:rsidR="0066721D">
            <w:rPr>
              <w:rFonts w:ascii="Times New Roman" w:hAnsi="Times New Roman" w:cs="Times New Roman"/>
            </w:rPr>
            <w:fldChar w:fldCharType="begin"/>
          </w:r>
          <w:r w:rsidR="0066721D">
            <w:rPr>
              <w:rFonts w:ascii="Times New Roman" w:hAnsi="Times New Roman" w:cs="Times New Roman"/>
            </w:rPr>
            <w:instrText xml:space="preserve">CITATION DeC20 \n  \t  \l 1033 </w:instrText>
          </w:r>
          <w:r w:rsidR="0066721D">
            <w:rPr>
              <w:rFonts w:ascii="Times New Roman" w:hAnsi="Times New Roman" w:cs="Times New Roman"/>
            </w:rPr>
            <w:fldChar w:fldCharType="separate"/>
          </w:r>
          <w:r w:rsidR="00A10468" w:rsidRPr="00A10468">
            <w:rPr>
              <w:rFonts w:ascii="Times New Roman" w:hAnsi="Times New Roman" w:cs="Times New Roman"/>
              <w:noProof/>
            </w:rPr>
            <w:t>(2020)</w:t>
          </w:r>
          <w:r w:rsidR="0066721D">
            <w:rPr>
              <w:rFonts w:ascii="Times New Roman" w:hAnsi="Times New Roman" w:cs="Times New Roman"/>
            </w:rPr>
            <w:fldChar w:fldCharType="end"/>
          </w:r>
        </w:sdtContent>
      </w:sdt>
      <w:r w:rsidR="00DA6B1A">
        <w:rPr>
          <w:rFonts w:ascii="Times New Roman" w:hAnsi="Times New Roman" w:cs="Times New Roman"/>
        </w:rPr>
        <w:t xml:space="preserve"> </w:t>
      </w:r>
      <w:r w:rsidR="002040D3" w:rsidRPr="00546D52">
        <w:rPr>
          <w:rFonts w:ascii="Times New Roman" w:hAnsi="Times New Roman" w:cs="Times New Roman"/>
        </w:rPr>
        <w:t>decomposition approach as a robustness test of my results and to examine potential issues with negative weighting.</w:t>
      </w:r>
      <w:r w:rsidR="00D82499">
        <w:rPr>
          <w:rFonts w:ascii="Times New Roman" w:hAnsi="Times New Roman" w:cs="Times New Roman"/>
        </w:rPr>
        <w:t xml:space="preserve"> </w:t>
      </w:r>
    </w:p>
    <w:p w14:paraId="5B871DC7" w14:textId="561815CB" w:rsidR="00527404" w:rsidRPr="008F1759" w:rsidRDefault="00D82499" w:rsidP="00CD45D6">
      <w:pPr>
        <w:spacing w:line="480" w:lineRule="auto"/>
        <w:ind w:firstLine="720"/>
        <w:rPr>
          <w:rFonts w:ascii="Times New Roman" w:hAnsi="Times New Roman" w:cs="Times New Roman"/>
        </w:rPr>
      </w:pPr>
      <w:r>
        <w:rPr>
          <w:rFonts w:ascii="Times New Roman" w:hAnsi="Times New Roman" w:cs="Times New Roman"/>
        </w:rPr>
        <w:t xml:space="preserve">Negative weighting is </w:t>
      </w:r>
      <w:r w:rsidR="007578F6">
        <w:rPr>
          <w:rFonts w:ascii="Times New Roman" w:hAnsi="Times New Roman" w:cs="Times New Roman"/>
        </w:rPr>
        <w:t xml:space="preserve">a problem in complex difference-in-difference designs caused by the </w:t>
      </w:r>
      <w:r w:rsidR="001D7A2E">
        <w:rPr>
          <w:rFonts w:ascii="Times New Roman" w:hAnsi="Times New Roman" w:cs="Times New Roman"/>
        </w:rPr>
        <w:t>ordinary least squares (</w:t>
      </w:r>
      <w:r w:rsidR="00142F2D">
        <w:rPr>
          <w:rFonts w:ascii="Times New Roman" w:hAnsi="Times New Roman" w:cs="Times New Roman"/>
        </w:rPr>
        <w:t>OLS</w:t>
      </w:r>
      <w:r w:rsidR="001D7A2E">
        <w:rPr>
          <w:rFonts w:ascii="Times New Roman" w:hAnsi="Times New Roman" w:cs="Times New Roman"/>
        </w:rPr>
        <w:t>)</w:t>
      </w:r>
      <w:r w:rsidR="00142F2D">
        <w:rPr>
          <w:rFonts w:ascii="Times New Roman" w:hAnsi="Times New Roman" w:cs="Times New Roman"/>
        </w:rPr>
        <w:t xml:space="preserve"> and two-way fixed effect </w:t>
      </w:r>
      <w:r w:rsidR="001D7A2E">
        <w:rPr>
          <w:rFonts w:ascii="Times New Roman" w:hAnsi="Times New Roman" w:cs="Times New Roman"/>
        </w:rPr>
        <w:t>(TW</w:t>
      </w:r>
      <w:r w:rsidR="00A13AE1">
        <w:rPr>
          <w:rFonts w:ascii="Times New Roman" w:hAnsi="Times New Roman" w:cs="Times New Roman"/>
        </w:rPr>
        <w:t>F</w:t>
      </w:r>
      <w:r w:rsidR="001D7A2E">
        <w:rPr>
          <w:rFonts w:ascii="Times New Roman" w:hAnsi="Times New Roman" w:cs="Times New Roman"/>
        </w:rPr>
        <w:t xml:space="preserve">E) </w:t>
      </w:r>
      <w:r w:rsidR="00142F2D">
        <w:rPr>
          <w:rFonts w:ascii="Times New Roman" w:hAnsi="Times New Roman" w:cs="Times New Roman"/>
        </w:rPr>
        <w:t xml:space="preserve">models </w:t>
      </w:r>
      <w:r w:rsidR="009B3E81">
        <w:rPr>
          <w:rFonts w:ascii="Times New Roman" w:hAnsi="Times New Roman" w:cs="Times New Roman"/>
        </w:rPr>
        <w:lastRenderedPageBreak/>
        <w:t xml:space="preserve">impose strong </w:t>
      </w:r>
      <w:r w:rsidR="00614B28">
        <w:rPr>
          <w:rFonts w:ascii="Times New Roman" w:hAnsi="Times New Roman" w:cs="Times New Roman"/>
        </w:rPr>
        <w:t>restrictions on the homogeneity of treatment effect</w:t>
      </w:r>
      <w:r w:rsidR="00A80009">
        <w:rPr>
          <w:rFonts w:ascii="Times New Roman" w:hAnsi="Times New Roman" w:cs="Times New Roman"/>
        </w:rPr>
        <w:t xml:space="preserve"> </w:t>
      </w:r>
      <w:sdt>
        <w:sdtPr>
          <w:rPr>
            <w:rFonts w:ascii="Times New Roman" w:hAnsi="Times New Roman" w:cs="Times New Roman"/>
          </w:rPr>
          <w:id w:val="-1028100899"/>
          <w:citation/>
        </w:sdtPr>
        <w:sdtContent>
          <w:r w:rsidR="00D8560D">
            <w:rPr>
              <w:rFonts w:ascii="Times New Roman" w:hAnsi="Times New Roman" w:cs="Times New Roman"/>
            </w:rPr>
            <w:fldChar w:fldCharType="begin"/>
          </w:r>
          <w:r w:rsidR="00D8560D">
            <w:rPr>
              <w:rFonts w:ascii="Times New Roman" w:hAnsi="Times New Roman" w:cs="Times New Roman"/>
            </w:rPr>
            <w:instrText xml:space="preserve">CITATION Bor24 \t  \l 1033 </w:instrText>
          </w:r>
          <w:r w:rsidR="00D8560D">
            <w:rPr>
              <w:rFonts w:ascii="Times New Roman" w:hAnsi="Times New Roman" w:cs="Times New Roman"/>
            </w:rPr>
            <w:fldChar w:fldCharType="separate"/>
          </w:r>
          <w:r w:rsidR="00A10468" w:rsidRPr="00A10468">
            <w:rPr>
              <w:rFonts w:ascii="Times New Roman" w:hAnsi="Times New Roman" w:cs="Times New Roman"/>
              <w:noProof/>
            </w:rPr>
            <w:t>(Borusyak, Jaravel, &amp; Spiess, 2024)</w:t>
          </w:r>
          <w:r w:rsidR="00D8560D">
            <w:rPr>
              <w:rFonts w:ascii="Times New Roman" w:hAnsi="Times New Roman" w:cs="Times New Roman"/>
            </w:rPr>
            <w:fldChar w:fldCharType="end"/>
          </w:r>
        </w:sdtContent>
      </w:sdt>
      <w:r w:rsidR="00D8560D">
        <w:rPr>
          <w:rFonts w:ascii="Times New Roman" w:hAnsi="Times New Roman" w:cs="Times New Roman"/>
        </w:rPr>
        <w:t>.</w:t>
      </w:r>
      <w:r w:rsidR="006072E7">
        <w:rPr>
          <w:rFonts w:ascii="Times New Roman" w:hAnsi="Times New Roman" w:cs="Times New Roman"/>
        </w:rPr>
        <w:t xml:space="preserve"> </w:t>
      </w:r>
      <w:r w:rsidR="00872B92">
        <w:rPr>
          <w:rFonts w:ascii="Times New Roman" w:hAnsi="Times New Roman" w:cs="Times New Roman"/>
        </w:rPr>
        <w:t xml:space="preserve">This negative weighting </w:t>
      </w:r>
      <w:r w:rsidR="005B4B13">
        <w:rPr>
          <w:rFonts w:ascii="Times New Roman" w:hAnsi="Times New Roman" w:cs="Times New Roman"/>
        </w:rPr>
        <w:t xml:space="preserve">problem can result in not only biased estimation </w:t>
      </w:r>
      <w:r w:rsidR="00003AA0">
        <w:rPr>
          <w:rFonts w:ascii="Times New Roman" w:hAnsi="Times New Roman" w:cs="Times New Roman"/>
        </w:rPr>
        <w:t xml:space="preserve">results </w:t>
      </w:r>
      <w:r w:rsidR="005B4B13">
        <w:rPr>
          <w:rFonts w:ascii="Times New Roman" w:hAnsi="Times New Roman" w:cs="Times New Roman"/>
        </w:rPr>
        <w:t xml:space="preserve">but has also been </w:t>
      </w:r>
      <w:r w:rsidR="00A3791F">
        <w:rPr>
          <w:rFonts w:ascii="Times New Roman" w:hAnsi="Times New Roman" w:cs="Times New Roman"/>
        </w:rPr>
        <w:t xml:space="preserve">associated with findings that are of the wrong sign </w:t>
      </w:r>
      <w:sdt>
        <w:sdtPr>
          <w:rPr>
            <w:rFonts w:ascii="Times New Roman" w:hAnsi="Times New Roman" w:cs="Times New Roman"/>
          </w:rPr>
          <w:id w:val="1731961937"/>
          <w:citation/>
        </w:sdtPr>
        <w:sdtContent>
          <w:r w:rsidR="00D8560D">
            <w:rPr>
              <w:rFonts w:ascii="Times New Roman" w:hAnsi="Times New Roman" w:cs="Times New Roman"/>
            </w:rPr>
            <w:fldChar w:fldCharType="begin"/>
          </w:r>
          <w:r w:rsidR="00D8560D">
            <w:rPr>
              <w:rFonts w:ascii="Times New Roman" w:hAnsi="Times New Roman" w:cs="Times New Roman"/>
            </w:rPr>
            <w:instrText xml:space="preserve"> CITATION Rot23 \l 1033 </w:instrText>
          </w:r>
          <w:r w:rsidR="00D8560D">
            <w:rPr>
              <w:rFonts w:ascii="Times New Roman" w:hAnsi="Times New Roman" w:cs="Times New Roman"/>
            </w:rPr>
            <w:fldChar w:fldCharType="separate"/>
          </w:r>
          <w:r w:rsidR="00A10468" w:rsidRPr="00A10468">
            <w:rPr>
              <w:rFonts w:ascii="Times New Roman" w:hAnsi="Times New Roman" w:cs="Times New Roman"/>
              <w:noProof/>
            </w:rPr>
            <w:t>(Roth, Sant’Anna, Bilinski, &amp; Poe, 2023)</w:t>
          </w:r>
          <w:r w:rsidR="00D8560D">
            <w:rPr>
              <w:rFonts w:ascii="Times New Roman" w:hAnsi="Times New Roman" w:cs="Times New Roman"/>
            </w:rPr>
            <w:fldChar w:fldCharType="end"/>
          </w:r>
        </w:sdtContent>
      </w:sdt>
      <w:r w:rsidR="00D8560D">
        <w:rPr>
          <w:rFonts w:ascii="Times New Roman" w:hAnsi="Times New Roman" w:cs="Times New Roman"/>
        </w:rPr>
        <w:t>.</w:t>
      </w:r>
      <w:r w:rsidR="001D7A2E">
        <w:rPr>
          <w:rFonts w:ascii="Times New Roman" w:hAnsi="Times New Roman" w:cs="Times New Roman"/>
        </w:rPr>
        <w:t xml:space="preserve"> This is because when treatment effects are heterogenous, OLS </w:t>
      </w:r>
      <w:r w:rsidR="00E51939">
        <w:rPr>
          <w:rFonts w:ascii="Times New Roman" w:hAnsi="Times New Roman" w:cs="Times New Roman"/>
        </w:rPr>
        <w:t>and</w:t>
      </w:r>
      <w:r w:rsidR="001D7A2E">
        <w:rPr>
          <w:rFonts w:ascii="Times New Roman" w:hAnsi="Times New Roman" w:cs="Times New Roman"/>
        </w:rPr>
        <w:t xml:space="preserve"> TWFE</w:t>
      </w:r>
      <w:r w:rsidR="00E51939">
        <w:rPr>
          <w:rFonts w:ascii="Times New Roman" w:hAnsi="Times New Roman" w:cs="Times New Roman"/>
        </w:rPr>
        <w:t xml:space="preserve"> models still create </w:t>
      </w:r>
      <w:r w:rsidR="00D532D2">
        <w:rPr>
          <w:rFonts w:ascii="Times New Roman" w:hAnsi="Times New Roman" w:cs="Times New Roman"/>
        </w:rPr>
        <w:t xml:space="preserve">what the literature refers to as forbidden comparisons between </w:t>
      </w:r>
      <w:r w:rsidR="00982F61">
        <w:rPr>
          <w:rFonts w:ascii="Times New Roman" w:hAnsi="Times New Roman" w:cs="Times New Roman"/>
        </w:rPr>
        <w:t xml:space="preserve">already treated units where there are different cohorts of treatment. </w:t>
      </w:r>
      <w:r w:rsidR="00F920CD">
        <w:rPr>
          <w:rFonts w:ascii="Times New Roman" w:hAnsi="Times New Roman" w:cs="Times New Roman"/>
        </w:rPr>
        <w:t xml:space="preserve">In other words, forbidden comparisons are comparisons using already treated units with to-be-treated units rather than untreated units. </w:t>
      </w:r>
      <w:r w:rsidR="000D5AB3">
        <w:rPr>
          <w:rFonts w:ascii="Times New Roman" w:hAnsi="Times New Roman" w:cs="Times New Roman"/>
        </w:rPr>
        <w:t xml:space="preserve">Using the </w:t>
      </w:r>
      <w:r w:rsidR="005A1AA4">
        <w:rPr>
          <w:rFonts w:ascii="Times New Roman" w:hAnsi="Times New Roman" w:cs="Times New Roman"/>
        </w:rPr>
        <w:t xml:space="preserve">de </w:t>
      </w:r>
      <w:r w:rsidR="000C38F4" w:rsidRPr="00967B22">
        <w:rPr>
          <w:rFonts w:ascii="Times New Roman" w:hAnsi="Times New Roman" w:cs="Times New Roman"/>
        </w:rPr>
        <w:t xml:space="preserve">Chaisemartin </w:t>
      </w:r>
      <w:r w:rsidR="005A1AA4">
        <w:rPr>
          <w:rFonts w:ascii="Times New Roman" w:hAnsi="Times New Roman" w:cs="Times New Roman"/>
        </w:rPr>
        <w:t>and</w:t>
      </w:r>
      <w:r w:rsidR="000C38F4" w:rsidRPr="00967B22">
        <w:rPr>
          <w:rFonts w:ascii="Times New Roman" w:hAnsi="Times New Roman" w:cs="Times New Roman"/>
        </w:rPr>
        <w:t xml:space="preserve"> D'Haultfœuille</w:t>
      </w:r>
      <w:r w:rsidR="000C38F4">
        <w:rPr>
          <w:rFonts w:ascii="Times New Roman" w:hAnsi="Times New Roman" w:cs="Times New Roman"/>
        </w:rPr>
        <w:t xml:space="preserve">’s </w:t>
      </w:r>
      <w:sdt>
        <w:sdtPr>
          <w:rPr>
            <w:rFonts w:ascii="Times New Roman" w:hAnsi="Times New Roman" w:cs="Times New Roman"/>
          </w:rPr>
          <w:id w:val="-1475368849"/>
          <w:citation/>
        </w:sdtPr>
        <w:sdtContent>
          <w:r w:rsidR="003C6566">
            <w:rPr>
              <w:rFonts w:ascii="Times New Roman" w:hAnsi="Times New Roman" w:cs="Times New Roman"/>
            </w:rPr>
            <w:fldChar w:fldCharType="begin"/>
          </w:r>
          <w:r w:rsidR="003C6566">
            <w:rPr>
              <w:rFonts w:ascii="Times New Roman" w:hAnsi="Times New Roman" w:cs="Times New Roman"/>
            </w:rPr>
            <w:instrText xml:space="preserve">CITATION DeC20 \n  \t  \l 1033 </w:instrText>
          </w:r>
          <w:r w:rsidR="003C6566">
            <w:rPr>
              <w:rFonts w:ascii="Times New Roman" w:hAnsi="Times New Roman" w:cs="Times New Roman"/>
            </w:rPr>
            <w:fldChar w:fldCharType="separate"/>
          </w:r>
          <w:r w:rsidR="00A10468" w:rsidRPr="00A10468">
            <w:rPr>
              <w:rFonts w:ascii="Times New Roman" w:hAnsi="Times New Roman" w:cs="Times New Roman"/>
              <w:noProof/>
            </w:rPr>
            <w:t>(2020)</w:t>
          </w:r>
          <w:r w:rsidR="003C6566">
            <w:rPr>
              <w:rFonts w:ascii="Times New Roman" w:hAnsi="Times New Roman" w:cs="Times New Roman"/>
            </w:rPr>
            <w:fldChar w:fldCharType="end"/>
          </w:r>
        </w:sdtContent>
      </w:sdt>
      <w:r w:rsidR="003C6566">
        <w:rPr>
          <w:rFonts w:ascii="Times New Roman" w:hAnsi="Times New Roman" w:cs="Times New Roman"/>
        </w:rPr>
        <w:t xml:space="preserve"> </w:t>
      </w:r>
      <w:r w:rsidR="000C38F4">
        <w:rPr>
          <w:rFonts w:ascii="Times New Roman" w:hAnsi="Times New Roman" w:cs="Times New Roman"/>
        </w:rPr>
        <w:t xml:space="preserve">decomposition approach </w:t>
      </w:r>
      <w:r w:rsidR="000D5AB3">
        <w:rPr>
          <w:rFonts w:ascii="Times New Roman" w:hAnsi="Times New Roman" w:cs="Times New Roman"/>
        </w:rPr>
        <w:t>provides me a</w:t>
      </w:r>
      <w:r w:rsidR="000C38F4">
        <w:rPr>
          <w:rFonts w:ascii="Times New Roman" w:hAnsi="Times New Roman" w:cs="Times New Roman"/>
        </w:rPr>
        <w:t xml:space="preserve"> diagnostic tool for assessing negative weighting in my data sampl</w:t>
      </w:r>
      <w:r w:rsidR="007E6643">
        <w:rPr>
          <w:rFonts w:ascii="Times New Roman" w:hAnsi="Times New Roman" w:cs="Times New Roman"/>
        </w:rPr>
        <w:t xml:space="preserve">e which can still affect my Sun and Abraham estimator </w:t>
      </w:r>
      <w:sdt>
        <w:sdtPr>
          <w:rPr>
            <w:rFonts w:ascii="Times New Roman" w:hAnsi="Times New Roman" w:cs="Times New Roman"/>
          </w:rPr>
          <w:id w:val="-1027252653"/>
          <w:citation/>
        </w:sdtPr>
        <w:sdtContent>
          <w:r w:rsidR="003C6566">
            <w:rPr>
              <w:rFonts w:ascii="Times New Roman" w:hAnsi="Times New Roman" w:cs="Times New Roman"/>
            </w:rPr>
            <w:fldChar w:fldCharType="begin"/>
          </w:r>
          <w:r w:rsidR="003C6566">
            <w:rPr>
              <w:rFonts w:ascii="Times New Roman" w:hAnsi="Times New Roman" w:cs="Times New Roman"/>
            </w:rPr>
            <w:instrText xml:space="preserve">CITATION DeC23 \t  \l 1033 </w:instrText>
          </w:r>
          <w:r w:rsidR="007F48C9">
            <w:rPr>
              <w:rFonts w:ascii="Times New Roman" w:hAnsi="Times New Roman" w:cs="Times New Roman"/>
            </w:rPr>
            <w:instrText xml:space="preserve"> \m Sun21</w:instrText>
          </w:r>
          <w:r w:rsidR="003C6566">
            <w:rPr>
              <w:rFonts w:ascii="Times New Roman" w:hAnsi="Times New Roman" w:cs="Times New Roman"/>
            </w:rPr>
            <w:fldChar w:fldCharType="separate"/>
          </w:r>
          <w:r w:rsidR="00A10468" w:rsidRPr="00A10468">
            <w:rPr>
              <w:rFonts w:ascii="Times New Roman" w:hAnsi="Times New Roman" w:cs="Times New Roman"/>
              <w:noProof/>
            </w:rPr>
            <w:t>(De Chaisemartin &amp; d’Haultfoeuille, 2023; Sun &amp; Abraham, 2021)</w:t>
          </w:r>
          <w:r w:rsidR="003C6566">
            <w:rPr>
              <w:rFonts w:ascii="Times New Roman" w:hAnsi="Times New Roman" w:cs="Times New Roman"/>
            </w:rPr>
            <w:fldChar w:fldCharType="end"/>
          </w:r>
        </w:sdtContent>
      </w:sdt>
      <w:r w:rsidR="007F48C9">
        <w:rPr>
          <w:rFonts w:ascii="Times New Roman" w:hAnsi="Times New Roman" w:cs="Times New Roman"/>
        </w:rPr>
        <w:t xml:space="preserve">. </w:t>
      </w:r>
      <w:r w:rsidR="002F39C4">
        <w:rPr>
          <w:rFonts w:ascii="Times New Roman" w:hAnsi="Times New Roman" w:cs="Times New Roman"/>
        </w:rPr>
        <w:t xml:space="preserve">This </w:t>
      </w:r>
      <w:r w:rsidR="00533321">
        <w:rPr>
          <w:rFonts w:ascii="Times New Roman" w:hAnsi="Times New Roman" w:cs="Times New Roman"/>
        </w:rPr>
        <w:t xml:space="preserve">decomposition </w:t>
      </w:r>
      <w:r w:rsidR="002F39C4">
        <w:rPr>
          <w:rFonts w:ascii="Times New Roman" w:hAnsi="Times New Roman" w:cs="Times New Roman"/>
        </w:rPr>
        <w:t xml:space="preserve">approach allows for </w:t>
      </w:r>
      <w:r w:rsidR="00D321C8">
        <w:rPr>
          <w:rFonts w:ascii="Times New Roman" w:hAnsi="Times New Roman" w:cs="Times New Roman"/>
        </w:rPr>
        <w:t xml:space="preserve">a means to assess for issues of negative weighting that could be present </w:t>
      </w:r>
      <w:r w:rsidR="002F5D6C">
        <w:rPr>
          <w:rFonts w:ascii="Times New Roman" w:hAnsi="Times New Roman" w:cs="Times New Roman"/>
        </w:rPr>
        <w:t>within my models</w:t>
      </w:r>
      <w:r w:rsidR="000C38F4">
        <w:rPr>
          <w:rFonts w:ascii="Times New Roman" w:hAnsi="Times New Roman" w:cs="Times New Roman"/>
        </w:rPr>
        <w:t>.</w:t>
      </w:r>
      <w:r w:rsidR="00B65A62">
        <w:rPr>
          <w:rFonts w:ascii="Times New Roman" w:hAnsi="Times New Roman" w:cs="Times New Roman"/>
        </w:rPr>
        <w:t xml:space="preserve"> Thus, this decomposition approach is valuable not only as a </w:t>
      </w:r>
      <w:r w:rsidR="001568A7">
        <w:rPr>
          <w:rFonts w:ascii="Times New Roman" w:hAnsi="Times New Roman" w:cs="Times New Roman"/>
        </w:rPr>
        <w:t xml:space="preserve">robustness check but also as a </w:t>
      </w:r>
      <w:r w:rsidR="001568A7" w:rsidRPr="001568A7">
        <w:rPr>
          <w:rFonts w:ascii="Times New Roman" w:hAnsi="Times New Roman" w:cs="Times New Roman"/>
          <w:i/>
          <w:iCs/>
        </w:rPr>
        <w:t>post hoc</w:t>
      </w:r>
      <w:r w:rsidR="001568A7">
        <w:rPr>
          <w:rFonts w:ascii="Times New Roman" w:hAnsi="Times New Roman" w:cs="Times New Roman"/>
        </w:rPr>
        <w:t xml:space="preserve"> </w:t>
      </w:r>
      <w:r w:rsidR="00CA1AEF">
        <w:rPr>
          <w:rFonts w:ascii="Times New Roman" w:hAnsi="Times New Roman" w:cs="Times New Roman"/>
        </w:rPr>
        <w:t xml:space="preserve">strategy to </w:t>
      </w:r>
      <w:r w:rsidR="001568A7">
        <w:rPr>
          <w:rFonts w:ascii="Times New Roman" w:hAnsi="Times New Roman" w:cs="Times New Roman"/>
        </w:rPr>
        <w:t>ensure that my estimation</w:t>
      </w:r>
      <w:r w:rsidR="00CA1AEF">
        <w:rPr>
          <w:rFonts w:ascii="Times New Roman" w:hAnsi="Times New Roman" w:cs="Times New Roman"/>
        </w:rPr>
        <w:t>s are</w:t>
      </w:r>
      <w:r w:rsidR="001568A7">
        <w:rPr>
          <w:rFonts w:ascii="Times New Roman" w:hAnsi="Times New Roman" w:cs="Times New Roman"/>
        </w:rPr>
        <w:t xml:space="preserve"> appropriate.</w:t>
      </w:r>
      <w:r w:rsidR="000C38F4">
        <w:rPr>
          <w:rFonts w:ascii="Times New Roman" w:hAnsi="Times New Roman" w:cs="Times New Roman"/>
        </w:rPr>
        <w:t xml:space="preserve">   </w:t>
      </w:r>
      <w:r w:rsidR="00336EE0">
        <w:rPr>
          <w:rFonts w:ascii="Times New Roman" w:hAnsi="Times New Roman" w:cs="Times New Roman"/>
        </w:rPr>
        <w:t xml:space="preserve"> </w:t>
      </w:r>
    </w:p>
    <w:p w14:paraId="0EECC9CA" w14:textId="0960E822" w:rsidR="00527404" w:rsidRPr="00415CDA" w:rsidRDefault="00527404" w:rsidP="00CD45D6">
      <w:pPr>
        <w:pStyle w:val="Heading2"/>
        <w:spacing w:before="0" w:after="0"/>
      </w:pPr>
      <w:bookmarkStart w:id="77" w:name="_Toc183282280"/>
      <w:r w:rsidRPr="00415CDA">
        <w:t>Identifying Models Against Potential Violations of Assumptions</w:t>
      </w:r>
      <w:bookmarkEnd w:id="77"/>
    </w:p>
    <w:p w14:paraId="1EB54F12" w14:textId="044CA3AF" w:rsidR="00527404" w:rsidRDefault="00527404" w:rsidP="00CD45D6">
      <w:pPr>
        <w:spacing w:line="480" w:lineRule="auto"/>
        <w:ind w:firstLine="720"/>
        <w:rPr>
          <w:rFonts w:ascii="Times New Roman" w:hAnsi="Times New Roman" w:cs="Times New Roman"/>
        </w:rPr>
      </w:pPr>
      <w:r>
        <w:rPr>
          <w:rFonts w:ascii="Times New Roman" w:hAnsi="Times New Roman" w:cs="Times New Roman"/>
        </w:rPr>
        <w:t>The primary assumption that requires testing to determine if any difference-in-difference model is an appropriate empirical strategy is whether th</w:t>
      </w:r>
      <w:r w:rsidR="00A13AE1">
        <w:rPr>
          <w:rFonts w:ascii="Times New Roman" w:hAnsi="Times New Roman" w:cs="Times New Roman"/>
        </w:rPr>
        <w:t>e</w:t>
      </w:r>
      <w:r>
        <w:rPr>
          <w:rFonts w:ascii="Times New Roman" w:hAnsi="Times New Roman" w:cs="Times New Roman"/>
        </w:rPr>
        <w:t xml:space="preserve"> data present satisfies a pre-treatment parallel trends assumption. </w:t>
      </w:r>
      <w:r w:rsidR="00B614D9">
        <w:rPr>
          <w:rFonts w:ascii="Times New Roman" w:hAnsi="Times New Roman" w:cs="Times New Roman"/>
        </w:rPr>
        <w:t>T</w:t>
      </w:r>
      <w:r>
        <w:rPr>
          <w:rFonts w:ascii="Times New Roman" w:hAnsi="Times New Roman" w:cs="Times New Roman"/>
        </w:rPr>
        <w:t xml:space="preserve">here is no </w:t>
      </w:r>
      <w:r w:rsidR="00093C3F">
        <w:rPr>
          <w:rFonts w:ascii="Times New Roman" w:hAnsi="Times New Roman" w:cs="Times New Roman"/>
        </w:rPr>
        <w:t>single agreed upon</w:t>
      </w:r>
      <w:r>
        <w:rPr>
          <w:rFonts w:ascii="Times New Roman" w:hAnsi="Times New Roman" w:cs="Times New Roman"/>
        </w:rPr>
        <w:t xml:space="preserve"> test for parallel trends or significant </w:t>
      </w:r>
      <w:r w:rsidR="00CF1A78">
        <w:rPr>
          <w:rFonts w:ascii="Times New Roman" w:hAnsi="Times New Roman" w:cs="Times New Roman"/>
        </w:rPr>
        <w:t>pre-treatment</w:t>
      </w:r>
      <w:r>
        <w:rPr>
          <w:rFonts w:ascii="Times New Roman" w:hAnsi="Times New Roman" w:cs="Times New Roman"/>
        </w:rPr>
        <w:t xml:space="preserve"> trends in staggered difference-in-difference</w:t>
      </w:r>
      <w:r w:rsidR="003F0B56">
        <w:rPr>
          <w:rFonts w:ascii="Times New Roman" w:hAnsi="Times New Roman" w:cs="Times New Roman"/>
        </w:rPr>
        <w:t xml:space="preserve"> design</w:t>
      </w:r>
      <w:r w:rsidR="007F48C9">
        <w:rPr>
          <w:rFonts w:ascii="Times New Roman" w:hAnsi="Times New Roman" w:cs="Times New Roman"/>
        </w:rPr>
        <w:t xml:space="preserve"> </w:t>
      </w:r>
      <w:r w:rsidR="00300E52" w:rsidRPr="007F48C9">
        <w:rPr>
          <w:rFonts w:ascii="Times New Roman" w:hAnsi="Times New Roman" w:cs="Times New Roman"/>
          <w:noProof/>
        </w:rPr>
        <w:t>(Roth</w:t>
      </w:r>
      <w:r w:rsidR="00300E52">
        <w:rPr>
          <w:rFonts w:ascii="Times New Roman" w:hAnsi="Times New Roman" w:cs="Times New Roman"/>
          <w:noProof/>
        </w:rPr>
        <w:t>,</w:t>
      </w:r>
      <w:r w:rsidR="00300E52" w:rsidRPr="007F48C9">
        <w:rPr>
          <w:rFonts w:ascii="Times New Roman" w:hAnsi="Times New Roman" w:cs="Times New Roman"/>
          <w:noProof/>
        </w:rPr>
        <w:t xml:space="preserve"> 2022)</w:t>
      </w:r>
      <w:r w:rsidR="007F48C9">
        <w:rPr>
          <w:rFonts w:ascii="Times New Roman" w:hAnsi="Times New Roman" w:cs="Times New Roman"/>
        </w:rPr>
        <w:t>.</w:t>
      </w:r>
      <w:r w:rsidR="007C2AE9">
        <w:rPr>
          <w:rFonts w:ascii="Times New Roman" w:hAnsi="Times New Roman" w:cs="Times New Roman"/>
        </w:rPr>
        <w:t xml:space="preserve"> </w:t>
      </w:r>
      <w:r w:rsidR="00B614D9">
        <w:rPr>
          <w:rFonts w:ascii="Times New Roman" w:hAnsi="Times New Roman" w:cs="Times New Roman"/>
        </w:rPr>
        <w:t>However</w:t>
      </w:r>
      <w:r>
        <w:rPr>
          <w:rFonts w:ascii="Times New Roman" w:hAnsi="Times New Roman" w:cs="Times New Roman"/>
        </w:rPr>
        <w:t xml:space="preserve">, researchers have established the examination of the significance of </w:t>
      </w:r>
      <w:r w:rsidR="00CF1A78">
        <w:rPr>
          <w:rFonts w:ascii="Times New Roman" w:hAnsi="Times New Roman" w:cs="Times New Roman"/>
        </w:rPr>
        <w:t>pre-treatment</w:t>
      </w:r>
      <w:r>
        <w:rPr>
          <w:rFonts w:ascii="Times New Roman" w:hAnsi="Times New Roman" w:cs="Times New Roman"/>
        </w:rPr>
        <w:t xml:space="preserve"> coefficients as an additional reference point to consider in determining if </w:t>
      </w:r>
      <w:r>
        <w:rPr>
          <w:rFonts w:ascii="Times New Roman" w:hAnsi="Times New Roman" w:cs="Times New Roman"/>
        </w:rPr>
        <w:lastRenderedPageBreak/>
        <w:t>a difference-in-difference design is appropriate</w:t>
      </w:r>
      <w:r w:rsidR="007C2AE9">
        <w:rPr>
          <w:rFonts w:ascii="Times New Roman" w:hAnsi="Times New Roman" w:cs="Times New Roman"/>
        </w:rPr>
        <w:t xml:space="preserve"> </w:t>
      </w:r>
      <w:sdt>
        <w:sdtPr>
          <w:rPr>
            <w:rFonts w:ascii="Times New Roman" w:hAnsi="Times New Roman" w:cs="Times New Roman"/>
          </w:rPr>
          <w:id w:val="2072541959"/>
          <w:citation/>
        </w:sdtPr>
        <w:sdtContent>
          <w:r w:rsidR="00A930C2">
            <w:rPr>
              <w:rFonts w:ascii="Times New Roman" w:hAnsi="Times New Roman" w:cs="Times New Roman"/>
            </w:rPr>
            <w:fldChar w:fldCharType="begin"/>
          </w:r>
          <w:r w:rsidR="00A930C2">
            <w:rPr>
              <w:rFonts w:ascii="Times New Roman" w:hAnsi="Times New Roman" w:cs="Times New Roman"/>
            </w:rPr>
            <w:instrText xml:space="preserve"> CITATION Mar21 \l 1033 </w:instrText>
          </w:r>
          <w:r w:rsidR="00A930C2">
            <w:rPr>
              <w:rFonts w:ascii="Times New Roman" w:hAnsi="Times New Roman" w:cs="Times New Roman"/>
            </w:rPr>
            <w:fldChar w:fldCharType="separate"/>
          </w:r>
          <w:r w:rsidR="00A10468" w:rsidRPr="00A10468">
            <w:rPr>
              <w:rFonts w:ascii="Times New Roman" w:hAnsi="Times New Roman" w:cs="Times New Roman"/>
              <w:noProof/>
            </w:rPr>
            <w:t>(Marcus &amp; Sant’Anna, 2021)</w:t>
          </w:r>
          <w:r w:rsidR="00A930C2">
            <w:rPr>
              <w:rFonts w:ascii="Times New Roman" w:hAnsi="Times New Roman" w:cs="Times New Roman"/>
            </w:rPr>
            <w:fldChar w:fldCharType="end"/>
          </w:r>
        </w:sdtContent>
      </w:sdt>
      <w:r w:rsidR="00A930C2">
        <w:rPr>
          <w:rFonts w:ascii="Times New Roman" w:hAnsi="Times New Roman" w:cs="Times New Roman"/>
        </w:rPr>
        <w:t xml:space="preserve">. </w:t>
      </w:r>
      <w:r w:rsidR="007B7845">
        <w:rPr>
          <w:rFonts w:ascii="Times New Roman" w:hAnsi="Times New Roman" w:cs="Times New Roman"/>
        </w:rPr>
        <w:t>These strategies are an</w:t>
      </w:r>
      <w:r>
        <w:rPr>
          <w:rFonts w:ascii="Times New Roman" w:hAnsi="Times New Roman" w:cs="Times New Roman"/>
        </w:rPr>
        <w:t xml:space="preserve"> examination of if individual pre-treatment period coefficients significantly differ from zero at the p &gt; 0.05 level and an examination of if the pre-treatment period coefficients significantly differed from zero in a joint test. </w:t>
      </w:r>
    </w:p>
    <w:p w14:paraId="7967C204" w14:textId="58484B09" w:rsidR="00AA7439" w:rsidRDefault="00527404" w:rsidP="00CD45D6">
      <w:pPr>
        <w:spacing w:line="480" w:lineRule="auto"/>
        <w:ind w:firstLine="720"/>
        <w:rPr>
          <w:rFonts w:ascii="Times New Roman" w:hAnsi="Times New Roman" w:cs="Times New Roman"/>
        </w:rPr>
      </w:pPr>
      <w:r>
        <w:rPr>
          <w:rFonts w:ascii="Times New Roman" w:hAnsi="Times New Roman" w:cs="Times New Roman"/>
        </w:rPr>
        <w:t xml:space="preserve">I found that a staggered difference-in-difference approach was appropriate for </w:t>
      </w:r>
      <w:r w:rsidR="00EC6659">
        <w:rPr>
          <w:rFonts w:ascii="Times New Roman" w:hAnsi="Times New Roman" w:cs="Times New Roman"/>
        </w:rPr>
        <w:t>the</w:t>
      </w:r>
      <w:r>
        <w:rPr>
          <w:rFonts w:ascii="Times New Roman" w:hAnsi="Times New Roman" w:cs="Times New Roman"/>
        </w:rPr>
        <w:t xml:space="preserve"> majority of Sun and Abraham event study estimator models in my public institutions only sample. </w:t>
      </w:r>
      <w:r w:rsidR="0056789F">
        <w:rPr>
          <w:rFonts w:ascii="Times New Roman" w:hAnsi="Times New Roman" w:cs="Times New Roman"/>
        </w:rPr>
        <w:t>Using this test, I</w:t>
      </w:r>
      <w:r>
        <w:rPr>
          <w:rFonts w:ascii="Times New Roman" w:hAnsi="Times New Roman" w:cs="Times New Roman"/>
        </w:rPr>
        <w:t xml:space="preserve"> </w:t>
      </w:r>
      <w:r w:rsidR="0056789F">
        <w:rPr>
          <w:rFonts w:ascii="Times New Roman" w:hAnsi="Times New Roman" w:cs="Times New Roman"/>
        </w:rPr>
        <w:t xml:space="preserve">found </w:t>
      </w:r>
      <w:r w:rsidR="00C85F62">
        <w:rPr>
          <w:rFonts w:ascii="Times New Roman" w:hAnsi="Times New Roman" w:cs="Times New Roman"/>
        </w:rPr>
        <w:t xml:space="preserve">inconsistent </w:t>
      </w:r>
      <w:r w:rsidR="0056789F">
        <w:rPr>
          <w:rFonts w:ascii="Times New Roman" w:hAnsi="Times New Roman" w:cs="Times New Roman"/>
        </w:rPr>
        <w:t>evidence</w:t>
      </w:r>
      <w:r>
        <w:rPr>
          <w:rFonts w:ascii="Times New Roman" w:hAnsi="Times New Roman" w:cs="Times New Roman"/>
        </w:rPr>
        <w:t xml:space="preserve"> across my samples </w:t>
      </w:r>
      <w:r w:rsidR="002C35ED">
        <w:rPr>
          <w:rFonts w:ascii="Times New Roman" w:hAnsi="Times New Roman" w:cs="Times New Roman"/>
        </w:rPr>
        <w:t>for whether</w:t>
      </w:r>
      <w:r w:rsidR="0056789F">
        <w:rPr>
          <w:rFonts w:ascii="Times New Roman" w:hAnsi="Times New Roman" w:cs="Times New Roman"/>
        </w:rPr>
        <w:t xml:space="preserve"> the assumption of parallel pre-treatment trends held</w:t>
      </w:r>
      <w:r>
        <w:rPr>
          <w:rFonts w:ascii="Times New Roman" w:hAnsi="Times New Roman" w:cs="Times New Roman"/>
        </w:rPr>
        <w:t xml:space="preserve">. I present these p-values in </w:t>
      </w:r>
      <w:r w:rsidR="00AA7439" w:rsidRPr="00CD45D6">
        <w:rPr>
          <w:rFonts w:ascii="Times New Roman" w:hAnsi="Times New Roman" w:cs="Times New Roman"/>
          <w:b/>
          <w:bCs/>
        </w:rPr>
        <w:t>t</w:t>
      </w:r>
      <w:r w:rsidRPr="00CD45D6">
        <w:rPr>
          <w:rFonts w:ascii="Times New Roman" w:hAnsi="Times New Roman" w:cs="Times New Roman"/>
          <w:b/>
          <w:bCs/>
        </w:rPr>
        <w:t xml:space="preserve">able </w:t>
      </w:r>
      <w:r w:rsidR="00FD7F94" w:rsidRPr="00CD45D6">
        <w:rPr>
          <w:rFonts w:ascii="Times New Roman" w:hAnsi="Times New Roman" w:cs="Times New Roman"/>
          <w:b/>
          <w:bCs/>
        </w:rPr>
        <w:t>5</w:t>
      </w:r>
      <w:r w:rsidRPr="00CD45D6">
        <w:rPr>
          <w:rFonts w:ascii="Times New Roman" w:hAnsi="Times New Roman" w:cs="Times New Roman"/>
          <w:b/>
          <w:bCs/>
        </w:rPr>
        <w:t xml:space="preserve"> &amp; 6</w:t>
      </w:r>
      <w:r>
        <w:rPr>
          <w:rFonts w:ascii="Times New Roman" w:hAnsi="Times New Roman" w:cs="Times New Roman"/>
        </w:rPr>
        <w:t xml:space="preserve"> for individual and joint tests of significance respectively of the public institutions only sample of pre-treatment trends. </w:t>
      </w:r>
      <w:r w:rsidR="00AA7439">
        <w:rPr>
          <w:rFonts w:ascii="Times New Roman" w:hAnsi="Times New Roman" w:cs="Times New Roman"/>
        </w:rPr>
        <w:t xml:space="preserve">Note that in </w:t>
      </w:r>
      <w:r w:rsidR="00AA7439" w:rsidRPr="00504669">
        <w:rPr>
          <w:rFonts w:ascii="Times New Roman" w:hAnsi="Times New Roman" w:cs="Times New Roman"/>
          <w:b/>
          <w:bCs/>
        </w:rPr>
        <w:t xml:space="preserve">table </w:t>
      </w:r>
      <w:r w:rsidR="00FD7F94" w:rsidRPr="00504669">
        <w:rPr>
          <w:rFonts w:ascii="Times New Roman" w:hAnsi="Times New Roman" w:cs="Times New Roman"/>
          <w:b/>
          <w:bCs/>
        </w:rPr>
        <w:t>5</w:t>
      </w:r>
      <w:r w:rsidR="00AA7439">
        <w:rPr>
          <w:rFonts w:ascii="Times New Roman" w:hAnsi="Times New Roman" w:cs="Times New Roman"/>
        </w:rPr>
        <w:t xml:space="preserve">, there are </w:t>
      </w:r>
      <w:r w:rsidR="00544D91">
        <w:rPr>
          <w:rFonts w:ascii="Times New Roman" w:hAnsi="Times New Roman" w:cs="Times New Roman"/>
        </w:rPr>
        <w:t>multiple values present for each sample (the columns) and outcome variable (the rows). Thes</w:t>
      </w:r>
      <w:r w:rsidR="00A13AE1">
        <w:rPr>
          <w:rFonts w:ascii="Times New Roman" w:hAnsi="Times New Roman" w:cs="Times New Roman"/>
        </w:rPr>
        <w:t>e</w:t>
      </w:r>
      <w:r w:rsidR="00544D91">
        <w:rPr>
          <w:rFonts w:ascii="Times New Roman" w:hAnsi="Times New Roman" w:cs="Times New Roman"/>
        </w:rPr>
        <w:t xml:space="preserve"> values are the </w:t>
      </w:r>
      <w:r w:rsidR="00B44317">
        <w:rPr>
          <w:rFonts w:ascii="Times New Roman" w:hAnsi="Times New Roman" w:cs="Times New Roman"/>
        </w:rPr>
        <w:t xml:space="preserve">p-values </w:t>
      </w:r>
      <w:r w:rsidR="00C85F62">
        <w:rPr>
          <w:rFonts w:ascii="Times New Roman" w:hAnsi="Times New Roman" w:cs="Times New Roman"/>
        </w:rPr>
        <w:t xml:space="preserve">for individual pre-treatment coefficients arranged in ascending order from the fifth period before treatment to the period to the period immediately before treatment. </w:t>
      </w:r>
    </w:p>
    <w:p w14:paraId="6942F066" w14:textId="77777777" w:rsidR="00CD45D6" w:rsidRDefault="00CD45D6" w:rsidP="00CD45D6">
      <w:pPr>
        <w:spacing w:line="480" w:lineRule="auto"/>
        <w:ind w:firstLine="720"/>
        <w:rPr>
          <w:rFonts w:ascii="Times New Roman" w:hAnsi="Times New Roman" w:cs="Times New Roman"/>
        </w:rPr>
      </w:pPr>
      <w:r>
        <w:rPr>
          <w:rFonts w:ascii="Times New Roman" w:hAnsi="Times New Roman" w:cs="Times New Roman"/>
        </w:rPr>
        <w:t xml:space="preserve">Because the Sun and Abraham approach does not calculate a coefficient for the period immediately before treatment, there are only four p-values presented for each of those regressions. As I have now presented the first outputs of my study </w:t>
      </w:r>
      <w:proofErr w:type="gramStart"/>
      <w:r>
        <w:rPr>
          <w:rFonts w:ascii="Times New Roman" w:hAnsi="Times New Roman" w:cs="Times New Roman"/>
        </w:rPr>
        <w:t>in order to</w:t>
      </w:r>
      <w:proofErr w:type="gramEnd"/>
      <w:r>
        <w:rPr>
          <w:rFonts w:ascii="Times New Roman" w:hAnsi="Times New Roman" w:cs="Times New Roman"/>
        </w:rPr>
        <w:t xml:space="preserve"> examine my pre-treatment parallel trends assumption, I want to note that I have provided t</w:t>
      </w:r>
      <w:r w:rsidRPr="00546D52">
        <w:rPr>
          <w:rFonts w:ascii="Times New Roman" w:hAnsi="Times New Roman" w:cs="Times New Roman"/>
        </w:rPr>
        <w:t xml:space="preserve">erminal output logs for </w:t>
      </w:r>
      <w:r>
        <w:rPr>
          <w:rFonts w:ascii="Times New Roman" w:hAnsi="Times New Roman" w:cs="Times New Roman"/>
        </w:rPr>
        <w:t>my study’s</w:t>
      </w:r>
      <w:r w:rsidRPr="00546D52">
        <w:rPr>
          <w:rFonts w:ascii="Times New Roman" w:hAnsi="Times New Roman" w:cs="Times New Roman"/>
        </w:rPr>
        <w:t xml:space="preserve"> .do files in Appendix D.</w:t>
      </w:r>
      <w:r>
        <w:rPr>
          <w:rFonts w:ascii="Times New Roman" w:hAnsi="Times New Roman" w:cs="Times New Roman"/>
        </w:rPr>
        <w:t xml:space="preserve"> I also provide versions of </w:t>
      </w:r>
      <w:r w:rsidRPr="00504669">
        <w:rPr>
          <w:rFonts w:ascii="Times New Roman" w:hAnsi="Times New Roman" w:cs="Times New Roman"/>
          <w:b/>
          <w:bCs/>
        </w:rPr>
        <w:t>table 5 and 6</w:t>
      </w:r>
      <w:r>
        <w:rPr>
          <w:rFonts w:ascii="Times New Roman" w:hAnsi="Times New Roman" w:cs="Times New Roman"/>
        </w:rPr>
        <w:t xml:space="preserve"> for my other three sample groups in Appendix E to allow for comparisons of how each sample holds when inspected for significant pre-treatment parallel trends.</w:t>
      </w:r>
    </w:p>
    <w:p w14:paraId="5A237696" w14:textId="77777777" w:rsidR="00CD45D6" w:rsidRDefault="00CD45D6" w:rsidP="00CD45D6">
      <w:pPr>
        <w:spacing w:line="480" w:lineRule="auto"/>
        <w:ind w:firstLine="720"/>
        <w:rPr>
          <w:rFonts w:ascii="Times New Roman" w:hAnsi="Times New Roman" w:cs="Times New Roman"/>
        </w:rPr>
      </w:pPr>
    </w:p>
    <w:p w14:paraId="33489975" w14:textId="77777777" w:rsidR="00CD45D6" w:rsidRDefault="00CD45D6" w:rsidP="00CD45D6">
      <w:pPr>
        <w:spacing w:line="480" w:lineRule="auto"/>
        <w:ind w:firstLine="720"/>
        <w:rPr>
          <w:rFonts w:ascii="Times New Roman" w:hAnsi="Times New Roman" w:cs="Times New Roman"/>
        </w:rPr>
      </w:pPr>
    </w:p>
    <w:p w14:paraId="7D35C166" w14:textId="77777777" w:rsidR="00FD7F94" w:rsidRPr="006F0A0D" w:rsidRDefault="00FD7F94" w:rsidP="00504669">
      <w:pPr>
        <w:pStyle w:val="Caption"/>
        <w:spacing w:before="0" w:after="0" w:line="240" w:lineRule="auto"/>
      </w:pPr>
      <w:bookmarkStart w:id="78" w:name="_Toc179888480"/>
      <w:bookmarkStart w:id="79" w:name="_Toc181297761"/>
      <w:bookmarkStart w:id="80" w:name="_Toc180144568"/>
      <w:r w:rsidRPr="006F0A0D">
        <w:lastRenderedPageBreak/>
        <w:t>Table 5</w:t>
      </w:r>
      <w:bookmarkEnd w:id="78"/>
      <w:bookmarkEnd w:id="79"/>
      <w:bookmarkEnd w:id="80"/>
    </w:p>
    <w:p w14:paraId="12496E81" w14:textId="6769EFE8" w:rsidR="00FD7F94" w:rsidRDefault="00FD7F94" w:rsidP="00504669">
      <w:pPr>
        <w:rPr>
          <w:rFonts w:ascii="Times New Roman" w:hAnsi="Times New Roman" w:cs="Times New Roman"/>
          <w:i/>
          <w:iCs/>
        </w:rPr>
      </w:pPr>
      <w:r>
        <w:rPr>
          <w:rFonts w:ascii="Times New Roman" w:hAnsi="Times New Roman" w:cs="Times New Roman"/>
          <w:i/>
          <w:iCs/>
        </w:rPr>
        <w:t xml:space="preserve">Significance Pre-treatment Parallel Trends – Individual Period Test at Public Institutions </w:t>
      </w:r>
    </w:p>
    <w:p w14:paraId="2620F580" w14:textId="77777777" w:rsidR="00FD7F94" w:rsidRDefault="00FD7F94" w:rsidP="00FD7F94">
      <w:pPr>
        <w:rPr>
          <w:rFonts w:ascii="Times New Roman" w:hAnsi="Times New Roman" w:cs="Times New Roman"/>
          <w:i/>
          <w:iCs/>
        </w:rPr>
      </w:pPr>
    </w:p>
    <w:tbl>
      <w:tblPr>
        <w:tblStyle w:val="TableGrid"/>
        <w:tblW w:w="0" w:type="auto"/>
        <w:tblLook w:val="04A0" w:firstRow="1" w:lastRow="0" w:firstColumn="1" w:lastColumn="0" w:noHBand="0" w:noVBand="1"/>
      </w:tblPr>
      <w:tblGrid>
        <w:gridCol w:w="2157"/>
        <w:gridCol w:w="2157"/>
        <w:gridCol w:w="2158"/>
        <w:gridCol w:w="2158"/>
      </w:tblGrid>
      <w:tr w:rsidR="00FD7F94" w14:paraId="7BAE7896" w14:textId="77777777">
        <w:tc>
          <w:tcPr>
            <w:tcW w:w="2157" w:type="dxa"/>
          </w:tcPr>
          <w:p w14:paraId="5976F089" w14:textId="77777777" w:rsidR="00FD7F94" w:rsidRPr="00D2786A" w:rsidRDefault="00FD7F94">
            <w:pPr>
              <w:rPr>
                <w:rFonts w:ascii="Times New Roman" w:hAnsi="Times New Roman" w:cs="Times New Roman"/>
              </w:rPr>
            </w:pPr>
          </w:p>
        </w:tc>
        <w:tc>
          <w:tcPr>
            <w:tcW w:w="2157" w:type="dxa"/>
          </w:tcPr>
          <w:p w14:paraId="42F6AB16" w14:textId="77777777" w:rsidR="00FD7F94" w:rsidRPr="00D2786A" w:rsidRDefault="00FD7F94">
            <w:pPr>
              <w:rPr>
                <w:rFonts w:ascii="Times New Roman" w:hAnsi="Times New Roman" w:cs="Times New Roman"/>
              </w:rPr>
            </w:pPr>
            <w:r w:rsidRPr="00D2786A">
              <w:rPr>
                <w:rFonts w:ascii="Times New Roman" w:hAnsi="Times New Roman" w:cs="Times New Roman"/>
              </w:rPr>
              <w:t>Ordinary Least Squares</w:t>
            </w:r>
          </w:p>
        </w:tc>
        <w:tc>
          <w:tcPr>
            <w:tcW w:w="2158" w:type="dxa"/>
          </w:tcPr>
          <w:p w14:paraId="0C0E3360" w14:textId="77777777" w:rsidR="00FD7F94" w:rsidRPr="00D2786A" w:rsidRDefault="00FD7F94">
            <w:pPr>
              <w:rPr>
                <w:rFonts w:ascii="Times New Roman" w:hAnsi="Times New Roman" w:cs="Times New Roman"/>
              </w:rPr>
            </w:pPr>
            <w:r w:rsidRPr="00D2786A">
              <w:rPr>
                <w:rFonts w:ascii="Times New Roman" w:hAnsi="Times New Roman" w:cs="Times New Roman"/>
              </w:rPr>
              <w:t>Sun &amp; Abraham (Event Study Interact)</w:t>
            </w:r>
          </w:p>
        </w:tc>
        <w:tc>
          <w:tcPr>
            <w:tcW w:w="2158" w:type="dxa"/>
          </w:tcPr>
          <w:p w14:paraId="17D5AF30" w14:textId="77777777" w:rsidR="00FD7F94" w:rsidRPr="00D2786A" w:rsidRDefault="00FD7F94">
            <w:pPr>
              <w:rPr>
                <w:rFonts w:ascii="Times New Roman" w:hAnsi="Times New Roman" w:cs="Times New Roman"/>
              </w:rPr>
            </w:pPr>
            <w:r w:rsidRPr="00D2786A">
              <w:rPr>
                <w:rFonts w:ascii="Times New Roman" w:hAnsi="Times New Roman" w:cs="Times New Roman"/>
              </w:rPr>
              <w:t>Borusyak et al (DID Imputation)</w:t>
            </w:r>
          </w:p>
        </w:tc>
      </w:tr>
      <w:tr w:rsidR="00FD7F94" w14:paraId="74D09CE5" w14:textId="77777777">
        <w:tc>
          <w:tcPr>
            <w:tcW w:w="2157" w:type="dxa"/>
          </w:tcPr>
          <w:p w14:paraId="6F54FC83" w14:textId="77777777" w:rsidR="00FD7F94" w:rsidRPr="00D2786A" w:rsidRDefault="00FD7F94">
            <w:pPr>
              <w:rPr>
                <w:rFonts w:ascii="Times New Roman" w:hAnsi="Times New Roman" w:cs="Times New Roman"/>
              </w:rPr>
            </w:pPr>
            <w:r w:rsidRPr="00D2786A">
              <w:rPr>
                <w:rFonts w:ascii="Times New Roman" w:hAnsi="Times New Roman" w:cs="Times New Roman"/>
              </w:rPr>
              <w:t>All Awards</w:t>
            </w:r>
          </w:p>
        </w:tc>
        <w:tc>
          <w:tcPr>
            <w:tcW w:w="2157" w:type="dxa"/>
          </w:tcPr>
          <w:p w14:paraId="2A682EB1"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0.376 </w:t>
            </w:r>
          </w:p>
          <w:p w14:paraId="79D414F0"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0.964 </w:t>
            </w:r>
          </w:p>
          <w:p w14:paraId="583436D1"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0.945 </w:t>
            </w:r>
          </w:p>
          <w:p w14:paraId="6627E4E3"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0.487 </w:t>
            </w:r>
          </w:p>
          <w:p w14:paraId="2384C710"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0.701</w:t>
            </w:r>
          </w:p>
        </w:tc>
        <w:tc>
          <w:tcPr>
            <w:tcW w:w="2158" w:type="dxa"/>
          </w:tcPr>
          <w:p w14:paraId="37D5682F"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0.903 </w:t>
            </w:r>
          </w:p>
          <w:p w14:paraId="110AB5D5"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0.261 </w:t>
            </w:r>
          </w:p>
          <w:p w14:paraId="62EE6F4A"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0.060 </w:t>
            </w:r>
          </w:p>
          <w:p w14:paraId="70304B96"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0.285 </w:t>
            </w:r>
          </w:p>
        </w:tc>
        <w:tc>
          <w:tcPr>
            <w:tcW w:w="2158" w:type="dxa"/>
          </w:tcPr>
          <w:p w14:paraId="07D0B44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0.541 </w:t>
            </w:r>
          </w:p>
          <w:p w14:paraId="6CA1BCB8"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0.335</w:t>
            </w:r>
          </w:p>
          <w:p w14:paraId="13D1DB61"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0.394 </w:t>
            </w:r>
          </w:p>
          <w:p w14:paraId="74D9C75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0.340 </w:t>
            </w:r>
          </w:p>
          <w:p w14:paraId="61C244A7"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0.085 </w:t>
            </w:r>
          </w:p>
        </w:tc>
      </w:tr>
      <w:tr w:rsidR="00FD7F94" w14:paraId="4FAB91B5" w14:textId="77777777">
        <w:trPr>
          <w:trHeight w:val="872"/>
        </w:trPr>
        <w:tc>
          <w:tcPr>
            <w:tcW w:w="2157" w:type="dxa"/>
          </w:tcPr>
          <w:p w14:paraId="0220026B" w14:textId="77777777" w:rsidR="00FD7F94" w:rsidRPr="00D2786A" w:rsidRDefault="00FD7F94">
            <w:pPr>
              <w:rPr>
                <w:rFonts w:ascii="Times New Roman" w:hAnsi="Times New Roman" w:cs="Times New Roman"/>
              </w:rPr>
            </w:pPr>
            <w:r w:rsidRPr="00D2786A">
              <w:rPr>
                <w:rFonts w:ascii="Times New Roman" w:hAnsi="Times New Roman" w:cs="Times New Roman"/>
              </w:rPr>
              <w:t>Associates Only</w:t>
            </w:r>
          </w:p>
        </w:tc>
        <w:tc>
          <w:tcPr>
            <w:tcW w:w="2157" w:type="dxa"/>
          </w:tcPr>
          <w:p w14:paraId="210974B3"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0.034* </w:t>
            </w:r>
          </w:p>
          <w:p w14:paraId="02CEC8DB"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0.174 </w:t>
            </w:r>
          </w:p>
          <w:p w14:paraId="51FC2B29"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0.195 </w:t>
            </w:r>
          </w:p>
          <w:p w14:paraId="5210A72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0.203 </w:t>
            </w:r>
          </w:p>
          <w:p w14:paraId="63EA4DA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0.168</w:t>
            </w:r>
          </w:p>
        </w:tc>
        <w:tc>
          <w:tcPr>
            <w:tcW w:w="2158" w:type="dxa"/>
          </w:tcPr>
          <w:p w14:paraId="2EB2C801"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0.094 </w:t>
            </w:r>
          </w:p>
          <w:p w14:paraId="1BAFA642"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0.297</w:t>
            </w:r>
          </w:p>
          <w:p w14:paraId="3C89E7E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0.944 </w:t>
            </w:r>
          </w:p>
          <w:p w14:paraId="1193408C"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0.543 </w:t>
            </w:r>
          </w:p>
          <w:p w14:paraId="591FFF58" w14:textId="77777777" w:rsidR="00FD7F94" w:rsidRPr="0068713E" w:rsidRDefault="00FD7F94">
            <w:pPr>
              <w:rPr>
                <w:rFonts w:ascii="Times New Roman" w:hAnsi="Times New Roman" w:cs="Times New Roman"/>
                <w:sz w:val="16"/>
                <w:szCs w:val="16"/>
              </w:rPr>
            </w:pPr>
          </w:p>
        </w:tc>
        <w:tc>
          <w:tcPr>
            <w:tcW w:w="2158" w:type="dxa"/>
          </w:tcPr>
          <w:p w14:paraId="3B93AD8F"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0.284 </w:t>
            </w:r>
          </w:p>
          <w:p w14:paraId="2B761194"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0.189 </w:t>
            </w:r>
          </w:p>
          <w:p w14:paraId="6B8D314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0.139 </w:t>
            </w:r>
          </w:p>
          <w:p w14:paraId="22A975AC"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0.073 </w:t>
            </w:r>
          </w:p>
          <w:p w14:paraId="5A141662"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0.005**</w:t>
            </w:r>
          </w:p>
        </w:tc>
      </w:tr>
      <w:tr w:rsidR="00FD7F94" w14:paraId="0754793F" w14:textId="77777777">
        <w:tc>
          <w:tcPr>
            <w:tcW w:w="2157" w:type="dxa"/>
          </w:tcPr>
          <w:p w14:paraId="04019A02" w14:textId="77777777" w:rsidR="00FD7F94" w:rsidRPr="00D2786A" w:rsidRDefault="00FD7F94">
            <w:pPr>
              <w:rPr>
                <w:rFonts w:ascii="Times New Roman" w:hAnsi="Times New Roman" w:cs="Times New Roman"/>
              </w:rPr>
            </w:pPr>
            <w:r w:rsidRPr="00D2786A">
              <w:rPr>
                <w:rFonts w:ascii="Times New Roman" w:hAnsi="Times New Roman" w:cs="Times New Roman"/>
              </w:rPr>
              <w:t>All Credentials</w:t>
            </w:r>
          </w:p>
        </w:tc>
        <w:tc>
          <w:tcPr>
            <w:tcW w:w="2157" w:type="dxa"/>
          </w:tcPr>
          <w:p w14:paraId="4C7DFC9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0.204 </w:t>
            </w:r>
          </w:p>
          <w:p w14:paraId="18511497"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0.032* </w:t>
            </w:r>
          </w:p>
          <w:p w14:paraId="798F9A80"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0.081 </w:t>
            </w:r>
          </w:p>
          <w:p w14:paraId="152722C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0.225 </w:t>
            </w:r>
          </w:p>
          <w:p w14:paraId="196EE785"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0.344</w:t>
            </w:r>
          </w:p>
        </w:tc>
        <w:tc>
          <w:tcPr>
            <w:tcW w:w="2158" w:type="dxa"/>
          </w:tcPr>
          <w:p w14:paraId="4EB49303"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0.171 </w:t>
            </w:r>
          </w:p>
          <w:p w14:paraId="0078AEB0"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0.014* </w:t>
            </w:r>
          </w:p>
          <w:p w14:paraId="30D24C30"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0.007** </w:t>
            </w:r>
          </w:p>
          <w:p w14:paraId="0EC19466"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0.080</w:t>
            </w:r>
          </w:p>
          <w:p w14:paraId="3366CC8F" w14:textId="77777777" w:rsidR="00FD7F94" w:rsidRPr="0068713E" w:rsidRDefault="00FD7F94">
            <w:pPr>
              <w:rPr>
                <w:rFonts w:ascii="Times New Roman" w:hAnsi="Times New Roman" w:cs="Times New Roman"/>
                <w:sz w:val="16"/>
                <w:szCs w:val="16"/>
              </w:rPr>
            </w:pPr>
          </w:p>
        </w:tc>
        <w:tc>
          <w:tcPr>
            <w:tcW w:w="2158" w:type="dxa"/>
          </w:tcPr>
          <w:p w14:paraId="09C24E53"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0.436 </w:t>
            </w:r>
          </w:p>
          <w:p w14:paraId="7E43831A"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0.816 </w:t>
            </w:r>
          </w:p>
          <w:p w14:paraId="7F0986CC"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0.451 </w:t>
            </w:r>
          </w:p>
          <w:p w14:paraId="2B853C6B"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0.398 </w:t>
            </w:r>
          </w:p>
          <w:p w14:paraId="316B9589"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0.869</w:t>
            </w:r>
          </w:p>
        </w:tc>
      </w:tr>
      <w:tr w:rsidR="00FD7F94" w14:paraId="499D8CD5" w14:textId="77777777">
        <w:tc>
          <w:tcPr>
            <w:tcW w:w="2157" w:type="dxa"/>
          </w:tcPr>
          <w:p w14:paraId="4EBC1C82" w14:textId="106564D2" w:rsidR="00FD7F94" w:rsidRPr="00D2786A" w:rsidRDefault="00275D9D">
            <w:pPr>
              <w:rPr>
                <w:rFonts w:ascii="Times New Roman" w:hAnsi="Times New Roman" w:cs="Times New Roman"/>
              </w:rPr>
            </w:pPr>
            <w:r>
              <w:rPr>
                <w:rFonts w:ascii="Times New Roman" w:hAnsi="Times New Roman" w:cs="Times New Roman"/>
              </w:rPr>
              <w:t>One</w:t>
            </w:r>
            <w:r w:rsidR="002C3000">
              <w:rPr>
                <w:rFonts w:ascii="Times New Roman" w:hAnsi="Times New Roman" w:cs="Times New Roman"/>
              </w:rPr>
              <w:t>-</w:t>
            </w:r>
            <w:r>
              <w:rPr>
                <w:rFonts w:ascii="Times New Roman" w:hAnsi="Times New Roman" w:cs="Times New Roman"/>
              </w:rPr>
              <w:t>to</w:t>
            </w:r>
            <w:r w:rsidR="002C3000">
              <w:rPr>
                <w:rFonts w:ascii="Times New Roman" w:hAnsi="Times New Roman" w:cs="Times New Roman"/>
              </w:rPr>
              <w:t>-</w:t>
            </w:r>
            <w:r>
              <w:rPr>
                <w:rFonts w:ascii="Times New Roman" w:hAnsi="Times New Roman" w:cs="Times New Roman"/>
              </w:rPr>
              <w:t>Two</w:t>
            </w:r>
            <w:r w:rsidR="00FD7F94" w:rsidRPr="00D2786A">
              <w:rPr>
                <w:rFonts w:ascii="Times New Roman" w:hAnsi="Times New Roman" w:cs="Times New Roman"/>
              </w:rPr>
              <w:t xml:space="preserve"> Year Credentials</w:t>
            </w:r>
          </w:p>
        </w:tc>
        <w:tc>
          <w:tcPr>
            <w:tcW w:w="2157" w:type="dxa"/>
          </w:tcPr>
          <w:p w14:paraId="219E9107"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0.105 </w:t>
            </w:r>
          </w:p>
          <w:p w14:paraId="5B2E7F4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0.009** </w:t>
            </w:r>
          </w:p>
          <w:p w14:paraId="21D68AEF"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0.006** </w:t>
            </w:r>
          </w:p>
          <w:p w14:paraId="3E9CC41F"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0.042* </w:t>
            </w:r>
          </w:p>
          <w:p w14:paraId="1F1CB62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0.049*</w:t>
            </w:r>
          </w:p>
        </w:tc>
        <w:tc>
          <w:tcPr>
            <w:tcW w:w="2158" w:type="dxa"/>
          </w:tcPr>
          <w:p w14:paraId="2B8598D1"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0.052 </w:t>
            </w:r>
          </w:p>
          <w:p w14:paraId="3F4453C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0.001*** </w:t>
            </w:r>
          </w:p>
          <w:p w14:paraId="3B4FE36C"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0.000*** </w:t>
            </w:r>
          </w:p>
          <w:p w14:paraId="02D47B0F"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0.000*** </w:t>
            </w:r>
          </w:p>
          <w:p w14:paraId="2C81933E" w14:textId="77777777" w:rsidR="00FD7F94" w:rsidRPr="0068713E" w:rsidRDefault="00FD7F94">
            <w:pPr>
              <w:rPr>
                <w:rFonts w:ascii="Times New Roman" w:hAnsi="Times New Roman" w:cs="Times New Roman"/>
                <w:sz w:val="16"/>
                <w:szCs w:val="16"/>
              </w:rPr>
            </w:pPr>
          </w:p>
        </w:tc>
        <w:tc>
          <w:tcPr>
            <w:tcW w:w="2158" w:type="dxa"/>
          </w:tcPr>
          <w:p w14:paraId="01FA6C20"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0.479  </w:t>
            </w:r>
          </w:p>
          <w:p w14:paraId="7F12AD63"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0.399 </w:t>
            </w:r>
          </w:p>
          <w:p w14:paraId="0A929DCA"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0.387 </w:t>
            </w:r>
          </w:p>
          <w:p w14:paraId="35BC0B4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0.363  </w:t>
            </w:r>
          </w:p>
          <w:p w14:paraId="0A0A564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0.840</w:t>
            </w:r>
          </w:p>
        </w:tc>
      </w:tr>
      <w:tr w:rsidR="00FD7F94" w14:paraId="5B293684" w14:textId="77777777">
        <w:tc>
          <w:tcPr>
            <w:tcW w:w="2157" w:type="dxa"/>
          </w:tcPr>
          <w:p w14:paraId="3C309E72" w14:textId="77777777" w:rsidR="00FD7F94" w:rsidRPr="00D2786A" w:rsidRDefault="00FD7F94">
            <w:pPr>
              <w:rPr>
                <w:rFonts w:ascii="Times New Roman" w:hAnsi="Times New Roman" w:cs="Times New Roman"/>
              </w:rPr>
            </w:pPr>
            <w:r w:rsidRPr="00D2786A">
              <w:rPr>
                <w:rFonts w:ascii="Times New Roman" w:hAnsi="Times New Roman" w:cs="Times New Roman"/>
              </w:rPr>
              <w:t xml:space="preserve">&lt; 1 Year Credentials </w:t>
            </w:r>
          </w:p>
        </w:tc>
        <w:tc>
          <w:tcPr>
            <w:tcW w:w="2157" w:type="dxa"/>
          </w:tcPr>
          <w:p w14:paraId="303B57C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0.298 </w:t>
            </w:r>
          </w:p>
          <w:p w14:paraId="6FA42BE3"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0.138 </w:t>
            </w:r>
          </w:p>
          <w:p w14:paraId="08348A32"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0.048* </w:t>
            </w:r>
          </w:p>
          <w:p w14:paraId="62A654D6"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0.287 </w:t>
            </w:r>
          </w:p>
          <w:p w14:paraId="22118A2F"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0.053</w:t>
            </w:r>
          </w:p>
        </w:tc>
        <w:tc>
          <w:tcPr>
            <w:tcW w:w="2158" w:type="dxa"/>
          </w:tcPr>
          <w:p w14:paraId="15EEEAE5"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0.229  </w:t>
            </w:r>
          </w:p>
          <w:p w14:paraId="09B6010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0.070 </w:t>
            </w:r>
          </w:p>
          <w:p w14:paraId="2653097F"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0.003** </w:t>
            </w:r>
          </w:p>
          <w:p w14:paraId="5AA00256"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0.035* </w:t>
            </w:r>
          </w:p>
          <w:p w14:paraId="478675BB" w14:textId="77777777" w:rsidR="00FD7F94" w:rsidRPr="0068713E" w:rsidRDefault="00FD7F94">
            <w:pPr>
              <w:rPr>
                <w:rFonts w:ascii="Times New Roman" w:hAnsi="Times New Roman" w:cs="Times New Roman"/>
                <w:sz w:val="16"/>
                <w:szCs w:val="16"/>
              </w:rPr>
            </w:pPr>
          </w:p>
        </w:tc>
        <w:tc>
          <w:tcPr>
            <w:tcW w:w="2158" w:type="dxa"/>
          </w:tcPr>
          <w:p w14:paraId="0C5F74A2" w14:textId="77777777" w:rsidR="00FD7F94" w:rsidRPr="0068713E" w:rsidRDefault="00FD7F94">
            <w:pPr>
              <w:rPr>
                <w:rFonts w:ascii="Times New Roman" w:hAnsi="Times New Roman" w:cs="Times New Roman"/>
                <w:sz w:val="16"/>
                <w:szCs w:val="16"/>
              </w:rPr>
            </w:pPr>
            <w:r w:rsidRPr="0068713E">
              <w:rPr>
                <w:rFonts w:ascii="Times New Roman" w:hAnsi="Times New Roman" w:cs="Times New Roman"/>
                <w:sz w:val="16"/>
                <w:szCs w:val="16"/>
              </w:rPr>
              <w:t xml:space="preserve">0.676  </w:t>
            </w:r>
          </w:p>
          <w:p w14:paraId="450A1B55" w14:textId="77777777" w:rsidR="00FD7F94" w:rsidRPr="0068713E" w:rsidRDefault="00FD7F94">
            <w:pPr>
              <w:rPr>
                <w:rFonts w:ascii="Times New Roman" w:hAnsi="Times New Roman" w:cs="Times New Roman"/>
                <w:sz w:val="16"/>
                <w:szCs w:val="16"/>
              </w:rPr>
            </w:pPr>
            <w:r w:rsidRPr="0068713E">
              <w:rPr>
                <w:rFonts w:ascii="Times New Roman" w:hAnsi="Times New Roman" w:cs="Times New Roman"/>
                <w:sz w:val="16"/>
                <w:szCs w:val="16"/>
              </w:rPr>
              <w:t xml:space="preserve">0.882  </w:t>
            </w:r>
          </w:p>
          <w:p w14:paraId="2FC7535D" w14:textId="77777777" w:rsidR="00FD7F94" w:rsidRPr="0068713E" w:rsidRDefault="00FD7F94">
            <w:pPr>
              <w:rPr>
                <w:rFonts w:ascii="Times New Roman" w:hAnsi="Times New Roman" w:cs="Times New Roman"/>
                <w:sz w:val="16"/>
                <w:szCs w:val="16"/>
              </w:rPr>
            </w:pPr>
            <w:r w:rsidRPr="0068713E">
              <w:rPr>
                <w:rFonts w:ascii="Times New Roman" w:hAnsi="Times New Roman" w:cs="Times New Roman"/>
                <w:sz w:val="16"/>
                <w:szCs w:val="16"/>
              </w:rPr>
              <w:t xml:space="preserve">0.821 </w:t>
            </w:r>
          </w:p>
          <w:p w14:paraId="0CD5D534" w14:textId="77777777" w:rsidR="00FD7F94" w:rsidRPr="0068713E" w:rsidRDefault="00FD7F94">
            <w:pPr>
              <w:rPr>
                <w:rFonts w:ascii="Times New Roman" w:hAnsi="Times New Roman" w:cs="Times New Roman"/>
                <w:sz w:val="16"/>
                <w:szCs w:val="16"/>
              </w:rPr>
            </w:pPr>
            <w:r w:rsidRPr="0068713E">
              <w:rPr>
                <w:rFonts w:ascii="Times New Roman" w:hAnsi="Times New Roman" w:cs="Times New Roman"/>
                <w:sz w:val="16"/>
                <w:szCs w:val="16"/>
              </w:rPr>
              <w:t xml:space="preserve">0.972 </w:t>
            </w:r>
          </w:p>
          <w:p w14:paraId="0260EB22" w14:textId="77777777" w:rsidR="00FD7F94" w:rsidRPr="0068713E" w:rsidRDefault="00FD7F94">
            <w:pPr>
              <w:rPr>
                <w:rFonts w:ascii="Times New Roman" w:hAnsi="Times New Roman" w:cs="Times New Roman"/>
                <w:sz w:val="16"/>
                <w:szCs w:val="16"/>
              </w:rPr>
            </w:pPr>
            <w:r w:rsidRPr="0068713E">
              <w:rPr>
                <w:rFonts w:ascii="Times New Roman" w:hAnsi="Times New Roman" w:cs="Times New Roman"/>
                <w:sz w:val="16"/>
                <w:szCs w:val="16"/>
              </w:rPr>
              <w:t>0.698</w:t>
            </w:r>
          </w:p>
        </w:tc>
      </w:tr>
      <w:tr w:rsidR="00FD7F94" w14:paraId="5A5AB2BE" w14:textId="77777777">
        <w:tc>
          <w:tcPr>
            <w:tcW w:w="2157" w:type="dxa"/>
          </w:tcPr>
          <w:p w14:paraId="571D4484" w14:textId="77777777" w:rsidR="00FD7F94" w:rsidRPr="00D2786A" w:rsidRDefault="00FD7F94">
            <w:pPr>
              <w:rPr>
                <w:rFonts w:ascii="Times New Roman" w:hAnsi="Times New Roman" w:cs="Times New Roman"/>
              </w:rPr>
            </w:pPr>
            <w:r w:rsidRPr="00D2786A">
              <w:rPr>
                <w:rFonts w:ascii="Times New Roman" w:hAnsi="Times New Roman" w:cs="Times New Roman"/>
              </w:rPr>
              <w:t>STEM</w:t>
            </w:r>
          </w:p>
        </w:tc>
        <w:tc>
          <w:tcPr>
            <w:tcW w:w="2157" w:type="dxa"/>
          </w:tcPr>
          <w:p w14:paraId="18DA4F47"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0.923 </w:t>
            </w:r>
          </w:p>
          <w:p w14:paraId="0A2009AC"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0.472 </w:t>
            </w:r>
          </w:p>
          <w:p w14:paraId="0A1FCBC7"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0.765 </w:t>
            </w:r>
          </w:p>
          <w:p w14:paraId="00D93EE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0.895 </w:t>
            </w:r>
          </w:p>
          <w:p w14:paraId="294FD554"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0.704 </w:t>
            </w:r>
          </w:p>
        </w:tc>
        <w:tc>
          <w:tcPr>
            <w:tcW w:w="2158" w:type="dxa"/>
          </w:tcPr>
          <w:p w14:paraId="76B7B913"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0.431 </w:t>
            </w:r>
          </w:p>
          <w:p w14:paraId="01441723"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0.030* </w:t>
            </w:r>
          </w:p>
          <w:p w14:paraId="2C3853F0"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0.041* </w:t>
            </w:r>
          </w:p>
          <w:p w14:paraId="07F8D6D7"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0.110</w:t>
            </w:r>
          </w:p>
        </w:tc>
        <w:tc>
          <w:tcPr>
            <w:tcW w:w="2158" w:type="dxa"/>
          </w:tcPr>
          <w:p w14:paraId="70569B01"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0.477 </w:t>
            </w:r>
          </w:p>
          <w:p w14:paraId="458573F4"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0.592  </w:t>
            </w:r>
          </w:p>
          <w:p w14:paraId="2BBE402B"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0.511 </w:t>
            </w:r>
          </w:p>
          <w:p w14:paraId="3CB07402"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0.490 </w:t>
            </w:r>
          </w:p>
          <w:p w14:paraId="585F4804"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0.814</w:t>
            </w:r>
          </w:p>
        </w:tc>
      </w:tr>
      <w:tr w:rsidR="00FD7F94" w14:paraId="5FD3F9AB" w14:textId="77777777">
        <w:tc>
          <w:tcPr>
            <w:tcW w:w="2157" w:type="dxa"/>
          </w:tcPr>
          <w:p w14:paraId="64881570" w14:textId="77777777" w:rsidR="00FD7F94" w:rsidRPr="00D2786A" w:rsidRDefault="00FD7F94">
            <w:pPr>
              <w:rPr>
                <w:rFonts w:ascii="Times New Roman" w:hAnsi="Times New Roman" w:cs="Times New Roman"/>
              </w:rPr>
            </w:pPr>
            <w:r w:rsidRPr="00D2786A">
              <w:rPr>
                <w:rFonts w:ascii="Times New Roman" w:hAnsi="Times New Roman" w:cs="Times New Roman"/>
              </w:rPr>
              <w:t>Trades</w:t>
            </w:r>
          </w:p>
        </w:tc>
        <w:tc>
          <w:tcPr>
            <w:tcW w:w="2157" w:type="dxa"/>
          </w:tcPr>
          <w:p w14:paraId="53AB518A"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0.478 </w:t>
            </w:r>
          </w:p>
          <w:p w14:paraId="6E63EB87"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0.291 </w:t>
            </w:r>
          </w:p>
          <w:p w14:paraId="0A4F966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0.163 </w:t>
            </w:r>
          </w:p>
          <w:p w14:paraId="2A4A9B28"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0.819 </w:t>
            </w:r>
          </w:p>
          <w:p w14:paraId="0B2F12EB"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0.495</w:t>
            </w:r>
          </w:p>
        </w:tc>
        <w:tc>
          <w:tcPr>
            <w:tcW w:w="2158" w:type="dxa"/>
          </w:tcPr>
          <w:p w14:paraId="27F57C7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0.341</w:t>
            </w:r>
          </w:p>
          <w:p w14:paraId="0FB5AD51"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0.169</w:t>
            </w:r>
          </w:p>
          <w:p w14:paraId="47C6B11A"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0.097</w:t>
            </w:r>
          </w:p>
          <w:p w14:paraId="2C850086"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0.605</w:t>
            </w:r>
          </w:p>
          <w:p w14:paraId="0571D280" w14:textId="77777777" w:rsidR="00FD7F94" w:rsidRPr="0068713E" w:rsidRDefault="00FD7F94">
            <w:pPr>
              <w:rPr>
                <w:rFonts w:ascii="Times New Roman" w:hAnsi="Times New Roman" w:cs="Times New Roman"/>
                <w:sz w:val="16"/>
                <w:szCs w:val="16"/>
              </w:rPr>
            </w:pPr>
          </w:p>
        </w:tc>
        <w:tc>
          <w:tcPr>
            <w:tcW w:w="2158" w:type="dxa"/>
          </w:tcPr>
          <w:p w14:paraId="7AA5265A"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0.042* </w:t>
            </w:r>
          </w:p>
          <w:p w14:paraId="2CBD5131"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0.013* </w:t>
            </w:r>
          </w:p>
          <w:p w14:paraId="75E0A06F"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0.073 </w:t>
            </w:r>
          </w:p>
          <w:p w14:paraId="4577C825"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0.059 </w:t>
            </w:r>
          </w:p>
          <w:p w14:paraId="1F461D05"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0.025*</w:t>
            </w:r>
          </w:p>
        </w:tc>
      </w:tr>
      <w:tr w:rsidR="00FD7F94" w14:paraId="04ED8ED4" w14:textId="77777777">
        <w:tc>
          <w:tcPr>
            <w:tcW w:w="2157" w:type="dxa"/>
          </w:tcPr>
          <w:p w14:paraId="621DFF71" w14:textId="77777777" w:rsidR="00FD7F94" w:rsidRPr="00D2786A" w:rsidRDefault="00FD7F94">
            <w:pPr>
              <w:rPr>
                <w:rFonts w:ascii="Times New Roman" w:hAnsi="Times New Roman" w:cs="Times New Roman"/>
              </w:rPr>
            </w:pPr>
            <w:r w:rsidRPr="00D2786A">
              <w:rPr>
                <w:rFonts w:ascii="Times New Roman" w:hAnsi="Times New Roman" w:cs="Times New Roman"/>
              </w:rPr>
              <w:t>Lib Arts</w:t>
            </w:r>
          </w:p>
        </w:tc>
        <w:tc>
          <w:tcPr>
            <w:tcW w:w="2157" w:type="dxa"/>
          </w:tcPr>
          <w:p w14:paraId="33DD8897"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0.002** </w:t>
            </w:r>
          </w:p>
          <w:p w14:paraId="54CDC9F8"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0.002** </w:t>
            </w:r>
          </w:p>
          <w:p w14:paraId="75CA0303"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0.003**</w:t>
            </w:r>
          </w:p>
          <w:p w14:paraId="61E274B6"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0.001***</w:t>
            </w:r>
          </w:p>
          <w:p w14:paraId="47A4563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0.000***</w:t>
            </w:r>
          </w:p>
        </w:tc>
        <w:tc>
          <w:tcPr>
            <w:tcW w:w="2158" w:type="dxa"/>
          </w:tcPr>
          <w:p w14:paraId="068D4020"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0.010* </w:t>
            </w:r>
          </w:p>
          <w:p w14:paraId="73E1B68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0.011* </w:t>
            </w:r>
          </w:p>
          <w:p w14:paraId="352568DC"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0.072 </w:t>
            </w:r>
          </w:p>
          <w:p w14:paraId="7734A2C0"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0.015*</w:t>
            </w:r>
          </w:p>
        </w:tc>
        <w:tc>
          <w:tcPr>
            <w:tcW w:w="2158" w:type="dxa"/>
          </w:tcPr>
          <w:p w14:paraId="39548FF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0.000*** </w:t>
            </w:r>
          </w:p>
          <w:p w14:paraId="7C24E0DB"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0.000*** </w:t>
            </w:r>
          </w:p>
          <w:p w14:paraId="2DD32CB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0.000*** </w:t>
            </w:r>
          </w:p>
          <w:p w14:paraId="1968402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0.000*** </w:t>
            </w:r>
          </w:p>
          <w:p w14:paraId="4F72DF4E" w14:textId="77777777" w:rsidR="00FD7F94" w:rsidRPr="0068713E" w:rsidRDefault="00FD7F94">
            <w:pPr>
              <w:rPr>
                <w:rFonts w:ascii="Times New Roman" w:hAnsi="Times New Roman" w:cs="Times New Roman"/>
                <w:sz w:val="16"/>
                <w:szCs w:val="16"/>
              </w:rPr>
            </w:pPr>
            <w:r w:rsidRPr="0068713E">
              <w:rPr>
                <w:rFonts w:ascii="Times New Roman" w:hAnsi="Times New Roman" w:cs="Times New Roman"/>
                <w:color w:val="000000"/>
                <w:sz w:val="16"/>
                <w:szCs w:val="16"/>
              </w:rPr>
              <w:t>0.000***</w:t>
            </w:r>
          </w:p>
        </w:tc>
      </w:tr>
      <w:tr w:rsidR="00FD7F94" w14:paraId="52B50534" w14:textId="77777777">
        <w:tc>
          <w:tcPr>
            <w:tcW w:w="2157" w:type="dxa"/>
          </w:tcPr>
          <w:p w14:paraId="288D062D" w14:textId="77777777" w:rsidR="00FD7F94" w:rsidRPr="00D2786A" w:rsidRDefault="00FD7F94">
            <w:pPr>
              <w:rPr>
                <w:rFonts w:ascii="Times New Roman" w:hAnsi="Times New Roman" w:cs="Times New Roman"/>
              </w:rPr>
            </w:pPr>
            <w:r w:rsidRPr="00D2786A">
              <w:rPr>
                <w:rFonts w:ascii="Times New Roman" w:hAnsi="Times New Roman" w:cs="Times New Roman"/>
              </w:rPr>
              <w:t xml:space="preserve">Pro. Services </w:t>
            </w:r>
          </w:p>
        </w:tc>
        <w:tc>
          <w:tcPr>
            <w:tcW w:w="2157" w:type="dxa"/>
          </w:tcPr>
          <w:p w14:paraId="4532B7C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0.021*</w:t>
            </w:r>
          </w:p>
          <w:p w14:paraId="45C209F1"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0.002**</w:t>
            </w:r>
          </w:p>
          <w:p w14:paraId="40042D8E"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0.004**</w:t>
            </w:r>
          </w:p>
          <w:p w14:paraId="7B54739A"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0.031*</w:t>
            </w:r>
          </w:p>
          <w:p w14:paraId="71E3E509"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0.077</w:t>
            </w:r>
          </w:p>
        </w:tc>
        <w:tc>
          <w:tcPr>
            <w:tcW w:w="2158" w:type="dxa"/>
          </w:tcPr>
          <w:p w14:paraId="4ED6817B"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0.024* </w:t>
            </w:r>
          </w:p>
          <w:p w14:paraId="1632253A"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0.000*** </w:t>
            </w:r>
          </w:p>
          <w:p w14:paraId="1CCAD7DF"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0.000*** </w:t>
            </w:r>
          </w:p>
          <w:p w14:paraId="2CC84986"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0.001*** </w:t>
            </w:r>
          </w:p>
          <w:p w14:paraId="1AB96669" w14:textId="77777777" w:rsidR="00FD7F94" w:rsidRPr="0068713E" w:rsidRDefault="00FD7F94">
            <w:pPr>
              <w:rPr>
                <w:rFonts w:ascii="Times New Roman" w:hAnsi="Times New Roman" w:cs="Times New Roman"/>
                <w:sz w:val="16"/>
                <w:szCs w:val="16"/>
              </w:rPr>
            </w:pPr>
          </w:p>
        </w:tc>
        <w:tc>
          <w:tcPr>
            <w:tcW w:w="2158" w:type="dxa"/>
          </w:tcPr>
          <w:p w14:paraId="559A7D9F"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0.110 </w:t>
            </w:r>
          </w:p>
          <w:p w14:paraId="22D20E70"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0.139 </w:t>
            </w:r>
          </w:p>
          <w:p w14:paraId="6F8091B6"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0.067 </w:t>
            </w:r>
          </w:p>
          <w:p w14:paraId="3262E7B5"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0.089 </w:t>
            </w:r>
          </w:p>
          <w:p w14:paraId="175FD682" w14:textId="77777777" w:rsidR="00FD7F94" w:rsidRPr="0068713E" w:rsidRDefault="00FD7F94">
            <w:pPr>
              <w:rPr>
                <w:rFonts w:ascii="Times New Roman" w:hAnsi="Times New Roman" w:cs="Times New Roman"/>
                <w:sz w:val="16"/>
                <w:szCs w:val="16"/>
              </w:rPr>
            </w:pPr>
            <w:r w:rsidRPr="0068713E">
              <w:rPr>
                <w:rFonts w:ascii="Times New Roman" w:hAnsi="Times New Roman" w:cs="Times New Roman"/>
                <w:color w:val="000000"/>
                <w:sz w:val="16"/>
                <w:szCs w:val="16"/>
              </w:rPr>
              <w:t>0.268</w:t>
            </w:r>
          </w:p>
        </w:tc>
      </w:tr>
      <w:tr w:rsidR="00FD7F94" w14:paraId="4B271D5F" w14:textId="77777777">
        <w:tc>
          <w:tcPr>
            <w:tcW w:w="2157" w:type="dxa"/>
          </w:tcPr>
          <w:p w14:paraId="05957CC7" w14:textId="77777777" w:rsidR="00FD7F94" w:rsidRPr="00D2786A" w:rsidRDefault="00FD7F94">
            <w:pPr>
              <w:rPr>
                <w:rFonts w:ascii="Times New Roman" w:hAnsi="Times New Roman" w:cs="Times New Roman"/>
              </w:rPr>
            </w:pPr>
            <w:r w:rsidRPr="00D2786A">
              <w:rPr>
                <w:rFonts w:ascii="Times New Roman" w:hAnsi="Times New Roman" w:cs="Times New Roman"/>
              </w:rPr>
              <w:t xml:space="preserve">Human Services </w:t>
            </w:r>
          </w:p>
        </w:tc>
        <w:tc>
          <w:tcPr>
            <w:tcW w:w="2157" w:type="dxa"/>
          </w:tcPr>
          <w:p w14:paraId="52E08C73"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0.741 </w:t>
            </w:r>
          </w:p>
          <w:p w14:paraId="0B78ED6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0.320 </w:t>
            </w:r>
          </w:p>
          <w:p w14:paraId="39391350"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0.161 </w:t>
            </w:r>
          </w:p>
          <w:p w14:paraId="5DA6BE0D"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0.245 </w:t>
            </w:r>
          </w:p>
          <w:p w14:paraId="60D5D854"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0.226</w:t>
            </w:r>
          </w:p>
        </w:tc>
        <w:tc>
          <w:tcPr>
            <w:tcW w:w="2158" w:type="dxa"/>
          </w:tcPr>
          <w:p w14:paraId="06D90608"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0.816 </w:t>
            </w:r>
          </w:p>
          <w:p w14:paraId="4EC90984"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0.548 </w:t>
            </w:r>
          </w:p>
          <w:p w14:paraId="117EF807"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0.148 </w:t>
            </w:r>
          </w:p>
          <w:p w14:paraId="4EFDEDAC"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0.163</w:t>
            </w:r>
          </w:p>
        </w:tc>
        <w:tc>
          <w:tcPr>
            <w:tcW w:w="2158" w:type="dxa"/>
          </w:tcPr>
          <w:p w14:paraId="7E93C41C"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0.614 </w:t>
            </w:r>
          </w:p>
          <w:p w14:paraId="05D76435"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0.513 </w:t>
            </w:r>
          </w:p>
          <w:p w14:paraId="332BE64C"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0.493 </w:t>
            </w:r>
          </w:p>
          <w:p w14:paraId="362ECF6C"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 xml:space="preserve">0.690 </w:t>
            </w:r>
          </w:p>
          <w:p w14:paraId="3CD82598" w14:textId="77777777" w:rsidR="00FD7F94" w:rsidRPr="0068713E" w:rsidRDefault="00FD7F94">
            <w:pPr>
              <w:rPr>
                <w:rFonts w:ascii="Times New Roman" w:hAnsi="Times New Roman" w:cs="Times New Roman"/>
                <w:color w:val="000000"/>
                <w:sz w:val="16"/>
                <w:szCs w:val="16"/>
              </w:rPr>
            </w:pPr>
            <w:r w:rsidRPr="0068713E">
              <w:rPr>
                <w:rFonts w:ascii="Times New Roman" w:hAnsi="Times New Roman" w:cs="Times New Roman"/>
                <w:color w:val="000000"/>
                <w:sz w:val="16"/>
                <w:szCs w:val="16"/>
              </w:rPr>
              <w:t>0.935</w:t>
            </w:r>
          </w:p>
        </w:tc>
      </w:tr>
    </w:tbl>
    <w:p w14:paraId="507CBD37" w14:textId="77777777" w:rsidR="00742705" w:rsidRDefault="00742705" w:rsidP="00742705">
      <w:pPr>
        <w:spacing w:line="480" w:lineRule="auto"/>
        <w:rPr>
          <w:rFonts w:ascii="Times New Roman" w:hAnsi="Times New Roman" w:cs="Times New Roman"/>
        </w:rPr>
      </w:pPr>
      <w:r>
        <w:rPr>
          <w:rFonts w:ascii="Times New Roman" w:hAnsi="Times New Roman" w:cs="Times New Roman"/>
        </w:rPr>
        <w:t>* p&lt;0.05, **p&lt;0.01, ***p&lt;0.001</w:t>
      </w:r>
    </w:p>
    <w:p w14:paraId="369EA798" w14:textId="77777777" w:rsidR="00FD7F94" w:rsidRDefault="00FD7F94" w:rsidP="00FD7F94">
      <w:pPr>
        <w:rPr>
          <w:rFonts w:ascii="Times New Roman" w:hAnsi="Times New Roman" w:cs="Times New Roman"/>
          <w:b/>
          <w:bCs/>
        </w:rPr>
      </w:pPr>
    </w:p>
    <w:p w14:paraId="1D7E1657" w14:textId="77777777" w:rsidR="00504669" w:rsidRDefault="00504669" w:rsidP="00FD7F94">
      <w:pPr>
        <w:rPr>
          <w:rFonts w:ascii="Times New Roman" w:hAnsi="Times New Roman" w:cs="Times New Roman"/>
          <w:b/>
          <w:bCs/>
        </w:rPr>
      </w:pPr>
    </w:p>
    <w:p w14:paraId="7F904323" w14:textId="77777777" w:rsidR="00FD7F94" w:rsidRPr="00AD4CFE" w:rsidRDefault="00FD7F94" w:rsidP="00496B68">
      <w:pPr>
        <w:pStyle w:val="Caption"/>
        <w:spacing w:before="0" w:after="0" w:line="240" w:lineRule="auto"/>
      </w:pPr>
      <w:bookmarkStart w:id="81" w:name="_Toc179888481"/>
      <w:bookmarkStart w:id="82" w:name="_Toc181297762"/>
      <w:bookmarkStart w:id="83" w:name="_Toc180144569"/>
      <w:r w:rsidRPr="00AD4CFE">
        <w:lastRenderedPageBreak/>
        <w:t>Table 6</w:t>
      </w:r>
      <w:bookmarkEnd w:id="81"/>
      <w:bookmarkEnd w:id="82"/>
      <w:bookmarkEnd w:id="83"/>
    </w:p>
    <w:p w14:paraId="0FBF9569" w14:textId="4EB8A933" w:rsidR="00AA7439" w:rsidRDefault="00AA7439" w:rsidP="00496B68">
      <w:pPr>
        <w:rPr>
          <w:rFonts w:ascii="Times New Roman" w:hAnsi="Times New Roman" w:cs="Times New Roman"/>
          <w:i/>
          <w:iCs/>
        </w:rPr>
      </w:pPr>
      <w:r w:rsidRPr="00AD4CFE">
        <w:rPr>
          <w:rFonts w:ascii="Times New Roman" w:hAnsi="Times New Roman" w:cs="Times New Roman"/>
          <w:i/>
          <w:iCs/>
        </w:rPr>
        <w:t>Significance Pre-treatment Parallel Trends – Joint Period Test at Public Institutions</w:t>
      </w:r>
    </w:p>
    <w:p w14:paraId="37305CC0" w14:textId="77777777" w:rsidR="00AD4CFE" w:rsidRDefault="00AD4CFE" w:rsidP="00AA7439">
      <w:pPr>
        <w:rPr>
          <w:rFonts w:ascii="Times New Roman" w:hAnsi="Times New Roman" w:cs="Times New Roman"/>
          <w:i/>
          <w:iCs/>
        </w:rPr>
      </w:pPr>
    </w:p>
    <w:tbl>
      <w:tblPr>
        <w:tblStyle w:val="TableGrid"/>
        <w:tblW w:w="0" w:type="auto"/>
        <w:tblLook w:val="04A0" w:firstRow="1" w:lastRow="0" w:firstColumn="1" w:lastColumn="0" w:noHBand="0" w:noVBand="1"/>
      </w:tblPr>
      <w:tblGrid>
        <w:gridCol w:w="2157"/>
        <w:gridCol w:w="2157"/>
        <w:gridCol w:w="2158"/>
        <w:gridCol w:w="2158"/>
      </w:tblGrid>
      <w:tr w:rsidR="00AA7439" w14:paraId="4E09F80A" w14:textId="77777777">
        <w:tc>
          <w:tcPr>
            <w:tcW w:w="2157" w:type="dxa"/>
          </w:tcPr>
          <w:p w14:paraId="43D391BF" w14:textId="77777777" w:rsidR="00AA7439" w:rsidRPr="00D2786A" w:rsidRDefault="00AA7439">
            <w:pPr>
              <w:rPr>
                <w:rFonts w:ascii="Times New Roman" w:hAnsi="Times New Roman" w:cs="Times New Roman"/>
              </w:rPr>
            </w:pPr>
          </w:p>
        </w:tc>
        <w:tc>
          <w:tcPr>
            <w:tcW w:w="2157" w:type="dxa"/>
          </w:tcPr>
          <w:p w14:paraId="268B137F" w14:textId="77777777" w:rsidR="00AA7439" w:rsidRPr="00D2786A" w:rsidRDefault="00AA7439">
            <w:pPr>
              <w:rPr>
                <w:rFonts w:ascii="Times New Roman" w:hAnsi="Times New Roman" w:cs="Times New Roman"/>
              </w:rPr>
            </w:pPr>
            <w:r w:rsidRPr="00D2786A">
              <w:rPr>
                <w:rFonts w:ascii="Times New Roman" w:hAnsi="Times New Roman" w:cs="Times New Roman"/>
              </w:rPr>
              <w:t>Ordinary Least Squares</w:t>
            </w:r>
          </w:p>
        </w:tc>
        <w:tc>
          <w:tcPr>
            <w:tcW w:w="2158" w:type="dxa"/>
          </w:tcPr>
          <w:p w14:paraId="4077B113" w14:textId="77777777" w:rsidR="00AA7439" w:rsidRPr="00D2786A" w:rsidRDefault="00AA7439">
            <w:pPr>
              <w:rPr>
                <w:rFonts w:ascii="Times New Roman" w:hAnsi="Times New Roman" w:cs="Times New Roman"/>
              </w:rPr>
            </w:pPr>
            <w:r w:rsidRPr="00D2786A">
              <w:rPr>
                <w:rFonts w:ascii="Times New Roman" w:hAnsi="Times New Roman" w:cs="Times New Roman"/>
              </w:rPr>
              <w:t>Sun &amp; Abraham (Event Study Interact)</w:t>
            </w:r>
          </w:p>
        </w:tc>
        <w:tc>
          <w:tcPr>
            <w:tcW w:w="2158" w:type="dxa"/>
          </w:tcPr>
          <w:p w14:paraId="4AD0F9BF" w14:textId="77777777" w:rsidR="00AA7439" w:rsidRPr="00D2786A" w:rsidRDefault="00AA7439">
            <w:pPr>
              <w:rPr>
                <w:rFonts w:ascii="Times New Roman" w:hAnsi="Times New Roman" w:cs="Times New Roman"/>
              </w:rPr>
            </w:pPr>
            <w:r w:rsidRPr="00D2786A">
              <w:rPr>
                <w:rFonts w:ascii="Times New Roman" w:hAnsi="Times New Roman" w:cs="Times New Roman"/>
              </w:rPr>
              <w:t>Borusyak et al (DID Imputation)</w:t>
            </w:r>
          </w:p>
        </w:tc>
      </w:tr>
      <w:tr w:rsidR="00AA7439" w14:paraId="19405572" w14:textId="77777777">
        <w:tc>
          <w:tcPr>
            <w:tcW w:w="2157" w:type="dxa"/>
          </w:tcPr>
          <w:p w14:paraId="6F7D87CC" w14:textId="77777777" w:rsidR="00AA7439" w:rsidRPr="00D2786A" w:rsidRDefault="00AA7439">
            <w:pPr>
              <w:rPr>
                <w:rFonts w:ascii="Times New Roman" w:hAnsi="Times New Roman" w:cs="Times New Roman"/>
              </w:rPr>
            </w:pPr>
            <w:r w:rsidRPr="00D2786A">
              <w:rPr>
                <w:rFonts w:ascii="Times New Roman" w:hAnsi="Times New Roman" w:cs="Times New Roman"/>
              </w:rPr>
              <w:t>All Awards</w:t>
            </w:r>
          </w:p>
        </w:tc>
        <w:tc>
          <w:tcPr>
            <w:tcW w:w="2157" w:type="dxa"/>
            <w:vAlign w:val="bottom"/>
          </w:tcPr>
          <w:p w14:paraId="3DCF9A17" w14:textId="77777777" w:rsidR="00AA7439" w:rsidRPr="00A2327E" w:rsidRDefault="00AA7439">
            <w:pPr>
              <w:rPr>
                <w:rFonts w:ascii="Times New Roman" w:hAnsi="Times New Roman" w:cs="Times New Roman"/>
              </w:rPr>
            </w:pPr>
            <w:r w:rsidRPr="00A2327E">
              <w:rPr>
                <w:rFonts w:ascii="Times New Roman" w:hAnsi="Times New Roman" w:cs="Times New Roman"/>
                <w:color w:val="000000"/>
                <w:sz w:val="22"/>
                <w:szCs w:val="22"/>
              </w:rPr>
              <w:t>0.6003</w:t>
            </w:r>
          </w:p>
        </w:tc>
        <w:tc>
          <w:tcPr>
            <w:tcW w:w="2158" w:type="dxa"/>
          </w:tcPr>
          <w:p w14:paraId="60573D4B"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0.3169</w:t>
            </w:r>
          </w:p>
        </w:tc>
        <w:tc>
          <w:tcPr>
            <w:tcW w:w="2158" w:type="dxa"/>
            <w:vAlign w:val="bottom"/>
          </w:tcPr>
          <w:p w14:paraId="0DD75764" w14:textId="77777777" w:rsidR="00AA7439" w:rsidRPr="00A2327E" w:rsidRDefault="00AA7439">
            <w:pPr>
              <w:rPr>
                <w:rFonts w:ascii="Times New Roman" w:hAnsi="Times New Roman" w:cs="Times New Roman"/>
              </w:rPr>
            </w:pPr>
            <w:r w:rsidRPr="00A2327E">
              <w:rPr>
                <w:rFonts w:ascii="Times New Roman" w:hAnsi="Times New Roman" w:cs="Times New Roman"/>
                <w:color w:val="000000"/>
                <w:sz w:val="22"/>
                <w:szCs w:val="22"/>
              </w:rPr>
              <w:t>0.0647</w:t>
            </w:r>
          </w:p>
        </w:tc>
      </w:tr>
      <w:tr w:rsidR="00AA7439" w14:paraId="438D9A6E" w14:textId="77777777">
        <w:tc>
          <w:tcPr>
            <w:tcW w:w="2157" w:type="dxa"/>
          </w:tcPr>
          <w:p w14:paraId="541AC025" w14:textId="77777777" w:rsidR="00AA7439" w:rsidRPr="00D2786A" w:rsidRDefault="00AA7439">
            <w:pPr>
              <w:rPr>
                <w:rFonts w:ascii="Times New Roman" w:hAnsi="Times New Roman" w:cs="Times New Roman"/>
              </w:rPr>
            </w:pPr>
            <w:r w:rsidRPr="00D2786A">
              <w:rPr>
                <w:rFonts w:ascii="Times New Roman" w:hAnsi="Times New Roman" w:cs="Times New Roman"/>
              </w:rPr>
              <w:t>Associates Only</w:t>
            </w:r>
          </w:p>
        </w:tc>
        <w:tc>
          <w:tcPr>
            <w:tcW w:w="2157" w:type="dxa"/>
            <w:vAlign w:val="bottom"/>
          </w:tcPr>
          <w:p w14:paraId="214A1B18" w14:textId="77777777" w:rsidR="00AA7439" w:rsidRPr="00A2327E" w:rsidRDefault="00AA7439">
            <w:pPr>
              <w:rPr>
                <w:rFonts w:ascii="Times New Roman" w:hAnsi="Times New Roman" w:cs="Times New Roman"/>
              </w:rPr>
            </w:pPr>
            <w:r w:rsidRPr="00A2327E">
              <w:rPr>
                <w:rFonts w:ascii="Times New Roman" w:hAnsi="Times New Roman" w:cs="Times New Roman"/>
                <w:color w:val="000000"/>
                <w:sz w:val="22"/>
                <w:szCs w:val="22"/>
              </w:rPr>
              <w:t>0.3787</w:t>
            </w:r>
          </w:p>
        </w:tc>
        <w:tc>
          <w:tcPr>
            <w:tcW w:w="2158" w:type="dxa"/>
          </w:tcPr>
          <w:p w14:paraId="32FE1E6B" w14:textId="68042062"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0.294</w:t>
            </w:r>
            <w:r w:rsidR="001C070B">
              <w:rPr>
                <w:rFonts w:ascii="Times New Roman" w:hAnsi="Times New Roman" w:cs="Times New Roman"/>
                <w:color w:val="000000"/>
                <w:sz w:val="22"/>
                <w:szCs w:val="22"/>
              </w:rPr>
              <w:t>0</w:t>
            </w:r>
          </w:p>
        </w:tc>
        <w:tc>
          <w:tcPr>
            <w:tcW w:w="2158" w:type="dxa"/>
            <w:vAlign w:val="bottom"/>
          </w:tcPr>
          <w:p w14:paraId="59E1B946" w14:textId="77777777" w:rsidR="00AA7439" w:rsidRPr="00A2327E" w:rsidRDefault="00AA7439">
            <w:pPr>
              <w:rPr>
                <w:rFonts w:ascii="Times New Roman" w:hAnsi="Times New Roman" w:cs="Times New Roman"/>
              </w:rPr>
            </w:pPr>
            <w:r w:rsidRPr="00A2327E">
              <w:rPr>
                <w:rFonts w:ascii="Times New Roman" w:hAnsi="Times New Roman" w:cs="Times New Roman"/>
                <w:color w:val="000000"/>
                <w:sz w:val="22"/>
                <w:szCs w:val="22"/>
              </w:rPr>
              <w:t>0.0086</w:t>
            </w:r>
            <w:r>
              <w:rPr>
                <w:rFonts w:ascii="Times New Roman" w:hAnsi="Times New Roman" w:cs="Times New Roman"/>
                <w:color w:val="000000"/>
                <w:sz w:val="22"/>
                <w:szCs w:val="22"/>
              </w:rPr>
              <w:t>**</w:t>
            </w:r>
          </w:p>
        </w:tc>
      </w:tr>
      <w:tr w:rsidR="00AA7439" w14:paraId="29CEE234" w14:textId="77777777">
        <w:tc>
          <w:tcPr>
            <w:tcW w:w="2157" w:type="dxa"/>
          </w:tcPr>
          <w:p w14:paraId="2A6A4C4C" w14:textId="77777777" w:rsidR="00AA7439" w:rsidRPr="00D2786A" w:rsidRDefault="00AA7439">
            <w:pPr>
              <w:rPr>
                <w:rFonts w:ascii="Times New Roman" w:hAnsi="Times New Roman" w:cs="Times New Roman"/>
              </w:rPr>
            </w:pPr>
            <w:r w:rsidRPr="00D2786A">
              <w:rPr>
                <w:rFonts w:ascii="Times New Roman" w:hAnsi="Times New Roman" w:cs="Times New Roman"/>
              </w:rPr>
              <w:t>All Credentials</w:t>
            </w:r>
          </w:p>
        </w:tc>
        <w:tc>
          <w:tcPr>
            <w:tcW w:w="2157" w:type="dxa"/>
            <w:vAlign w:val="bottom"/>
          </w:tcPr>
          <w:p w14:paraId="4AFDCD62" w14:textId="77777777" w:rsidR="00AA7439" w:rsidRPr="00A2327E" w:rsidRDefault="00AA7439">
            <w:pPr>
              <w:rPr>
                <w:rFonts w:ascii="Times New Roman" w:hAnsi="Times New Roman" w:cs="Times New Roman"/>
              </w:rPr>
            </w:pPr>
            <w:r w:rsidRPr="00A2327E">
              <w:rPr>
                <w:rFonts w:ascii="Times New Roman" w:hAnsi="Times New Roman" w:cs="Times New Roman"/>
                <w:color w:val="000000"/>
                <w:sz w:val="22"/>
                <w:szCs w:val="22"/>
              </w:rPr>
              <w:t>0.268</w:t>
            </w:r>
          </w:p>
        </w:tc>
        <w:tc>
          <w:tcPr>
            <w:tcW w:w="2158" w:type="dxa"/>
          </w:tcPr>
          <w:p w14:paraId="05BD1746"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0.0593</w:t>
            </w:r>
          </w:p>
        </w:tc>
        <w:tc>
          <w:tcPr>
            <w:tcW w:w="2158" w:type="dxa"/>
            <w:vAlign w:val="bottom"/>
          </w:tcPr>
          <w:p w14:paraId="423296C5" w14:textId="77777777" w:rsidR="00AA7439" w:rsidRPr="00A2327E" w:rsidRDefault="00AA7439">
            <w:pPr>
              <w:rPr>
                <w:rFonts w:ascii="Times New Roman" w:hAnsi="Times New Roman" w:cs="Times New Roman"/>
              </w:rPr>
            </w:pPr>
            <w:r w:rsidRPr="00A2327E">
              <w:rPr>
                <w:rFonts w:ascii="Times New Roman" w:hAnsi="Times New Roman" w:cs="Times New Roman"/>
                <w:color w:val="000000"/>
                <w:sz w:val="22"/>
                <w:szCs w:val="22"/>
              </w:rPr>
              <w:t>0.0622</w:t>
            </w:r>
          </w:p>
        </w:tc>
      </w:tr>
      <w:tr w:rsidR="00AA7439" w14:paraId="7C714468" w14:textId="77777777">
        <w:tc>
          <w:tcPr>
            <w:tcW w:w="2157" w:type="dxa"/>
          </w:tcPr>
          <w:p w14:paraId="00C8A82E" w14:textId="30E3EF8E" w:rsidR="00AA7439" w:rsidRPr="00D2786A" w:rsidRDefault="00275D9D">
            <w:pPr>
              <w:rPr>
                <w:rFonts w:ascii="Times New Roman" w:hAnsi="Times New Roman" w:cs="Times New Roman"/>
              </w:rPr>
            </w:pPr>
            <w:r>
              <w:rPr>
                <w:rFonts w:ascii="Times New Roman" w:hAnsi="Times New Roman" w:cs="Times New Roman"/>
              </w:rPr>
              <w:t>One</w:t>
            </w:r>
            <w:r w:rsidR="002C3000">
              <w:rPr>
                <w:rFonts w:ascii="Times New Roman" w:hAnsi="Times New Roman" w:cs="Times New Roman"/>
              </w:rPr>
              <w:t>-</w:t>
            </w:r>
            <w:r>
              <w:rPr>
                <w:rFonts w:ascii="Times New Roman" w:hAnsi="Times New Roman" w:cs="Times New Roman"/>
              </w:rPr>
              <w:t>to</w:t>
            </w:r>
            <w:r w:rsidR="002C3000">
              <w:rPr>
                <w:rFonts w:ascii="Times New Roman" w:hAnsi="Times New Roman" w:cs="Times New Roman"/>
              </w:rPr>
              <w:t>-</w:t>
            </w:r>
            <w:r>
              <w:rPr>
                <w:rFonts w:ascii="Times New Roman" w:hAnsi="Times New Roman" w:cs="Times New Roman"/>
              </w:rPr>
              <w:t>Two</w:t>
            </w:r>
            <w:r w:rsidR="00AA7439" w:rsidRPr="00D2786A">
              <w:rPr>
                <w:rFonts w:ascii="Times New Roman" w:hAnsi="Times New Roman" w:cs="Times New Roman"/>
              </w:rPr>
              <w:t xml:space="preserve"> Year Credentials</w:t>
            </w:r>
          </w:p>
        </w:tc>
        <w:tc>
          <w:tcPr>
            <w:tcW w:w="2157" w:type="dxa"/>
          </w:tcPr>
          <w:p w14:paraId="2CE8A489" w14:textId="77777777" w:rsidR="00AA7439" w:rsidRPr="00A2327E" w:rsidRDefault="00AA7439">
            <w:pPr>
              <w:rPr>
                <w:rFonts w:ascii="Times New Roman" w:hAnsi="Times New Roman" w:cs="Times New Roman"/>
              </w:rPr>
            </w:pPr>
            <w:r w:rsidRPr="00A2327E">
              <w:rPr>
                <w:rFonts w:ascii="Times New Roman" w:hAnsi="Times New Roman" w:cs="Times New Roman"/>
                <w:color w:val="000000"/>
                <w:sz w:val="22"/>
                <w:szCs w:val="22"/>
              </w:rPr>
              <w:t>0.1104</w:t>
            </w:r>
          </w:p>
        </w:tc>
        <w:tc>
          <w:tcPr>
            <w:tcW w:w="2158" w:type="dxa"/>
          </w:tcPr>
          <w:p w14:paraId="73FCDB9B"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0.0016</w:t>
            </w:r>
            <w:r>
              <w:rPr>
                <w:rFonts w:ascii="Times New Roman" w:hAnsi="Times New Roman" w:cs="Times New Roman"/>
                <w:color w:val="000000"/>
                <w:sz w:val="22"/>
                <w:szCs w:val="22"/>
              </w:rPr>
              <w:t>**</w:t>
            </w:r>
          </w:p>
        </w:tc>
        <w:tc>
          <w:tcPr>
            <w:tcW w:w="2158" w:type="dxa"/>
          </w:tcPr>
          <w:p w14:paraId="4681CBB9" w14:textId="77777777" w:rsidR="00AA7439" w:rsidRPr="00A2327E" w:rsidRDefault="00AA7439">
            <w:pPr>
              <w:rPr>
                <w:rFonts w:ascii="Times New Roman" w:hAnsi="Times New Roman" w:cs="Times New Roman"/>
              </w:rPr>
            </w:pPr>
            <w:r w:rsidRPr="00A2327E">
              <w:rPr>
                <w:rFonts w:ascii="Times New Roman" w:hAnsi="Times New Roman" w:cs="Times New Roman"/>
                <w:color w:val="000000"/>
                <w:sz w:val="22"/>
                <w:szCs w:val="22"/>
              </w:rPr>
              <w:t>0.8119</w:t>
            </w:r>
          </w:p>
        </w:tc>
      </w:tr>
      <w:tr w:rsidR="00AA7439" w14:paraId="21FA2925" w14:textId="77777777">
        <w:tc>
          <w:tcPr>
            <w:tcW w:w="2157" w:type="dxa"/>
          </w:tcPr>
          <w:p w14:paraId="205A3F92" w14:textId="77777777" w:rsidR="00AA7439" w:rsidRPr="00D2786A" w:rsidRDefault="00AA7439">
            <w:pPr>
              <w:rPr>
                <w:rFonts w:ascii="Times New Roman" w:hAnsi="Times New Roman" w:cs="Times New Roman"/>
              </w:rPr>
            </w:pPr>
            <w:r w:rsidRPr="00D2786A">
              <w:rPr>
                <w:rFonts w:ascii="Times New Roman" w:hAnsi="Times New Roman" w:cs="Times New Roman"/>
              </w:rPr>
              <w:t xml:space="preserve">&lt; 1 Year Credentials </w:t>
            </w:r>
          </w:p>
        </w:tc>
        <w:tc>
          <w:tcPr>
            <w:tcW w:w="2157" w:type="dxa"/>
          </w:tcPr>
          <w:p w14:paraId="41458C32" w14:textId="77777777" w:rsidR="00AA7439" w:rsidRPr="00A2327E" w:rsidRDefault="00AA7439">
            <w:pPr>
              <w:rPr>
                <w:rFonts w:ascii="Times New Roman" w:hAnsi="Times New Roman" w:cs="Times New Roman"/>
              </w:rPr>
            </w:pPr>
            <w:r w:rsidRPr="00A2327E">
              <w:rPr>
                <w:rFonts w:ascii="Times New Roman" w:hAnsi="Times New Roman" w:cs="Times New Roman"/>
                <w:color w:val="000000"/>
                <w:sz w:val="22"/>
                <w:szCs w:val="22"/>
              </w:rPr>
              <w:t>0.1802</w:t>
            </w:r>
          </w:p>
        </w:tc>
        <w:tc>
          <w:tcPr>
            <w:tcW w:w="2158" w:type="dxa"/>
          </w:tcPr>
          <w:p w14:paraId="242030EF"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0.0679</w:t>
            </w:r>
          </w:p>
        </w:tc>
        <w:tc>
          <w:tcPr>
            <w:tcW w:w="2158" w:type="dxa"/>
          </w:tcPr>
          <w:p w14:paraId="02020157" w14:textId="77777777" w:rsidR="00AA7439" w:rsidRPr="00A2327E" w:rsidRDefault="00AA7439">
            <w:pPr>
              <w:rPr>
                <w:rFonts w:ascii="Times New Roman" w:hAnsi="Times New Roman" w:cs="Times New Roman"/>
              </w:rPr>
            </w:pPr>
            <w:r w:rsidRPr="00A2327E">
              <w:rPr>
                <w:rFonts w:ascii="Times New Roman" w:hAnsi="Times New Roman" w:cs="Times New Roman"/>
                <w:color w:val="000000"/>
                <w:sz w:val="22"/>
                <w:szCs w:val="22"/>
              </w:rPr>
              <w:t>0.1823</w:t>
            </w:r>
          </w:p>
        </w:tc>
      </w:tr>
      <w:tr w:rsidR="00AA7439" w14:paraId="59223CF7" w14:textId="77777777">
        <w:tc>
          <w:tcPr>
            <w:tcW w:w="2157" w:type="dxa"/>
          </w:tcPr>
          <w:p w14:paraId="15092F50" w14:textId="77777777" w:rsidR="00AA7439" w:rsidRPr="00D2786A" w:rsidRDefault="00AA7439">
            <w:pPr>
              <w:rPr>
                <w:rFonts w:ascii="Times New Roman" w:hAnsi="Times New Roman" w:cs="Times New Roman"/>
              </w:rPr>
            </w:pPr>
            <w:r w:rsidRPr="00D2786A">
              <w:rPr>
                <w:rFonts w:ascii="Times New Roman" w:hAnsi="Times New Roman" w:cs="Times New Roman"/>
              </w:rPr>
              <w:t>STEM</w:t>
            </w:r>
          </w:p>
        </w:tc>
        <w:tc>
          <w:tcPr>
            <w:tcW w:w="2157" w:type="dxa"/>
          </w:tcPr>
          <w:p w14:paraId="1C68C364"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0.5887</w:t>
            </w:r>
          </w:p>
        </w:tc>
        <w:tc>
          <w:tcPr>
            <w:tcW w:w="2158" w:type="dxa"/>
          </w:tcPr>
          <w:p w14:paraId="7A1C970F"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0.2212</w:t>
            </w:r>
          </w:p>
        </w:tc>
        <w:tc>
          <w:tcPr>
            <w:tcW w:w="2158" w:type="dxa"/>
          </w:tcPr>
          <w:p w14:paraId="35DC2272"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0.4646</w:t>
            </w:r>
          </w:p>
        </w:tc>
      </w:tr>
      <w:tr w:rsidR="00AA7439" w14:paraId="7990A585" w14:textId="77777777">
        <w:tc>
          <w:tcPr>
            <w:tcW w:w="2157" w:type="dxa"/>
          </w:tcPr>
          <w:p w14:paraId="1189A97F" w14:textId="77777777" w:rsidR="00AA7439" w:rsidRPr="00D2786A" w:rsidRDefault="00AA7439">
            <w:pPr>
              <w:rPr>
                <w:rFonts w:ascii="Times New Roman" w:hAnsi="Times New Roman" w:cs="Times New Roman"/>
              </w:rPr>
            </w:pPr>
            <w:r w:rsidRPr="00D2786A">
              <w:rPr>
                <w:rFonts w:ascii="Times New Roman" w:hAnsi="Times New Roman" w:cs="Times New Roman"/>
              </w:rPr>
              <w:t>Trades</w:t>
            </w:r>
          </w:p>
        </w:tc>
        <w:tc>
          <w:tcPr>
            <w:tcW w:w="2157" w:type="dxa"/>
          </w:tcPr>
          <w:p w14:paraId="693837D7"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0.3225</w:t>
            </w:r>
          </w:p>
        </w:tc>
        <w:tc>
          <w:tcPr>
            <w:tcW w:w="2158" w:type="dxa"/>
          </w:tcPr>
          <w:p w14:paraId="2CC3109E"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0.4669</w:t>
            </w:r>
          </w:p>
        </w:tc>
        <w:tc>
          <w:tcPr>
            <w:tcW w:w="2158" w:type="dxa"/>
          </w:tcPr>
          <w:p w14:paraId="52614B40" w14:textId="77777777" w:rsidR="00AA7439" w:rsidRPr="00A2327E" w:rsidRDefault="00AA7439">
            <w:pPr>
              <w:rPr>
                <w:rFonts w:ascii="Times New Roman" w:hAnsi="Times New Roman" w:cs="Times New Roman"/>
              </w:rPr>
            </w:pPr>
            <w:r w:rsidRPr="00A2327E">
              <w:rPr>
                <w:rFonts w:ascii="Times New Roman" w:hAnsi="Times New Roman" w:cs="Times New Roman"/>
                <w:color w:val="000000"/>
                <w:sz w:val="22"/>
                <w:szCs w:val="22"/>
              </w:rPr>
              <w:t>0.0261</w:t>
            </w:r>
            <w:r>
              <w:rPr>
                <w:rFonts w:ascii="Times New Roman" w:hAnsi="Times New Roman" w:cs="Times New Roman"/>
                <w:color w:val="000000"/>
                <w:sz w:val="22"/>
                <w:szCs w:val="22"/>
              </w:rPr>
              <w:t>*</w:t>
            </w:r>
          </w:p>
        </w:tc>
      </w:tr>
      <w:tr w:rsidR="00AA7439" w14:paraId="533B54B1" w14:textId="77777777">
        <w:tc>
          <w:tcPr>
            <w:tcW w:w="2157" w:type="dxa"/>
          </w:tcPr>
          <w:p w14:paraId="3D2AE643" w14:textId="77777777" w:rsidR="00AA7439" w:rsidRPr="00D2786A" w:rsidRDefault="00AA7439">
            <w:pPr>
              <w:rPr>
                <w:rFonts w:ascii="Times New Roman" w:hAnsi="Times New Roman" w:cs="Times New Roman"/>
              </w:rPr>
            </w:pPr>
            <w:r w:rsidRPr="00D2786A">
              <w:rPr>
                <w:rFonts w:ascii="Times New Roman" w:hAnsi="Times New Roman" w:cs="Times New Roman"/>
              </w:rPr>
              <w:t>Lib Arts</w:t>
            </w:r>
          </w:p>
        </w:tc>
        <w:tc>
          <w:tcPr>
            <w:tcW w:w="2157" w:type="dxa"/>
          </w:tcPr>
          <w:p w14:paraId="31D0776D"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0.04</w:t>
            </w:r>
            <w:r>
              <w:rPr>
                <w:rFonts w:ascii="Times New Roman" w:hAnsi="Times New Roman" w:cs="Times New Roman"/>
                <w:color w:val="000000"/>
                <w:sz w:val="22"/>
                <w:szCs w:val="22"/>
              </w:rPr>
              <w:t>*</w:t>
            </w:r>
          </w:p>
        </w:tc>
        <w:tc>
          <w:tcPr>
            <w:tcW w:w="2158" w:type="dxa"/>
          </w:tcPr>
          <w:p w14:paraId="25825755"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0.0322</w:t>
            </w:r>
            <w:r>
              <w:rPr>
                <w:rFonts w:ascii="Times New Roman" w:hAnsi="Times New Roman" w:cs="Times New Roman"/>
                <w:color w:val="000000"/>
                <w:sz w:val="22"/>
                <w:szCs w:val="22"/>
              </w:rPr>
              <w:t>*</w:t>
            </w:r>
          </w:p>
        </w:tc>
        <w:tc>
          <w:tcPr>
            <w:tcW w:w="2158" w:type="dxa"/>
          </w:tcPr>
          <w:p w14:paraId="145D1D57" w14:textId="77777777" w:rsidR="00AA7439" w:rsidRPr="00A2327E" w:rsidRDefault="00AA7439">
            <w:pPr>
              <w:rPr>
                <w:rFonts w:ascii="Times New Roman" w:hAnsi="Times New Roman" w:cs="Times New Roman"/>
              </w:rPr>
            </w:pPr>
            <w:r w:rsidRPr="00A2327E">
              <w:rPr>
                <w:rFonts w:ascii="Times New Roman" w:hAnsi="Times New Roman" w:cs="Times New Roman"/>
              </w:rPr>
              <w:t>0.0000***</w:t>
            </w:r>
          </w:p>
        </w:tc>
      </w:tr>
      <w:tr w:rsidR="00AA7439" w14:paraId="0FDE3935" w14:textId="77777777">
        <w:tc>
          <w:tcPr>
            <w:tcW w:w="2157" w:type="dxa"/>
          </w:tcPr>
          <w:p w14:paraId="262CEC16" w14:textId="77777777" w:rsidR="00AA7439" w:rsidRPr="00D2786A" w:rsidRDefault="00AA7439">
            <w:pPr>
              <w:rPr>
                <w:rFonts w:ascii="Times New Roman" w:hAnsi="Times New Roman" w:cs="Times New Roman"/>
              </w:rPr>
            </w:pPr>
            <w:r w:rsidRPr="00D2786A">
              <w:rPr>
                <w:rFonts w:ascii="Times New Roman" w:hAnsi="Times New Roman" w:cs="Times New Roman"/>
              </w:rPr>
              <w:t xml:space="preserve">Pro. Services </w:t>
            </w:r>
          </w:p>
        </w:tc>
        <w:tc>
          <w:tcPr>
            <w:tcW w:w="2157" w:type="dxa"/>
          </w:tcPr>
          <w:p w14:paraId="2469BD0B" w14:textId="77777777" w:rsidR="00AA7439" w:rsidRPr="00A2327E" w:rsidRDefault="00AA7439">
            <w:pPr>
              <w:rPr>
                <w:rFonts w:ascii="Times New Roman" w:hAnsi="Times New Roman" w:cs="Times New Roman"/>
              </w:rPr>
            </w:pPr>
            <w:r w:rsidRPr="00A2327E">
              <w:rPr>
                <w:rFonts w:ascii="Times New Roman" w:hAnsi="Times New Roman" w:cs="Times New Roman"/>
              </w:rPr>
              <w:t>0.7939</w:t>
            </w:r>
          </w:p>
        </w:tc>
        <w:tc>
          <w:tcPr>
            <w:tcW w:w="2158" w:type="dxa"/>
          </w:tcPr>
          <w:p w14:paraId="0786198E"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0.0006</w:t>
            </w:r>
            <w:r>
              <w:rPr>
                <w:rFonts w:ascii="Times New Roman" w:hAnsi="Times New Roman" w:cs="Times New Roman"/>
                <w:color w:val="000000"/>
                <w:sz w:val="22"/>
                <w:szCs w:val="22"/>
              </w:rPr>
              <w:t>***</w:t>
            </w:r>
          </w:p>
        </w:tc>
        <w:tc>
          <w:tcPr>
            <w:tcW w:w="2158" w:type="dxa"/>
          </w:tcPr>
          <w:p w14:paraId="3E8F05CC"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0.2603</w:t>
            </w:r>
          </w:p>
        </w:tc>
      </w:tr>
      <w:tr w:rsidR="00AA7439" w14:paraId="3F0DC4A6" w14:textId="77777777">
        <w:tc>
          <w:tcPr>
            <w:tcW w:w="2157" w:type="dxa"/>
          </w:tcPr>
          <w:p w14:paraId="5B454E6A" w14:textId="77777777" w:rsidR="00AA7439" w:rsidRPr="00D2786A" w:rsidRDefault="00AA7439">
            <w:pPr>
              <w:rPr>
                <w:rFonts w:ascii="Times New Roman" w:hAnsi="Times New Roman" w:cs="Times New Roman"/>
              </w:rPr>
            </w:pPr>
            <w:r w:rsidRPr="00D2786A">
              <w:rPr>
                <w:rFonts w:ascii="Times New Roman" w:hAnsi="Times New Roman" w:cs="Times New Roman"/>
              </w:rPr>
              <w:t xml:space="preserve">Human Services </w:t>
            </w:r>
          </w:p>
        </w:tc>
        <w:tc>
          <w:tcPr>
            <w:tcW w:w="2157" w:type="dxa"/>
          </w:tcPr>
          <w:p w14:paraId="0CDE2023"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0.7445</w:t>
            </w:r>
          </w:p>
        </w:tc>
        <w:tc>
          <w:tcPr>
            <w:tcW w:w="2158" w:type="dxa"/>
          </w:tcPr>
          <w:p w14:paraId="40839A35" w14:textId="015B44A5"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0.573</w:t>
            </w:r>
            <w:r w:rsidR="001C070B">
              <w:rPr>
                <w:rFonts w:ascii="Times New Roman" w:hAnsi="Times New Roman" w:cs="Times New Roman"/>
                <w:color w:val="000000"/>
                <w:sz w:val="22"/>
                <w:szCs w:val="22"/>
              </w:rPr>
              <w:t>0</w:t>
            </w:r>
          </w:p>
        </w:tc>
        <w:tc>
          <w:tcPr>
            <w:tcW w:w="2158" w:type="dxa"/>
          </w:tcPr>
          <w:p w14:paraId="13BFC5A3" w14:textId="77777777" w:rsidR="00AA7439" w:rsidRPr="00A2327E" w:rsidRDefault="00AA7439">
            <w:pPr>
              <w:rPr>
                <w:rFonts w:ascii="Times New Roman" w:hAnsi="Times New Roman" w:cs="Times New Roman"/>
                <w:color w:val="000000"/>
                <w:sz w:val="22"/>
                <w:szCs w:val="22"/>
              </w:rPr>
            </w:pPr>
            <w:r w:rsidRPr="00A2327E">
              <w:rPr>
                <w:rFonts w:ascii="Times New Roman" w:hAnsi="Times New Roman" w:cs="Times New Roman"/>
                <w:color w:val="000000"/>
                <w:sz w:val="22"/>
                <w:szCs w:val="22"/>
              </w:rPr>
              <w:t>0.7548</w:t>
            </w:r>
          </w:p>
        </w:tc>
      </w:tr>
    </w:tbl>
    <w:p w14:paraId="28EE9EE6" w14:textId="5C96F12E" w:rsidR="00AD4CFE" w:rsidRPr="00742705" w:rsidRDefault="00742705" w:rsidP="00FD7F94">
      <w:pPr>
        <w:spacing w:line="480" w:lineRule="auto"/>
        <w:rPr>
          <w:rFonts w:ascii="Times New Roman" w:hAnsi="Times New Roman" w:cs="Times New Roman"/>
        </w:rPr>
      </w:pPr>
      <w:r>
        <w:rPr>
          <w:rFonts w:ascii="Times New Roman" w:hAnsi="Times New Roman" w:cs="Times New Roman"/>
        </w:rPr>
        <w:t>* p&lt;0.05, **p&lt;0.01, ***p&lt;0.001</w:t>
      </w:r>
    </w:p>
    <w:p w14:paraId="43E9B914" w14:textId="77777777" w:rsidR="00CD45D6" w:rsidRDefault="00CD45D6" w:rsidP="00BC7D8C">
      <w:pPr>
        <w:spacing w:line="480" w:lineRule="auto"/>
        <w:ind w:firstLine="720"/>
        <w:rPr>
          <w:rFonts w:ascii="Times New Roman" w:hAnsi="Times New Roman" w:cs="Times New Roman"/>
        </w:rPr>
      </w:pPr>
    </w:p>
    <w:p w14:paraId="2E8DB119" w14:textId="77777777" w:rsidR="00CD45D6" w:rsidRDefault="00CD45D6" w:rsidP="00BC7D8C">
      <w:pPr>
        <w:spacing w:line="480" w:lineRule="auto"/>
        <w:ind w:firstLine="720"/>
        <w:rPr>
          <w:rFonts w:ascii="Times New Roman" w:hAnsi="Times New Roman" w:cs="Times New Roman"/>
        </w:rPr>
      </w:pPr>
    </w:p>
    <w:p w14:paraId="1C58BB91" w14:textId="77777777" w:rsidR="00CD45D6" w:rsidRDefault="00CD45D6" w:rsidP="00BC7D8C">
      <w:pPr>
        <w:spacing w:line="480" w:lineRule="auto"/>
        <w:ind w:firstLine="720"/>
        <w:rPr>
          <w:rFonts w:ascii="Times New Roman" w:hAnsi="Times New Roman" w:cs="Times New Roman"/>
        </w:rPr>
      </w:pPr>
    </w:p>
    <w:p w14:paraId="5EC74EA1" w14:textId="77777777" w:rsidR="00CD45D6" w:rsidRDefault="00CD45D6" w:rsidP="00BC7D8C">
      <w:pPr>
        <w:spacing w:line="480" w:lineRule="auto"/>
        <w:ind w:firstLine="720"/>
        <w:rPr>
          <w:rFonts w:ascii="Times New Roman" w:hAnsi="Times New Roman" w:cs="Times New Roman"/>
        </w:rPr>
      </w:pPr>
    </w:p>
    <w:p w14:paraId="35323E23" w14:textId="77777777" w:rsidR="00CD45D6" w:rsidRDefault="00CD45D6" w:rsidP="00BC7D8C">
      <w:pPr>
        <w:spacing w:line="480" w:lineRule="auto"/>
        <w:ind w:firstLine="720"/>
        <w:rPr>
          <w:rFonts w:ascii="Times New Roman" w:hAnsi="Times New Roman" w:cs="Times New Roman"/>
        </w:rPr>
      </w:pPr>
    </w:p>
    <w:p w14:paraId="3E1603EA" w14:textId="77777777" w:rsidR="00CD45D6" w:rsidRDefault="00CD45D6" w:rsidP="00BC7D8C">
      <w:pPr>
        <w:spacing w:line="480" w:lineRule="auto"/>
        <w:ind w:firstLine="720"/>
        <w:rPr>
          <w:rFonts w:ascii="Times New Roman" w:hAnsi="Times New Roman" w:cs="Times New Roman"/>
        </w:rPr>
      </w:pPr>
    </w:p>
    <w:p w14:paraId="53FBFD13" w14:textId="77777777" w:rsidR="00CD45D6" w:rsidRDefault="00CD45D6" w:rsidP="00BC7D8C">
      <w:pPr>
        <w:spacing w:line="480" w:lineRule="auto"/>
        <w:ind w:firstLine="720"/>
        <w:rPr>
          <w:rFonts w:ascii="Times New Roman" w:hAnsi="Times New Roman" w:cs="Times New Roman"/>
        </w:rPr>
      </w:pPr>
    </w:p>
    <w:p w14:paraId="018F9DD6" w14:textId="77777777" w:rsidR="00CD45D6" w:rsidRDefault="00CD45D6" w:rsidP="00BC7D8C">
      <w:pPr>
        <w:spacing w:line="480" w:lineRule="auto"/>
        <w:ind w:firstLine="720"/>
        <w:rPr>
          <w:rFonts w:ascii="Times New Roman" w:hAnsi="Times New Roman" w:cs="Times New Roman"/>
        </w:rPr>
      </w:pPr>
    </w:p>
    <w:p w14:paraId="05B4AFD4" w14:textId="77777777" w:rsidR="00CD45D6" w:rsidRDefault="00CD45D6" w:rsidP="00BC7D8C">
      <w:pPr>
        <w:spacing w:line="480" w:lineRule="auto"/>
        <w:ind w:firstLine="720"/>
        <w:rPr>
          <w:rFonts w:ascii="Times New Roman" w:hAnsi="Times New Roman" w:cs="Times New Roman"/>
        </w:rPr>
      </w:pPr>
    </w:p>
    <w:p w14:paraId="0469FAFC" w14:textId="77777777" w:rsidR="00CD45D6" w:rsidRDefault="00CD45D6" w:rsidP="00BC7D8C">
      <w:pPr>
        <w:spacing w:line="480" w:lineRule="auto"/>
        <w:ind w:firstLine="720"/>
        <w:rPr>
          <w:rFonts w:ascii="Times New Roman" w:hAnsi="Times New Roman" w:cs="Times New Roman"/>
        </w:rPr>
      </w:pPr>
    </w:p>
    <w:p w14:paraId="354737AE" w14:textId="77777777" w:rsidR="00CD45D6" w:rsidRDefault="00CD45D6" w:rsidP="00BC7D8C">
      <w:pPr>
        <w:spacing w:line="480" w:lineRule="auto"/>
        <w:ind w:firstLine="720"/>
        <w:rPr>
          <w:rFonts w:ascii="Times New Roman" w:hAnsi="Times New Roman" w:cs="Times New Roman"/>
        </w:rPr>
      </w:pPr>
    </w:p>
    <w:p w14:paraId="232CF236" w14:textId="70CE4C04" w:rsidR="00BC7D8C" w:rsidRPr="000349F2" w:rsidRDefault="00BC7D8C" w:rsidP="00CD45D6">
      <w:pPr>
        <w:spacing w:line="480" w:lineRule="auto"/>
        <w:ind w:firstLine="720"/>
        <w:rPr>
          <w:rFonts w:ascii="Times New Roman" w:hAnsi="Times New Roman" w:cs="Times New Roman"/>
        </w:rPr>
      </w:pPr>
      <w:r w:rsidRPr="000349F2">
        <w:rPr>
          <w:rFonts w:ascii="Times New Roman" w:hAnsi="Times New Roman" w:cs="Times New Roman"/>
        </w:rPr>
        <w:lastRenderedPageBreak/>
        <w:t>There ha</w:t>
      </w:r>
      <w:r w:rsidR="00C85F62">
        <w:rPr>
          <w:rFonts w:ascii="Times New Roman" w:hAnsi="Times New Roman" w:cs="Times New Roman"/>
        </w:rPr>
        <w:t>ve</w:t>
      </w:r>
      <w:r w:rsidRPr="000349F2">
        <w:rPr>
          <w:rFonts w:ascii="Times New Roman" w:hAnsi="Times New Roman" w:cs="Times New Roman"/>
        </w:rPr>
        <w:t xml:space="preserve"> been documented issues with the use of significance tests on individual </w:t>
      </w:r>
      <w:r>
        <w:rPr>
          <w:rFonts w:ascii="Times New Roman" w:hAnsi="Times New Roman" w:cs="Times New Roman"/>
        </w:rPr>
        <w:t>pre-treatment</w:t>
      </w:r>
      <w:r w:rsidRPr="000349F2">
        <w:rPr>
          <w:rFonts w:ascii="Times New Roman" w:hAnsi="Times New Roman" w:cs="Times New Roman"/>
        </w:rPr>
        <w:t xml:space="preserve"> coefficients for violations of the</w:t>
      </w:r>
      <w:r>
        <w:rPr>
          <w:rFonts w:ascii="Times New Roman" w:hAnsi="Times New Roman" w:cs="Times New Roman"/>
        </w:rPr>
        <w:t xml:space="preserve"> pre-treatment</w:t>
      </w:r>
      <w:r w:rsidRPr="000349F2">
        <w:rPr>
          <w:rFonts w:ascii="Times New Roman" w:hAnsi="Times New Roman" w:cs="Times New Roman"/>
        </w:rPr>
        <w:t xml:space="preserve"> parallel trends assumption in a staggered difference-in-difference setting (Roth, 2022). It has been found that these tests can be weak against detecting violations of this assumption. Thus, I supplement this examination for </w:t>
      </w:r>
      <w:r>
        <w:rPr>
          <w:rFonts w:ascii="Times New Roman" w:hAnsi="Times New Roman" w:cs="Times New Roman"/>
        </w:rPr>
        <w:t>pre-treatment</w:t>
      </w:r>
      <w:r w:rsidRPr="000349F2">
        <w:rPr>
          <w:rFonts w:ascii="Times New Roman" w:hAnsi="Times New Roman" w:cs="Times New Roman"/>
        </w:rPr>
        <w:t xml:space="preserve"> trends violations with a joint test of </w:t>
      </w:r>
      <w:r w:rsidR="00D02346">
        <w:rPr>
          <w:rFonts w:ascii="Times New Roman" w:hAnsi="Times New Roman" w:cs="Times New Roman"/>
        </w:rPr>
        <w:t>whether</w:t>
      </w:r>
      <w:r w:rsidRPr="000349F2">
        <w:rPr>
          <w:rFonts w:ascii="Times New Roman" w:hAnsi="Times New Roman" w:cs="Times New Roman"/>
        </w:rPr>
        <w:t xml:space="preserve"> all coefficients are significantly different from zero.</w:t>
      </w:r>
      <w:r>
        <w:rPr>
          <w:rFonts w:ascii="Times New Roman" w:hAnsi="Times New Roman" w:cs="Times New Roman"/>
        </w:rPr>
        <w:t xml:space="preserve"> </w:t>
      </w:r>
      <w:r w:rsidR="00D643B7">
        <w:rPr>
          <w:rFonts w:ascii="Times New Roman" w:hAnsi="Times New Roman" w:cs="Times New Roman"/>
        </w:rPr>
        <w:t xml:space="preserve">Roth (2022) </w:t>
      </w:r>
      <w:r w:rsidR="00294A87">
        <w:rPr>
          <w:rFonts w:ascii="Times New Roman" w:hAnsi="Times New Roman" w:cs="Times New Roman"/>
        </w:rPr>
        <w:t xml:space="preserve">notes that </w:t>
      </w:r>
      <w:r w:rsidR="005828BD">
        <w:rPr>
          <w:rFonts w:ascii="Times New Roman" w:hAnsi="Times New Roman" w:cs="Times New Roman"/>
        </w:rPr>
        <w:t>while there is no agreement within the field regarding the use of the joint</w:t>
      </w:r>
      <w:r w:rsidR="00F92710">
        <w:rPr>
          <w:rFonts w:ascii="Times New Roman" w:hAnsi="Times New Roman" w:cs="Times New Roman"/>
        </w:rPr>
        <w:t xml:space="preserve"> test or </w:t>
      </w:r>
      <w:r w:rsidR="00451691">
        <w:rPr>
          <w:rFonts w:ascii="Times New Roman" w:hAnsi="Times New Roman" w:cs="Times New Roman"/>
        </w:rPr>
        <w:t>relying</w:t>
      </w:r>
      <w:r w:rsidR="00F92710">
        <w:rPr>
          <w:rFonts w:ascii="Times New Roman" w:hAnsi="Times New Roman" w:cs="Times New Roman"/>
        </w:rPr>
        <w:t xml:space="preserve"> so</w:t>
      </w:r>
      <w:r w:rsidR="00D1492F">
        <w:rPr>
          <w:rFonts w:ascii="Times New Roman" w:hAnsi="Times New Roman" w:cs="Times New Roman"/>
        </w:rPr>
        <w:t>lely</w:t>
      </w:r>
      <w:r w:rsidR="00F92710">
        <w:rPr>
          <w:rFonts w:ascii="Times New Roman" w:hAnsi="Times New Roman" w:cs="Times New Roman"/>
        </w:rPr>
        <w:t xml:space="preserve"> on individual tests of significance for coefficients, that they have </w:t>
      </w:r>
      <w:r w:rsidR="00D1492F">
        <w:rPr>
          <w:rFonts w:ascii="Times New Roman" w:hAnsi="Times New Roman" w:cs="Times New Roman"/>
        </w:rPr>
        <w:t xml:space="preserve">both </w:t>
      </w:r>
      <w:r w:rsidR="00F92710">
        <w:rPr>
          <w:rFonts w:ascii="Times New Roman" w:hAnsi="Times New Roman" w:cs="Times New Roman"/>
        </w:rPr>
        <w:t xml:space="preserve">been relied upon </w:t>
      </w:r>
      <w:r w:rsidR="00D1492F">
        <w:rPr>
          <w:rFonts w:ascii="Times New Roman" w:hAnsi="Times New Roman" w:cs="Times New Roman"/>
        </w:rPr>
        <w:t xml:space="preserve">by researchers to establish parallel pre-treatment trends. Thus, </w:t>
      </w:r>
      <w:r w:rsidR="001D121A">
        <w:rPr>
          <w:rFonts w:ascii="Times New Roman" w:hAnsi="Times New Roman" w:cs="Times New Roman"/>
        </w:rPr>
        <w:t xml:space="preserve">I </w:t>
      </w:r>
      <w:r w:rsidR="00D1492F">
        <w:rPr>
          <w:rFonts w:ascii="Times New Roman" w:hAnsi="Times New Roman" w:cs="Times New Roman"/>
        </w:rPr>
        <w:t xml:space="preserve">leverage </w:t>
      </w:r>
      <w:r w:rsidR="00D02346">
        <w:rPr>
          <w:rFonts w:ascii="Times New Roman" w:hAnsi="Times New Roman" w:cs="Times New Roman"/>
        </w:rPr>
        <w:t>both</w:t>
      </w:r>
      <w:r w:rsidR="00D1492F">
        <w:rPr>
          <w:rFonts w:ascii="Times New Roman" w:hAnsi="Times New Roman" w:cs="Times New Roman"/>
        </w:rPr>
        <w:t xml:space="preserve"> tests of significance in my study</w:t>
      </w:r>
      <w:r w:rsidR="00D02346">
        <w:rPr>
          <w:rFonts w:ascii="Times New Roman" w:hAnsi="Times New Roman" w:cs="Times New Roman"/>
        </w:rPr>
        <w:t xml:space="preserve"> to examine pre-treatment trends</w:t>
      </w:r>
      <w:r w:rsidR="00D1492F">
        <w:rPr>
          <w:rFonts w:ascii="Times New Roman" w:hAnsi="Times New Roman" w:cs="Times New Roman"/>
        </w:rPr>
        <w:t>.</w:t>
      </w:r>
    </w:p>
    <w:p w14:paraId="34F810CF" w14:textId="2D7CF9CF" w:rsidR="00BC7D8C" w:rsidRPr="00B06ECA" w:rsidRDefault="00BC7D8C" w:rsidP="00CD45D6">
      <w:pPr>
        <w:spacing w:line="480" w:lineRule="auto"/>
        <w:ind w:firstLine="720"/>
        <w:rPr>
          <w:rFonts w:ascii="Times New Roman" w:hAnsi="Times New Roman" w:cs="Times New Roman"/>
        </w:rPr>
      </w:pPr>
      <w:r w:rsidRPr="00743293">
        <w:rPr>
          <w:rFonts w:ascii="Times New Roman" w:hAnsi="Times New Roman" w:cs="Times New Roman"/>
        </w:rPr>
        <w:t>I consider</w:t>
      </w:r>
      <w:r>
        <w:rPr>
          <w:rFonts w:ascii="Times New Roman" w:hAnsi="Times New Roman" w:cs="Times New Roman"/>
        </w:rPr>
        <w:t xml:space="preserve"> a nonsignificant result for both the coefficient individually and the joint test </w:t>
      </w:r>
      <w:r w:rsidR="00246789">
        <w:rPr>
          <w:rFonts w:ascii="Times New Roman" w:hAnsi="Times New Roman" w:cs="Times New Roman"/>
        </w:rPr>
        <w:t>to</w:t>
      </w:r>
      <w:r w:rsidR="00BD2EAA">
        <w:rPr>
          <w:rFonts w:ascii="Times New Roman" w:hAnsi="Times New Roman" w:cs="Times New Roman"/>
        </w:rPr>
        <w:t xml:space="preserve"> support </w:t>
      </w:r>
      <w:r w:rsidR="00246789">
        <w:rPr>
          <w:rFonts w:ascii="Times New Roman" w:hAnsi="Times New Roman" w:cs="Times New Roman"/>
        </w:rPr>
        <w:t xml:space="preserve">the </w:t>
      </w:r>
      <w:r>
        <w:rPr>
          <w:rFonts w:ascii="Times New Roman" w:hAnsi="Times New Roman" w:cs="Times New Roman"/>
        </w:rPr>
        <w:t>establish</w:t>
      </w:r>
      <w:r w:rsidR="00246789">
        <w:rPr>
          <w:rFonts w:ascii="Times New Roman" w:hAnsi="Times New Roman" w:cs="Times New Roman"/>
        </w:rPr>
        <w:t>ment of a</w:t>
      </w:r>
      <w:r>
        <w:rPr>
          <w:rFonts w:ascii="Times New Roman" w:hAnsi="Times New Roman" w:cs="Times New Roman"/>
        </w:rPr>
        <w:t xml:space="preserve"> parallel </w:t>
      </w:r>
      <w:r w:rsidR="00246789">
        <w:rPr>
          <w:rFonts w:ascii="Times New Roman" w:hAnsi="Times New Roman" w:cs="Times New Roman"/>
        </w:rPr>
        <w:t xml:space="preserve">pre-treatment </w:t>
      </w:r>
      <w:r>
        <w:rPr>
          <w:rFonts w:ascii="Times New Roman" w:hAnsi="Times New Roman" w:cs="Times New Roman"/>
        </w:rPr>
        <w:t>trends</w:t>
      </w:r>
      <w:r w:rsidR="00246789">
        <w:rPr>
          <w:rFonts w:ascii="Times New Roman" w:hAnsi="Times New Roman" w:cs="Times New Roman"/>
        </w:rPr>
        <w:t xml:space="preserve"> assumption</w:t>
      </w:r>
      <w:r>
        <w:rPr>
          <w:rFonts w:ascii="Times New Roman" w:hAnsi="Times New Roman" w:cs="Times New Roman"/>
        </w:rPr>
        <w:t xml:space="preserve">. I consider instances where one or more individual pre-treatment coefficients returns as significant </w:t>
      </w:r>
      <w:r w:rsidR="0072410A">
        <w:rPr>
          <w:rFonts w:ascii="Times New Roman" w:hAnsi="Times New Roman" w:cs="Times New Roman"/>
        </w:rPr>
        <w:t xml:space="preserve">result </w:t>
      </w:r>
      <w:r>
        <w:rPr>
          <w:rFonts w:ascii="Times New Roman" w:hAnsi="Times New Roman" w:cs="Times New Roman"/>
        </w:rPr>
        <w:t xml:space="preserve">while the joint test returns a nonsignificant result as weakly supportive of conclusions from an examination of visual heuristics. Instances where both examination of individual coefficients and the joint test return a significant difference from zero are considered to be unsupportive of </w:t>
      </w:r>
      <w:r w:rsidR="00087A60">
        <w:rPr>
          <w:rFonts w:ascii="Times New Roman" w:hAnsi="Times New Roman" w:cs="Times New Roman"/>
        </w:rPr>
        <w:t xml:space="preserve">whether </w:t>
      </w:r>
      <w:r>
        <w:rPr>
          <w:rFonts w:ascii="Times New Roman" w:hAnsi="Times New Roman" w:cs="Times New Roman"/>
        </w:rPr>
        <w:t xml:space="preserve">the assumption </w:t>
      </w:r>
      <w:r w:rsidR="00A00A59">
        <w:rPr>
          <w:rFonts w:ascii="Times New Roman" w:hAnsi="Times New Roman" w:cs="Times New Roman"/>
        </w:rPr>
        <w:t>that</w:t>
      </w:r>
      <w:r>
        <w:rPr>
          <w:rFonts w:ascii="Times New Roman" w:hAnsi="Times New Roman" w:cs="Times New Roman"/>
        </w:rPr>
        <w:t xml:space="preserve"> </w:t>
      </w:r>
      <w:r w:rsidR="006F710C">
        <w:rPr>
          <w:rFonts w:ascii="Times New Roman" w:hAnsi="Times New Roman" w:cs="Times New Roman"/>
        </w:rPr>
        <w:t xml:space="preserve">the </w:t>
      </w:r>
      <w:r>
        <w:rPr>
          <w:rFonts w:ascii="Times New Roman" w:hAnsi="Times New Roman" w:cs="Times New Roman"/>
        </w:rPr>
        <w:t xml:space="preserve">parallel pre-treatment trends has been satisfied. </w:t>
      </w:r>
    </w:p>
    <w:p w14:paraId="21A22A10" w14:textId="6C43D0CE" w:rsidR="002417B6" w:rsidRDefault="00BC7D8C" w:rsidP="00CD45D6">
      <w:pPr>
        <w:spacing w:line="480" w:lineRule="auto"/>
        <w:ind w:firstLine="720"/>
        <w:rPr>
          <w:rFonts w:ascii="Times New Roman" w:hAnsi="Times New Roman" w:cs="Times New Roman"/>
        </w:rPr>
      </w:pPr>
      <w:r w:rsidRPr="00743293">
        <w:rPr>
          <w:rFonts w:ascii="Times New Roman" w:hAnsi="Times New Roman" w:cs="Times New Roman"/>
        </w:rPr>
        <w:t>In tandem with an examination of visual heuristics I found that my staggered</w:t>
      </w:r>
      <w:r>
        <w:rPr>
          <w:rFonts w:ascii="Times New Roman" w:hAnsi="Times New Roman" w:cs="Times New Roman"/>
        </w:rPr>
        <w:t xml:space="preserve"> difference-in-difference strategy was appropriate for seven of my ten outcome variables.</w:t>
      </w:r>
      <w:r w:rsidR="00BF7BD3">
        <w:rPr>
          <w:rFonts w:ascii="Times New Roman" w:hAnsi="Times New Roman" w:cs="Times New Roman"/>
        </w:rPr>
        <w:t xml:space="preserve"> </w:t>
      </w:r>
      <w:r w:rsidR="006C3B9C">
        <w:rPr>
          <w:rFonts w:ascii="Times New Roman" w:hAnsi="Times New Roman" w:cs="Times New Roman"/>
        </w:rPr>
        <w:t>Four of these seven models</w:t>
      </w:r>
      <w:r w:rsidR="008552C8">
        <w:rPr>
          <w:rFonts w:ascii="Times New Roman" w:hAnsi="Times New Roman" w:cs="Times New Roman"/>
        </w:rPr>
        <w:t xml:space="preserve"> produced </w:t>
      </w:r>
      <w:r w:rsidR="00A116F8">
        <w:rPr>
          <w:rFonts w:ascii="Times New Roman" w:hAnsi="Times New Roman" w:cs="Times New Roman"/>
        </w:rPr>
        <w:t xml:space="preserve">strong </w:t>
      </w:r>
      <w:r w:rsidR="008552C8">
        <w:rPr>
          <w:rFonts w:ascii="Times New Roman" w:hAnsi="Times New Roman" w:cs="Times New Roman"/>
        </w:rPr>
        <w:t xml:space="preserve">evidence that the </w:t>
      </w:r>
      <w:r w:rsidR="00A15F0C">
        <w:rPr>
          <w:rFonts w:ascii="Times New Roman" w:hAnsi="Times New Roman" w:cs="Times New Roman"/>
        </w:rPr>
        <w:t>parallel</w:t>
      </w:r>
      <w:r w:rsidR="008552C8">
        <w:rPr>
          <w:rFonts w:ascii="Times New Roman" w:hAnsi="Times New Roman" w:cs="Times New Roman"/>
        </w:rPr>
        <w:t xml:space="preserve"> trends assumption had been met when examining individual and joint tests of </w:t>
      </w:r>
      <w:r w:rsidR="00A15F0C">
        <w:rPr>
          <w:rFonts w:ascii="Times New Roman" w:hAnsi="Times New Roman" w:cs="Times New Roman"/>
        </w:rPr>
        <w:t>significance</w:t>
      </w:r>
      <w:r w:rsidR="008552C8">
        <w:rPr>
          <w:rFonts w:ascii="Times New Roman" w:hAnsi="Times New Roman" w:cs="Times New Roman"/>
        </w:rPr>
        <w:t xml:space="preserve"> for pre-treatment</w:t>
      </w:r>
      <w:r w:rsidR="00527404">
        <w:rPr>
          <w:rFonts w:ascii="Times New Roman" w:hAnsi="Times New Roman" w:cs="Times New Roman"/>
        </w:rPr>
        <w:t xml:space="preserve"> </w:t>
      </w:r>
      <w:r w:rsidR="00A15F0C">
        <w:rPr>
          <w:rFonts w:ascii="Times New Roman" w:hAnsi="Times New Roman" w:cs="Times New Roman"/>
        </w:rPr>
        <w:lastRenderedPageBreak/>
        <w:t xml:space="preserve">coefficients – these four models examined </w:t>
      </w:r>
      <w:r w:rsidR="000939CD">
        <w:rPr>
          <w:rFonts w:ascii="Times New Roman" w:hAnsi="Times New Roman" w:cs="Times New Roman"/>
        </w:rPr>
        <w:t xml:space="preserve">all awards, </w:t>
      </w:r>
      <w:r w:rsidR="005949A3">
        <w:rPr>
          <w:rFonts w:ascii="Times New Roman" w:hAnsi="Times New Roman" w:cs="Times New Roman"/>
        </w:rPr>
        <w:t>associates degrees, awards in the trades, and awards in the hum</w:t>
      </w:r>
      <w:r w:rsidR="00FA718A">
        <w:rPr>
          <w:rFonts w:ascii="Times New Roman" w:hAnsi="Times New Roman" w:cs="Times New Roman"/>
        </w:rPr>
        <w:t>a</w:t>
      </w:r>
      <w:r w:rsidR="005949A3">
        <w:rPr>
          <w:rFonts w:ascii="Times New Roman" w:hAnsi="Times New Roman" w:cs="Times New Roman"/>
        </w:rPr>
        <w:t>n services</w:t>
      </w:r>
      <w:r w:rsidR="00EB7A0E">
        <w:rPr>
          <w:rFonts w:ascii="Times New Roman" w:hAnsi="Times New Roman" w:cs="Times New Roman"/>
        </w:rPr>
        <w:t xml:space="preserve"> </w:t>
      </w:r>
      <w:r w:rsidR="00653F99">
        <w:rPr>
          <w:rFonts w:ascii="Times New Roman" w:hAnsi="Times New Roman" w:cs="Times New Roman"/>
        </w:rPr>
        <w:t>field</w:t>
      </w:r>
      <w:r w:rsidR="005949A3">
        <w:rPr>
          <w:rFonts w:ascii="Times New Roman" w:hAnsi="Times New Roman" w:cs="Times New Roman"/>
        </w:rPr>
        <w:t xml:space="preserve">. The other three models </w:t>
      </w:r>
      <w:r w:rsidR="00960537">
        <w:rPr>
          <w:rFonts w:ascii="Times New Roman" w:hAnsi="Times New Roman" w:cs="Times New Roman"/>
        </w:rPr>
        <w:t xml:space="preserve">found somewhat supportive evidence that this assumption was met. These three models </w:t>
      </w:r>
      <w:r w:rsidR="00964A79">
        <w:rPr>
          <w:rFonts w:ascii="Times New Roman" w:hAnsi="Times New Roman" w:cs="Times New Roman"/>
        </w:rPr>
        <w:t xml:space="preserve">examined all </w:t>
      </w:r>
      <w:r w:rsidR="00AF2921">
        <w:rPr>
          <w:rFonts w:ascii="Times New Roman" w:hAnsi="Times New Roman" w:cs="Times New Roman"/>
        </w:rPr>
        <w:t>credentials, credentials from programs shorter than 1 year in length, and awards in the STEM field.</w:t>
      </w:r>
      <w:r w:rsidR="006C7CAB">
        <w:rPr>
          <w:rFonts w:ascii="Times New Roman" w:hAnsi="Times New Roman" w:cs="Times New Roman"/>
        </w:rPr>
        <w:t xml:space="preserve"> These three models were supported by only the </w:t>
      </w:r>
      <w:r w:rsidR="009B4FE7">
        <w:rPr>
          <w:rFonts w:ascii="Times New Roman" w:hAnsi="Times New Roman" w:cs="Times New Roman"/>
        </w:rPr>
        <w:t>joint test</w:t>
      </w:r>
      <w:r w:rsidR="006C7CAB">
        <w:rPr>
          <w:rFonts w:ascii="Times New Roman" w:hAnsi="Times New Roman" w:cs="Times New Roman"/>
        </w:rPr>
        <w:t xml:space="preserve"> of </w:t>
      </w:r>
      <w:r w:rsidR="00DE590C">
        <w:rPr>
          <w:rFonts w:ascii="Times New Roman" w:hAnsi="Times New Roman" w:cs="Times New Roman"/>
        </w:rPr>
        <w:t>significance</w:t>
      </w:r>
      <w:r w:rsidR="006C7CAB">
        <w:rPr>
          <w:rFonts w:ascii="Times New Roman" w:hAnsi="Times New Roman" w:cs="Times New Roman"/>
        </w:rPr>
        <w:t>.</w:t>
      </w:r>
      <w:r w:rsidR="00AF2921">
        <w:rPr>
          <w:rFonts w:ascii="Times New Roman" w:hAnsi="Times New Roman" w:cs="Times New Roman"/>
        </w:rPr>
        <w:t xml:space="preserve"> I provide these visualizations in </w:t>
      </w:r>
      <w:r w:rsidR="00AF2921" w:rsidRPr="00496B68">
        <w:rPr>
          <w:rFonts w:ascii="Times New Roman" w:hAnsi="Times New Roman" w:cs="Times New Roman"/>
          <w:b/>
          <w:bCs/>
        </w:rPr>
        <w:t>Figures 5 through 11</w:t>
      </w:r>
      <w:r w:rsidR="00AF2921">
        <w:rPr>
          <w:rFonts w:ascii="Times New Roman" w:hAnsi="Times New Roman" w:cs="Times New Roman"/>
        </w:rPr>
        <w:t xml:space="preserve"> for these </w:t>
      </w:r>
      <w:r w:rsidR="00DE590C">
        <w:rPr>
          <w:rFonts w:ascii="Times New Roman" w:hAnsi="Times New Roman" w:cs="Times New Roman"/>
        </w:rPr>
        <w:t>seven</w:t>
      </w:r>
      <w:r w:rsidR="00AF2921">
        <w:rPr>
          <w:rFonts w:ascii="Times New Roman" w:hAnsi="Times New Roman" w:cs="Times New Roman"/>
        </w:rPr>
        <w:t xml:space="preserve"> Sun and Abrah</w:t>
      </w:r>
      <w:r w:rsidR="00451691">
        <w:rPr>
          <w:rFonts w:ascii="Times New Roman" w:hAnsi="Times New Roman" w:cs="Times New Roman"/>
        </w:rPr>
        <w:t>a</w:t>
      </w:r>
      <w:r w:rsidR="00AF2921">
        <w:rPr>
          <w:rFonts w:ascii="Times New Roman" w:hAnsi="Times New Roman" w:cs="Times New Roman"/>
        </w:rPr>
        <w:t>m event study estimators. I provide all visualizations using the event study interaction approach for the public institutions sample in Appendix F. I provide the output for the OLS and for Borusyak et al.’s imputation estimators in Appendices G and H respectively.</w:t>
      </w:r>
    </w:p>
    <w:p w14:paraId="527F7AD6" w14:textId="1D478D01" w:rsidR="002168B0" w:rsidRDefault="002168B0" w:rsidP="00CD45D6">
      <w:pPr>
        <w:spacing w:line="480" w:lineRule="auto"/>
        <w:ind w:firstLine="720"/>
        <w:rPr>
          <w:rFonts w:ascii="Times New Roman" w:hAnsi="Times New Roman" w:cs="Times New Roman"/>
        </w:rPr>
      </w:pPr>
      <w:bookmarkStart w:id="84" w:name="_Toc179135802"/>
      <w:r>
        <w:rPr>
          <w:rFonts w:ascii="Times New Roman" w:hAnsi="Times New Roman" w:cs="Times New Roman"/>
        </w:rPr>
        <w:t xml:space="preserve">While the three models of credentials that take one-to-two years to complete, liberal arts awards, and professional services awards were not supported by an individual or joint tests of significance of pre-treatment coefficients, I do find evidence using an additional smoothness restriction test that the </w:t>
      </w:r>
      <w:r w:rsidR="00F92758">
        <w:rPr>
          <w:rFonts w:ascii="Times New Roman" w:hAnsi="Times New Roman" w:cs="Times New Roman"/>
        </w:rPr>
        <w:t>one</w:t>
      </w:r>
      <w:r>
        <w:rPr>
          <w:rFonts w:ascii="Times New Roman" w:hAnsi="Times New Roman" w:cs="Times New Roman"/>
        </w:rPr>
        <w:t>-to-</w:t>
      </w:r>
      <w:r w:rsidR="00F92758">
        <w:rPr>
          <w:rFonts w:ascii="Times New Roman" w:hAnsi="Times New Roman" w:cs="Times New Roman"/>
        </w:rPr>
        <w:t>two</w:t>
      </w:r>
      <w:r>
        <w:rPr>
          <w:rFonts w:ascii="Times New Roman" w:hAnsi="Times New Roman" w:cs="Times New Roman"/>
        </w:rPr>
        <w:t xml:space="preserve"> year credentials and liberal arts outcomes are suitable for inclusion in my analysis. This test exploits post-treatment violations of parallel trends</w:t>
      </w:r>
      <w:r w:rsidR="00157920">
        <w:rPr>
          <w:rFonts w:ascii="Times New Roman" w:hAnsi="Times New Roman" w:cs="Times New Roman"/>
        </w:rPr>
        <w:t xml:space="preserve"> that</w:t>
      </w:r>
      <w:r>
        <w:rPr>
          <w:rFonts w:ascii="Times New Roman" w:hAnsi="Times New Roman" w:cs="Times New Roman"/>
        </w:rPr>
        <w:t xml:space="preserve"> differ from a linear extrapolation of my pre-treatment trend line as described by </w:t>
      </w:r>
      <w:sdt>
        <w:sdtPr>
          <w:rPr>
            <w:rFonts w:ascii="Times New Roman" w:hAnsi="Times New Roman" w:cs="Times New Roman"/>
          </w:rPr>
          <w:id w:val="-1436823934"/>
          <w:citation/>
        </w:sdtPr>
        <w:sdtContent>
          <w:r>
            <w:rPr>
              <w:rFonts w:ascii="Times New Roman" w:hAnsi="Times New Roman" w:cs="Times New Roman"/>
            </w:rPr>
            <w:fldChar w:fldCharType="begin"/>
          </w:r>
          <w:r>
            <w:rPr>
              <w:rFonts w:ascii="Times New Roman" w:hAnsi="Times New Roman" w:cs="Times New Roman"/>
            </w:rPr>
            <w:instrText xml:space="preserve"> CITATION Ram23 \l 1033 </w:instrText>
          </w:r>
          <w:r>
            <w:rPr>
              <w:rFonts w:ascii="Times New Roman" w:hAnsi="Times New Roman" w:cs="Times New Roman"/>
            </w:rPr>
            <w:fldChar w:fldCharType="separate"/>
          </w:r>
          <w:r w:rsidR="00A10468" w:rsidRPr="00A10468">
            <w:rPr>
              <w:rFonts w:ascii="Times New Roman" w:hAnsi="Times New Roman" w:cs="Times New Roman"/>
              <w:noProof/>
            </w:rPr>
            <w:t>(Rambachan &amp; Roth, 2023)</w:t>
          </w:r>
          <w:r>
            <w:rPr>
              <w:rFonts w:ascii="Times New Roman" w:hAnsi="Times New Roman" w:cs="Times New Roman"/>
            </w:rPr>
            <w:fldChar w:fldCharType="end"/>
          </w:r>
        </w:sdtContent>
      </w:sdt>
      <w:r>
        <w:rPr>
          <w:rFonts w:ascii="Times New Roman" w:hAnsi="Times New Roman" w:cs="Times New Roman"/>
        </w:rPr>
        <w:t>. I provide the visualizations of pre-</w:t>
      </w:r>
      <w:r w:rsidR="00BF7BD3" w:rsidRPr="00BF7BD3">
        <w:rPr>
          <w:rFonts w:ascii="Times New Roman" w:hAnsi="Times New Roman" w:cs="Times New Roman"/>
        </w:rPr>
        <w:t xml:space="preserve"> </w:t>
      </w:r>
      <w:r w:rsidR="00BF7BD3">
        <w:rPr>
          <w:rFonts w:ascii="Times New Roman" w:hAnsi="Times New Roman" w:cs="Times New Roman"/>
        </w:rPr>
        <w:t xml:space="preserve">and post-treatment regression coefficients for these to outcome variables in </w:t>
      </w:r>
      <w:r w:rsidR="00BF7BD3" w:rsidRPr="00496B68">
        <w:rPr>
          <w:rFonts w:ascii="Times New Roman" w:hAnsi="Times New Roman" w:cs="Times New Roman"/>
          <w:b/>
          <w:bCs/>
        </w:rPr>
        <w:t>Figures 12</w:t>
      </w:r>
      <w:r w:rsidR="00BF7BD3">
        <w:rPr>
          <w:rFonts w:ascii="Times New Roman" w:hAnsi="Times New Roman" w:cs="Times New Roman"/>
        </w:rPr>
        <w:t xml:space="preserve"> </w:t>
      </w:r>
      <w:r w:rsidR="00BF7BD3" w:rsidRPr="00496B68">
        <w:rPr>
          <w:rFonts w:ascii="Times New Roman" w:hAnsi="Times New Roman" w:cs="Times New Roman"/>
          <w:b/>
          <w:bCs/>
        </w:rPr>
        <w:t>and 13</w:t>
      </w:r>
      <w:r w:rsidR="00BF7BD3">
        <w:rPr>
          <w:rFonts w:ascii="Times New Roman" w:hAnsi="Times New Roman" w:cs="Times New Roman"/>
        </w:rPr>
        <w:t xml:space="preserve"> as I did with the other models. I also provide my robust confidence intervals for this smoothness restriction test in </w:t>
      </w:r>
      <w:r w:rsidR="00BF7BD3" w:rsidRPr="00504669">
        <w:rPr>
          <w:rFonts w:ascii="Times New Roman" w:hAnsi="Times New Roman" w:cs="Times New Roman"/>
          <w:b/>
          <w:bCs/>
        </w:rPr>
        <w:t>Figure 14</w:t>
      </w:r>
      <w:r w:rsidR="00BF7BD3">
        <w:rPr>
          <w:rFonts w:ascii="Times New Roman" w:hAnsi="Times New Roman" w:cs="Times New Roman"/>
        </w:rPr>
        <w:t xml:space="preserve"> for one-to-</w:t>
      </w:r>
      <w:proofErr w:type="gramStart"/>
      <w:r w:rsidR="00BF7BD3">
        <w:rPr>
          <w:rFonts w:ascii="Times New Roman" w:hAnsi="Times New Roman" w:cs="Times New Roman"/>
        </w:rPr>
        <w:t>two year</w:t>
      </w:r>
      <w:proofErr w:type="gramEnd"/>
      <w:r w:rsidR="00BF7BD3">
        <w:rPr>
          <w:rFonts w:ascii="Times New Roman" w:hAnsi="Times New Roman" w:cs="Times New Roman"/>
        </w:rPr>
        <w:t xml:space="preserve"> credentials and </w:t>
      </w:r>
      <w:r w:rsidR="00BF7BD3" w:rsidRPr="00496B68">
        <w:rPr>
          <w:rFonts w:ascii="Times New Roman" w:hAnsi="Times New Roman" w:cs="Times New Roman"/>
          <w:b/>
          <w:bCs/>
        </w:rPr>
        <w:t>Figure 15</w:t>
      </w:r>
      <w:r w:rsidR="00BF7BD3">
        <w:rPr>
          <w:rFonts w:ascii="Times New Roman" w:hAnsi="Times New Roman" w:cs="Times New Roman"/>
        </w:rPr>
        <w:t xml:space="preserve"> for Liberal Arts awards. These figures plot the robust confidence intervals utilized in the sensitivity analysis in </w:t>
      </w:r>
      <w:r w:rsidR="00BF7BD3" w:rsidRPr="00496B68">
        <w:rPr>
          <w:rFonts w:ascii="Times New Roman" w:hAnsi="Times New Roman" w:cs="Times New Roman"/>
          <w:b/>
          <w:bCs/>
        </w:rPr>
        <w:t>figures 14 and 15</w:t>
      </w:r>
      <w:r w:rsidR="00BF7BD3">
        <w:rPr>
          <w:rFonts w:ascii="Times New Roman" w:hAnsi="Times New Roman" w:cs="Times New Roman"/>
        </w:rPr>
        <w:t xml:space="preserve"> prepared using the </w:t>
      </w:r>
      <w:r w:rsidR="00BF7BD3" w:rsidRPr="00D658FD">
        <w:rPr>
          <w:rFonts w:ascii="Times New Roman" w:hAnsi="Times New Roman" w:cs="Times New Roman"/>
          <w:i/>
          <w:iCs/>
        </w:rPr>
        <w:t>honestdid</w:t>
      </w:r>
      <w:r w:rsidR="00BF7BD3">
        <w:rPr>
          <w:rFonts w:ascii="Times New Roman" w:hAnsi="Times New Roman" w:cs="Times New Roman"/>
        </w:rPr>
        <w:t xml:space="preserve"> package. </w:t>
      </w:r>
      <w:r>
        <w:rPr>
          <w:rFonts w:ascii="Times New Roman" w:hAnsi="Times New Roman" w:cs="Times New Roman"/>
        </w:rPr>
        <w:t xml:space="preserve"> </w:t>
      </w:r>
    </w:p>
    <w:p w14:paraId="49BD86F1" w14:textId="7E43BC84" w:rsidR="002417B6" w:rsidRPr="00496B68" w:rsidRDefault="002168B0" w:rsidP="00496B68">
      <w:pPr>
        <w:spacing w:line="480" w:lineRule="auto"/>
        <w:ind w:firstLine="720"/>
        <w:rPr>
          <w:rFonts w:ascii="Times New Roman" w:hAnsi="Times New Roman"/>
          <w:b/>
        </w:rPr>
      </w:pPr>
      <w:r>
        <w:br w:type="page"/>
      </w:r>
      <w:bookmarkEnd w:id="84"/>
    </w:p>
    <w:p w14:paraId="06EEAC70" w14:textId="5D5DBB3F" w:rsidR="002417B6" w:rsidRDefault="00CE5561" w:rsidP="002417B6">
      <w:pPr>
        <w:jc w:val="center"/>
        <w:rPr>
          <w:rFonts w:ascii="Times New Roman" w:hAnsi="Times New Roman" w:cs="Times New Roman"/>
        </w:rPr>
      </w:pPr>
      <w:r w:rsidRPr="00CE5561">
        <w:rPr>
          <w:rFonts w:ascii="Times New Roman" w:hAnsi="Times New Roman" w:cs="Times New Roman"/>
          <w:noProof/>
        </w:rPr>
        <w:lastRenderedPageBreak/>
        <w:drawing>
          <wp:inline distT="0" distB="0" distL="0" distR="0" wp14:anchorId="32DDC192" wp14:editId="5B31D377">
            <wp:extent cx="5366808" cy="3903134"/>
            <wp:effectExtent l="0" t="0" r="5715" b="0"/>
            <wp:docPr id="1379495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95747" name=""/>
                    <pic:cNvPicPr/>
                  </pic:nvPicPr>
                  <pic:blipFill>
                    <a:blip r:embed="rId15"/>
                    <a:stretch>
                      <a:fillRect/>
                    </a:stretch>
                  </pic:blipFill>
                  <pic:spPr>
                    <a:xfrm>
                      <a:off x="0" y="0"/>
                      <a:ext cx="5455876" cy="3967911"/>
                    </a:xfrm>
                    <a:prstGeom prst="rect">
                      <a:avLst/>
                    </a:prstGeom>
                  </pic:spPr>
                </pic:pic>
              </a:graphicData>
            </a:graphic>
          </wp:inline>
        </w:drawing>
      </w:r>
    </w:p>
    <w:p w14:paraId="217E099E" w14:textId="77777777" w:rsidR="002417B6" w:rsidRPr="00B06ECA" w:rsidRDefault="002417B6" w:rsidP="002417B6">
      <w:pPr>
        <w:rPr>
          <w:rFonts w:ascii="Times New Roman" w:hAnsi="Times New Roman"/>
        </w:rPr>
      </w:pPr>
    </w:p>
    <w:p w14:paraId="3DC2A473" w14:textId="77777777" w:rsidR="00496B68" w:rsidRPr="004C564E" w:rsidRDefault="00496B68" w:rsidP="00496B68">
      <w:pPr>
        <w:pStyle w:val="TableofFigs"/>
        <w:spacing w:line="240" w:lineRule="auto"/>
      </w:pPr>
      <w:bookmarkStart w:id="85" w:name="_Toc180144585"/>
      <w:r w:rsidRPr="004C564E">
        <w:t xml:space="preserve">Figure </w:t>
      </w:r>
      <w:r>
        <w:t>5</w:t>
      </w:r>
      <w:bookmarkEnd w:id="85"/>
    </w:p>
    <w:p w14:paraId="6F2BAB69" w14:textId="77777777" w:rsidR="00496B68" w:rsidRDefault="00496B68" w:rsidP="00496B68">
      <w:pPr>
        <w:rPr>
          <w:rFonts w:ascii="Times New Roman" w:hAnsi="Times New Roman" w:cs="Times New Roman"/>
          <w:i/>
          <w:iCs/>
        </w:rPr>
      </w:pPr>
      <w:r>
        <w:rPr>
          <w:rFonts w:ascii="Times New Roman" w:hAnsi="Times New Roman" w:cs="Times New Roman"/>
          <w:i/>
          <w:iCs/>
        </w:rPr>
        <w:t xml:space="preserve">All Awards Visualization of Sun &amp; Abraham’s (2020) Trends for Public Institutions Only </w:t>
      </w:r>
    </w:p>
    <w:p w14:paraId="6F25F431" w14:textId="56219BE1" w:rsidR="00D67DC2" w:rsidRPr="00496B68" w:rsidRDefault="008536C7" w:rsidP="002417B6">
      <w:pPr>
        <w:rPr>
          <w:rFonts w:ascii="Times New Roman" w:hAnsi="Times New Roman"/>
          <w:b/>
        </w:rPr>
      </w:pPr>
      <w:r w:rsidRPr="008536C7">
        <w:rPr>
          <w:rFonts w:ascii="Times New Roman" w:hAnsi="Times New Roman" w:cs="Times New Roman"/>
        </w:rPr>
        <w:t xml:space="preserve">Natural log </w:t>
      </w:r>
      <w:r w:rsidR="00D13394">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w:t>
      </w:r>
      <w:r w:rsidR="00DB47D8">
        <w:rPr>
          <w:rFonts w:ascii="Times New Roman" w:hAnsi="Times New Roman" w:cs="Times New Roman"/>
        </w:rPr>
        <w:t xml:space="preserve">all </w:t>
      </w:r>
      <w:r w:rsidR="00E81C47">
        <w:rPr>
          <w:rFonts w:ascii="Times New Roman" w:hAnsi="Times New Roman" w:cs="Times New Roman"/>
        </w:rPr>
        <w:t xml:space="preserve">sub-baccalaureate awards granted </w:t>
      </w:r>
      <w:r w:rsidR="008F0D09">
        <w:rPr>
          <w:rFonts w:ascii="Times New Roman" w:hAnsi="Times New Roman" w:cs="Times New Roman"/>
        </w:rPr>
        <w:t>within the public institutions only sample</w:t>
      </w:r>
      <w:r w:rsidR="00D13394">
        <w:rPr>
          <w:rFonts w:ascii="Times New Roman" w:hAnsi="Times New Roman" w:cs="Times New Roman"/>
        </w:rPr>
        <w:t xml:space="preserve">. </w:t>
      </w:r>
      <w:r w:rsidR="00210BEB">
        <w:rPr>
          <w:rFonts w:ascii="Times New Roman" w:hAnsi="Times New Roman" w:cs="Times New Roman"/>
        </w:rPr>
        <w:t xml:space="preserve">This event study visualization utilized the Sun &amp; Abraham </w:t>
      </w:r>
      <w:r w:rsidR="00210BEB" w:rsidRPr="00210BEB">
        <w:rPr>
          <w:rFonts w:ascii="Times New Roman" w:hAnsi="Times New Roman" w:cs="Times New Roman"/>
          <w:i/>
          <w:iCs/>
        </w:rPr>
        <w:t>eventstudyinteract</w:t>
      </w:r>
      <w:r w:rsidR="00210BEB">
        <w:rPr>
          <w:rFonts w:ascii="Times New Roman" w:hAnsi="Times New Roman" w:cs="Times New Roman"/>
        </w:rPr>
        <w:t xml:space="preserve"> command. </w:t>
      </w:r>
      <w:r w:rsidR="00D13394">
        <w:rPr>
          <w:rFonts w:ascii="Times New Roman" w:hAnsi="Times New Roman" w:cs="Times New Roman"/>
        </w:rPr>
        <w:t xml:space="preserve">Period zero indicates the year of </w:t>
      </w:r>
      <w:r w:rsidR="00B75EA0">
        <w:rPr>
          <w:rFonts w:ascii="Times New Roman" w:hAnsi="Times New Roman" w:cs="Times New Roman"/>
        </w:rPr>
        <w:t>promise program adoption and each period on the x-axis reflects a year. The y-axis reflects treatment effect</w:t>
      </w:r>
      <w:r w:rsidR="00D67DC2">
        <w:rPr>
          <w:rFonts w:ascii="Times New Roman" w:hAnsi="Times New Roman" w:cs="Times New Roman"/>
        </w:rPr>
        <w:t xml:space="preserve"> on the treated group compared to the comparison group. </w:t>
      </w:r>
      <w:bookmarkStart w:id="86" w:name="_Toc179135803"/>
      <w:r w:rsidR="00D67DC2">
        <w:br w:type="page"/>
      </w:r>
      <w:bookmarkEnd w:id="86"/>
    </w:p>
    <w:p w14:paraId="584C52A5" w14:textId="6FE5585E" w:rsidR="002417B6" w:rsidRDefault="00E619F2" w:rsidP="002417B6">
      <w:pPr>
        <w:jc w:val="center"/>
        <w:rPr>
          <w:rFonts w:ascii="Times New Roman" w:hAnsi="Times New Roman" w:cs="Times New Roman"/>
          <w:i/>
          <w:iCs/>
        </w:rPr>
      </w:pPr>
      <w:r w:rsidRPr="00E619F2">
        <w:rPr>
          <w:rFonts w:ascii="Times New Roman" w:hAnsi="Times New Roman" w:cs="Times New Roman"/>
          <w:i/>
          <w:iCs/>
          <w:noProof/>
        </w:rPr>
        <w:lastRenderedPageBreak/>
        <w:drawing>
          <wp:inline distT="0" distB="0" distL="0" distR="0" wp14:anchorId="3745F795" wp14:editId="224DC8B2">
            <wp:extent cx="5553075" cy="4038600"/>
            <wp:effectExtent l="0" t="0" r="0" b="0"/>
            <wp:docPr id="961615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15649" name=""/>
                    <pic:cNvPicPr/>
                  </pic:nvPicPr>
                  <pic:blipFill>
                    <a:blip r:embed="rId16"/>
                    <a:stretch>
                      <a:fillRect/>
                    </a:stretch>
                  </pic:blipFill>
                  <pic:spPr>
                    <a:xfrm>
                      <a:off x="0" y="0"/>
                      <a:ext cx="5610535" cy="4080389"/>
                    </a:xfrm>
                    <a:prstGeom prst="rect">
                      <a:avLst/>
                    </a:prstGeom>
                  </pic:spPr>
                </pic:pic>
              </a:graphicData>
            </a:graphic>
          </wp:inline>
        </w:drawing>
      </w:r>
    </w:p>
    <w:p w14:paraId="030B7529" w14:textId="77777777" w:rsidR="002417B6" w:rsidRPr="00B06ECA" w:rsidRDefault="002417B6" w:rsidP="002417B6">
      <w:pPr>
        <w:rPr>
          <w:rFonts w:ascii="Times New Roman" w:hAnsi="Times New Roman"/>
        </w:rPr>
      </w:pPr>
    </w:p>
    <w:p w14:paraId="7D050E76" w14:textId="77777777" w:rsidR="00496B68" w:rsidRPr="00DE1830" w:rsidRDefault="00496B68" w:rsidP="00496B68">
      <w:pPr>
        <w:pStyle w:val="TableofFigs"/>
        <w:spacing w:line="240" w:lineRule="auto"/>
      </w:pPr>
      <w:bookmarkStart w:id="87" w:name="_Toc180144586"/>
      <w:r w:rsidRPr="004C564E">
        <w:t xml:space="preserve">Figure </w:t>
      </w:r>
      <w:r>
        <w:t>6</w:t>
      </w:r>
      <w:bookmarkEnd w:id="87"/>
    </w:p>
    <w:p w14:paraId="4608AEAA" w14:textId="77777777" w:rsidR="00496B68" w:rsidRDefault="00496B68" w:rsidP="00496B68">
      <w:pPr>
        <w:rPr>
          <w:rFonts w:ascii="Times New Roman" w:hAnsi="Times New Roman" w:cs="Times New Roman"/>
          <w:i/>
          <w:iCs/>
        </w:rPr>
      </w:pPr>
      <w:proofErr w:type="gramStart"/>
      <w:r>
        <w:rPr>
          <w:rFonts w:ascii="Times New Roman" w:hAnsi="Times New Roman" w:cs="Times New Roman"/>
          <w:i/>
          <w:iCs/>
        </w:rPr>
        <w:t>Associates Degree</w:t>
      </w:r>
      <w:proofErr w:type="gramEnd"/>
      <w:r>
        <w:rPr>
          <w:rFonts w:ascii="Times New Roman" w:hAnsi="Times New Roman" w:cs="Times New Roman"/>
          <w:i/>
          <w:iCs/>
        </w:rPr>
        <w:t xml:space="preserve"> Visualization of Sun &amp; Abraham’s (2020) Trends for Public Institutions Only </w:t>
      </w:r>
    </w:p>
    <w:p w14:paraId="6FA238EF" w14:textId="56A07597" w:rsidR="00D67DC2" w:rsidRPr="008536C7" w:rsidRDefault="00D67DC2" w:rsidP="00D67DC2">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w:t>
      </w:r>
      <w:r w:rsidR="00DF55BB">
        <w:rPr>
          <w:rFonts w:ascii="Times New Roman" w:hAnsi="Times New Roman" w:cs="Times New Roman"/>
        </w:rPr>
        <w:t>associate degree</w:t>
      </w:r>
      <w:r>
        <w:rPr>
          <w:rFonts w:ascii="Times New Roman" w:hAnsi="Times New Roman" w:cs="Times New Roman"/>
        </w:rPr>
        <w:t xml:space="preserve"> awards granted within the public institutions only sample. </w:t>
      </w:r>
      <w:r w:rsidR="00210BEB">
        <w:rPr>
          <w:rFonts w:ascii="Times New Roman" w:hAnsi="Times New Roman" w:cs="Times New Roman"/>
        </w:rPr>
        <w:t xml:space="preserve">This event study visualization utilized the Sun &amp; Abraham </w:t>
      </w:r>
      <w:r w:rsidR="00210BEB" w:rsidRPr="00210BEB">
        <w:rPr>
          <w:rFonts w:ascii="Times New Roman" w:hAnsi="Times New Roman" w:cs="Times New Roman"/>
          <w:i/>
          <w:iCs/>
        </w:rPr>
        <w:t>eventstudyinteract</w:t>
      </w:r>
      <w:r w:rsidR="00210BEB">
        <w:rPr>
          <w:rFonts w:ascii="Times New Roman" w:hAnsi="Times New Roman" w:cs="Times New Roman"/>
        </w:rPr>
        <w:t xml:space="preserve"> command. </w:t>
      </w:r>
      <w:r>
        <w:rPr>
          <w:rFonts w:ascii="Times New Roman" w:hAnsi="Times New Roman" w:cs="Times New Roman"/>
        </w:rPr>
        <w:t xml:space="preserve">Period zero indicates the year of promise program adoption and each period on the x-axis reflects a year. The y-axis reflects treatment effect on the treated group compared to the comparison group. </w:t>
      </w:r>
    </w:p>
    <w:p w14:paraId="0C713F9E" w14:textId="77777777" w:rsidR="00D67DC2" w:rsidRDefault="00D67DC2" w:rsidP="002417B6">
      <w:pPr>
        <w:jc w:val="center"/>
        <w:rPr>
          <w:rFonts w:ascii="Times New Roman" w:hAnsi="Times New Roman" w:cs="Times New Roman"/>
          <w:i/>
          <w:iCs/>
        </w:rPr>
      </w:pPr>
    </w:p>
    <w:p w14:paraId="7725A052" w14:textId="2C763579" w:rsidR="00DF55BB" w:rsidRPr="00496B68" w:rsidRDefault="00DF55BB" w:rsidP="002417B6">
      <w:pPr>
        <w:rPr>
          <w:rFonts w:ascii="Times New Roman" w:hAnsi="Times New Roman"/>
          <w:b/>
        </w:rPr>
      </w:pPr>
      <w:r>
        <w:br w:type="page"/>
      </w:r>
    </w:p>
    <w:p w14:paraId="23D04A68" w14:textId="4C7C1159" w:rsidR="002417B6" w:rsidRDefault="00E619F2" w:rsidP="002417B6">
      <w:pPr>
        <w:jc w:val="center"/>
        <w:rPr>
          <w:rFonts w:ascii="Times New Roman" w:hAnsi="Times New Roman" w:cs="Times New Roman"/>
          <w:b/>
          <w:bCs/>
        </w:rPr>
      </w:pPr>
      <w:r w:rsidRPr="00E619F2">
        <w:rPr>
          <w:rFonts w:ascii="Times New Roman" w:hAnsi="Times New Roman" w:cs="Times New Roman"/>
          <w:noProof/>
        </w:rPr>
        <w:lastRenderedPageBreak/>
        <w:drawing>
          <wp:inline distT="0" distB="0" distL="0" distR="0" wp14:anchorId="46D1CE73" wp14:editId="23EEA2D9">
            <wp:extent cx="5378448" cy="3911600"/>
            <wp:effectExtent l="0" t="0" r="0" b="0"/>
            <wp:docPr id="1001135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35488" name=""/>
                    <pic:cNvPicPr/>
                  </pic:nvPicPr>
                  <pic:blipFill>
                    <a:blip r:embed="rId17"/>
                    <a:stretch>
                      <a:fillRect/>
                    </a:stretch>
                  </pic:blipFill>
                  <pic:spPr>
                    <a:xfrm>
                      <a:off x="0" y="0"/>
                      <a:ext cx="5440506" cy="3956733"/>
                    </a:xfrm>
                    <a:prstGeom prst="rect">
                      <a:avLst/>
                    </a:prstGeom>
                  </pic:spPr>
                </pic:pic>
              </a:graphicData>
            </a:graphic>
          </wp:inline>
        </w:drawing>
      </w:r>
    </w:p>
    <w:p w14:paraId="78998C23" w14:textId="77777777" w:rsidR="00DF55BB" w:rsidRDefault="00DF55BB" w:rsidP="002417B6">
      <w:pPr>
        <w:jc w:val="center"/>
        <w:rPr>
          <w:rFonts w:ascii="Times New Roman" w:hAnsi="Times New Roman" w:cs="Times New Roman"/>
          <w:b/>
          <w:bCs/>
        </w:rPr>
      </w:pPr>
    </w:p>
    <w:p w14:paraId="4DEE23EB" w14:textId="77777777" w:rsidR="00496B68" w:rsidRPr="004C564E" w:rsidRDefault="00496B68" w:rsidP="00496B68">
      <w:pPr>
        <w:pStyle w:val="TableofFigs"/>
        <w:spacing w:line="240" w:lineRule="auto"/>
      </w:pPr>
      <w:bookmarkStart w:id="88" w:name="_Toc179135804"/>
      <w:bookmarkStart w:id="89" w:name="_Toc180144587"/>
      <w:r w:rsidRPr="004C564E">
        <w:t xml:space="preserve">Figure </w:t>
      </w:r>
      <w:r>
        <w:t>7</w:t>
      </w:r>
      <w:bookmarkEnd w:id="88"/>
      <w:bookmarkEnd w:id="89"/>
    </w:p>
    <w:p w14:paraId="43E4DAB8" w14:textId="77777777" w:rsidR="00496B68" w:rsidRDefault="00496B68" w:rsidP="00496B68">
      <w:pPr>
        <w:rPr>
          <w:rFonts w:ascii="Times New Roman" w:hAnsi="Times New Roman" w:cs="Times New Roman"/>
          <w:i/>
          <w:iCs/>
        </w:rPr>
      </w:pPr>
      <w:r>
        <w:rPr>
          <w:rFonts w:ascii="Times New Roman" w:hAnsi="Times New Roman" w:cs="Times New Roman"/>
          <w:i/>
          <w:iCs/>
        </w:rPr>
        <w:t xml:space="preserve">All Credentials Visualization of Sun &amp; Abraham’s (2020) Trends for Public Institutions Only </w:t>
      </w:r>
    </w:p>
    <w:p w14:paraId="12CCF0CF" w14:textId="3B705663" w:rsidR="00DF55BB" w:rsidRPr="008536C7" w:rsidRDefault="00DF55BB" w:rsidP="00DF55BB">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all credential awards granted within the public institutions only sample. </w:t>
      </w:r>
      <w:r w:rsidR="00C8391D">
        <w:rPr>
          <w:rFonts w:ascii="Times New Roman" w:hAnsi="Times New Roman" w:cs="Times New Roman"/>
        </w:rPr>
        <w:t xml:space="preserve">This </w:t>
      </w:r>
      <w:r w:rsidR="00210BEB">
        <w:rPr>
          <w:rFonts w:ascii="Times New Roman" w:hAnsi="Times New Roman" w:cs="Times New Roman"/>
        </w:rPr>
        <w:t xml:space="preserve">event study visualization utilized the Sun &amp; Abraham </w:t>
      </w:r>
      <w:r w:rsidR="00210BEB" w:rsidRPr="00210BEB">
        <w:rPr>
          <w:rFonts w:ascii="Times New Roman" w:hAnsi="Times New Roman" w:cs="Times New Roman"/>
          <w:i/>
          <w:iCs/>
        </w:rPr>
        <w:t>eventstudyinteract</w:t>
      </w:r>
      <w:r w:rsidR="00210BEB">
        <w:rPr>
          <w:rFonts w:ascii="Times New Roman" w:hAnsi="Times New Roman" w:cs="Times New Roman"/>
        </w:rPr>
        <w:t xml:space="preserve"> command. </w:t>
      </w:r>
      <w:r>
        <w:rPr>
          <w:rFonts w:ascii="Times New Roman" w:hAnsi="Times New Roman" w:cs="Times New Roman"/>
        </w:rPr>
        <w:t xml:space="preserve">Period zero indicates the year of promise program adoption and each period on the x-axis reflects a year. The y-axis reflects treatment effect on the treated group compared to the comparison group. </w:t>
      </w:r>
    </w:p>
    <w:p w14:paraId="2DD47248" w14:textId="77777777" w:rsidR="00EE23E3" w:rsidRDefault="00EE23E3" w:rsidP="008F0AA3">
      <w:pPr>
        <w:pStyle w:val="TableofFigs"/>
      </w:pPr>
    </w:p>
    <w:p w14:paraId="75CC9D19" w14:textId="1E3D965E" w:rsidR="002417B6" w:rsidRPr="00496B68" w:rsidRDefault="00210BEB" w:rsidP="002417B6">
      <w:pPr>
        <w:rPr>
          <w:rFonts w:ascii="Times New Roman" w:hAnsi="Times New Roman"/>
          <w:b/>
        </w:rPr>
      </w:pPr>
      <w:r>
        <w:br w:type="page"/>
      </w:r>
    </w:p>
    <w:p w14:paraId="45B3CC68" w14:textId="4EB25F45" w:rsidR="002417B6" w:rsidRDefault="00495792" w:rsidP="002417B6">
      <w:pPr>
        <w:jc w:val="center"/>
        <w:rPr>
          <w:rFonts w:ascii="Times New Roman" w:hAnsi="Times New Roman" w:cs="Times New Roman"/>
          <w:b/>
          <w:bCs/>
        </w:rPr>
      </w:pPr>
      <w:r w:rsidRPr="00495792">
        <w:rPr>
          <w:rFonts w:ascii="Times New Roman" w:hAnsi="Times New Roman" w:cs="Times New Roman"/>
          <w:b/>
          <w:bCs/>
          <w:noProof/>
        </w:rPr>
        <w:lastRenderedPageBreak/>
        <w:drawing>
          <wp:inline distT="0" distB="0" distL="0" distR="0" wp14:anchorId="53985D90" wp14:editId="71C804B7">
            <wp:extent cx="5483224" cy="3987800"/>
            <wp:effectExtent l="0" t="0" r="3810" b="0"/>
            <wp:docPr id="1705072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072988" name=""/>
                    <pic:cNvPicPr/>
                  </pic:nvPicPr>
                  <pic:blipFill>
                    <a:blip r:embed="rId18"/>
                    <a:stretch>
                      <a:fillRect/>
                    </a:stretch>
                  </pic:blipFill>
                  <pic:spPr>
                    <a:xfrm>
                      <a:off x="0" y="0"/>
                      <a:ext cx="5631712" cy="4095791"/>
                    </a:xfrm>
                    <a:prstGeom prst="rect">
                      <a:avLst/>
                    </a:prstGeom>
                  </pic:spPr>
                </pic:pic>
              </a:graphicData>
            </a:graphic>
          </wp:inline>
        </w:drawing>
      </w:r>
    </w:p>
    <w:p w14:paraId="5070B246" w14:textId="77777777" w:rsidR="00D91D3C" w:rsidRDefault="00D91D3C" w:rsidP="00D91D3C">
      <w:pPr>
        <w:jc w:val="center"/>
        <w:rPr>
          <w:rFonts w:ascii="Times New Roman" w:hAnsi="Times New Roman" w:cs="Times New Roman"/>
          <w:b/>
          <w:bCs/>
        </w:rPr>
      </w:pPr>
    </w:p>
    <w:p w14:paraId="3BBE65E5" w14:textId="77777777" w:rsidR="00496B68" w:rsidRPr="004C564E" w:rsidRDefault="00496B68" w:rsidP="00496B68">
      <w:pPr>
        <w:pStyle w:val="TableofFigs"/>
        <w:spacing w:line="240" w:lineRule="auto"/>
      </w:pPr>
      <w:bookmarkStart w:id="90" w:name="_Toc179135805"/>
      <w:bookmarkStart w:id="91" w:name="_Toc180144588"/>
      <w:r w:rsidRPr="004C564E">
        <w:t xml:space="preserve">Figure </w:t>
      </w:r>
      <w:r>
        <w:t>8</w:t>
      </w:r>
      <w:bookmarkEnd w:id="90"/>
      <w:bookmarkEnd w:id="91"/>
    </w:p>
    <w:p w14:paraId="1257E28D" w14:textId="77777777" w:rsidR="00496B68" w:rsidRDefault="00496B68" w:rsidP="00496B68">
      <w:pPr>
        <w:rPr>
          <w:rFonts w:ascii="Times New Roman" w:hAnsi="Times New Roman" w:cs="Times New Roman"/>
          <w:i/>
          <w:iCs/>
        </w:rPr>
      </w:pPr>
      <w:r>
        <w:rPr>
          <w:rFonts w:ascii="Times New Roman" w:hAnsi="Times New Roman" w:cs="Times New Roman"/>
          <w:i/>
          <w:iCs/>
        </w:rPr>
        <w:t xml:space="preserve">Less than One Year Credentials Visualization of Sun &amp; Abraham’s (2020) Trends for Public Institutions Only </w:t>
      </w:r>
    </w:p>
    <w:p w14:paraId="0E73F62F" w14:textId="1F6EDB90" w:rsidR="00D91D3C" w:rsidRPr="008536C7" w:rsidRDefault="00D91D3C" w:rsidP="00D91D3C">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credential awards that take </w:t>
      </w:r>
      <w:r w:rsidR="00EF2C5C">
        <w:rPr>
          <w:rFonts w:ascii="Times New Roman" w:hAnsi="Times New Roman" w:cs="Times New Roman"/>
        </w:rPr>
        <w:t>less than one year</w:t>
      </w:r>
      <w:r>
        <w:rPr>
          <w:rFonts w:ascii="Times New Roman" w:hAnsi="Times New Roman" w:cs="Times New Roman"/>
        </w:rPr>
        <w:t xml:space="preserve"> to complete that were granted within the public institutions only sample. This event study visualization utilized the Sun &amp; Abraham </w:t>
      </w:r>
      <w:r w:rsidRPr="00210BEB">
        <w:rPr>
          <w:rFonts w:ascii="Times New Roman" w:hAnsi="Times New Roman" w:cs="Times New Roman"/>
          <w:i/>
          <w:iCs/>
        </w:rPr>
        <w:t>eventstudyinteract</w:t>
      </w:r>
      <w:r>
        <w:rPr>
          <w:rFonts w:ascii="Times New Roman" w:hAnsi="Times New Roman" w:cs="Times New Roman"/>
        </w:rPr>
        <w:t xml:space="preserve"> command. Period zero indicates the year of promise program adoption and each period on the x-axis reflects a year. The y-axis reflects treatment effect on the treated group compared to the comparison group. </w:t>
      </w:r>
    </w:p>
    <w:p w14:paraId="1DB58315" w14:textId="77777777" w:rsidR="002417B6" w:rsidRDefault="002417B6" w:rsidP="008F0AA3">
      <w:pPr>
        <w:pStyle w:val="TableofFigs"/>
      </w:pPr>
    </w:p>
    <w:p w14:paraId="6A402396" w14:textId="04B0E366" w:rsidR="00D91D3C" w:rsidRPr="00496B68" w:rsidRDefault="00D91D3C" w:rsidP="002417B6">
      <w:pPr>
        <w:rPr>
          <w:rFonts w:ascii="Times New Roman" w:hAnsi="Times New Roman"/>
          <w:b/>
        </w:rPr>
      </w:pPr>
      <w:bookmarkStart w:id="92" w:name="_Toc179135806"/>
      <w:r>
        <w:br w:type="page"/>
      </w:r>
      <w:bookmarkEnd w:id="92"/>
    </w:p>
    <w:p w14:paraId="4FDE7697" w14:textId="2BFDAF09" w:rsidR="002417B6" w:rsidRDefault="0021277B" w:rsidP="002417B6">
      <w:pPr>
        <w:jc w:val="center"/>
        <w:rPr>
          <w:rFonts w:ascii="Times New Roman" w:hAnsi="Times New Roman" w:cs="Times New Roman"/>
          <w:b/>
          <w:bCs/>
        </w:rPr>
      </w:pPr>
      <w:r w:rsidRPr="0021277B">
        <w:rPr>
          <w:rFonts w:ascii="Times New Roman" w:hAnsi="Times New Roman" w:cs="Times New Roman"/>
          <w:b/>
          <w:bCs/>
          <w:noProof/>
        </w:rPr>
        <w:lastRenderedPageBreak/>
        <w:drawing>
          <wp:inline distT="0" distB="0" distL="0" distR="0" wp14:anchorId="7F4CCBE9" wp14:editId="2653811B">
            <wp:extent cx="5430783" cy="3949662"/>
            <wp:effectExtent l="0" t="0" r="5080" b="635"/>
            <wp:docPr id="1464199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99582" name=""/>
                    <pic:cNvPicPr/>
                  </pic:nvPicPr>
                  <pic:blipFill>
                    <a:blip r:embed="rId19"/>
                    <a:stretch>
                      <a:fillRect/>
                    </a:stretch>
                  </pic:blipFill>
                  <pic:spPr>
                    <a:xfrm>
                      <a:off x="0" y="0"/>
                      <a:ext cx="5517145" cy="4012470"/>
                    </a:xfrm>
                    <a:prstGeom prst="rect">
                      <a:avLst/>
                    </a:prstGeom>
                  </pic:spPr>
                </pic:pic>
              </a:graphicData>
            </a:graphic>
          </wp:inline>
        </w:drawing>
      </w:r>
    </w:p>
    <w:p w14:paraId="0638EA18" w14:textId="77777777" w:rsidR="00D91D3C" w:rsidRDefault="00D91D3C" w:rsidP="00D91D3C">
      <w:pPr>
        <w:jc w:val="center"/>
        <w:rPr>
          <w:rFonts w:ascii="Times New Roman" w:hAnsi="Times New Roman" w:cs="Times New Roman"/>
          <w:b/>
          <w:bCs/>
        </w:rPr>
      </w:pPr>
    </w:p>
    <w:p w14:paraId="74E9D1AA" w14:textId="77777777" w:rsidR="00496B68" w:rsidRPr="004C564E" w:rsidRDefault="00496B68" w:rsidP="00496B68">
      <w:pPr>
        <w:pStyle w:val="TableofFigs"/>
        <w:spacing w:line="240" w:lineRule="auto"/>
      </w:pPr>
      <w:bookmarkStart w:id="93" w:name="_Toc180144589"/>
      <w:r w:rsidRPr="004C564E">
        <w:t xml:space="preserve">Figure </w:t>
      </w:r>
      <w:r>
        <w:t>9</w:t>
      </w:r>
      <w:bookmarkEnd w:id="93"/>
    </w:p>
    <w:p w14:paraId="491D50C8" w14:textId="77777777" w:rsidR="00496B68" w:rsidRDefault="00496B68" w:rsidP="00496B68">
      <w:pPr>
        <w:rPr>
          <w:rFonts w:ascii="Times New Roman" w:hAnsi="Times New Roman" w:cs="Times New Roman"/>
          <w:i/>
          <w:iCs/>
        </w:rPr>
      </w:pPr>
      <w:r>
        <w:rPr>
          <w:rFonts w:ascii="Times New Roman" w:hAnsi="Times New Roman" w:cs="Times New Roman"/>
          <w:i/>
          <w:iCs/>
        </w:rPr>
        <w:t xml:space="preserve">STEM Visualization of Sun &amp; Abraham’s (2020) Trends for Public Institutions Only </w:t>
      </w:r>
    </w:p>
    <w:p w14:paraId="507941C1" w14:textId="4EAB34C3" w:rsidR="00D91D3C" w:rsidRPr="008536C7" w:rsidRDefault="00D91D3C" w:rsidP="007A2C64">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w:t>
      </w:r>
      <w:r w:rsidR="007A2C64">
        <w:rPr>
          <w:rFonts w:ascii="Times New Roman" w:hAnsi="Times New Roman" w:cs="Times New Roman"/>
        </w:rPr>
        <w:t xml:space="preserve">awards from </w:t>
      </w:r>
      <w:r w:rsidR="004911F8" w:rsidRPr="004911F8">
        <w:rPr>
          <w:rFonts w:ascii="Times New Roman" w:hAnsi="Times New Roman" w:cs="Times New Roman"/>
        </w:rPr>
        <w:t xml:space="preserve">sub-baccalaureate </w:t>
      </w:r>
      <w:r w:rsidR="007A2C64">
        <w:rPr>
          <w:rFonts w:ascii="Times New Roman" w:hAnsi="Times New Roman" w:cs="Times New Roman"/>
        </w:rPr>
        <w:t xml:space="preserve">STEM programs </w:t>
      </w:r>
      <w:r>
        <w:rPr>
          <w:rFonts w:ascii="Times New Roman" w:hAnsi="Times New Roman" w:cs="Times New Roman"/>
        </w:rPr>
        <w:t xml:space="preserve">that were granted within the public institutions only sample. This event study visualization utilized the Sun &amp; Abraham </w:t>
      </w:r>
      <w:r w:rsidRPr="00210BEB">
        <w:rPr>
          <w:rFonts w:ascii="Times New Roman" w:hAnsi="Times New Roman" w:cs="Times New Roman"/>
          <w:i/>
          <w:iCs/>
        </w:rPr>
        <w:t>eventstudyinteract</w:t>
      </w:r>
      <w:r>
        <w:rPr>
          <w:rFonts w:ascii="Times New Roman" w:hAnsi="Times New Roman" w:cs="Times New Roman"/>
        </w:rPr>
        <w:t xml:space="preserve"> command. Period zero indicates the year of promise program adoption and each period on the x-axis reflects a year. The y-axis reflects treatment effect on the treated group compared to the comparison group. </w:t>
      </w:r>
      <w:r w:rsidR="007A2C64">
        <w:rPr>
          <w:rFonts w:ascii="Times New Roman" w:hAnsi="Times New Roman" w:cs="Times New Roman"/>
        </w:rPr>
        <w:t xml:space="preserve">STEM programs include the following programs from the 2-digit CIP designations: </w:t>
      </w:r>
      <w:r w:rsidR="007A2C64" w:rsidRPr="007A2C64">
        <w:rPr>
          <w:rFonts w:ascii="Times New Roman" w:hAnsi="Times New Roman" w:cs="Times New Roman"/>
        </w:rPr>
        <w:t>Agriculture, Agriculture Operations, and Related Sciences</w:t>
      </w:r>
      <w:r w:rsidR="007A2C64">
        <w:rPr>
          <w:rFonts w:ascii="Times New Roman" w:hAnsi="Times New Roman" w:cs="Times New Roman"/>
        </w:rPr>
        <w:t xml:space="preserve">, </w:t>
      </w:r>
      <w:r w:rsidR="007A2C64" w:rsidRPr="007A2C64">
        <w:rPr>
          <w:rFonts w:ascii="Times New Roman" w:hAnsi="Times New Roman" w:cs="Times New Roman"/>
        </w:rPr>
        <w:t>Natural Resources and Conservation</w:t>
      </w:r>
      <w:r w:rsidR="007A2C64">
        <w:rPr>
          <w:rFonts w:ascii="Times New Roman" w:hAnsi="Times New Roman" w:cs="Times New Roman"/>
        </w:rPr>
        <w:t xml:space="preserve">, </w:t>
      </w:r>
      <w:r w:rsidR="007A2C64" w:rsidRPr="007A2C64">
        <w:rPr>
          <w:rFonts w:ascii="Times New Roman" w:hAnsi="Times New Roman" w:cs="Times New Roman"/>
        </w:rPr>
        <w:t>Computer and Information Sciences and Support Services</w:t>
      </w:r>
      <w:r w:rsidR="007A2C64">
        <w:rPr>
          <w:rFonts w:ascii="Times New Roman" w:hAnsi="Times New Roman" w:cs="Times New Roman"/>
        </w:rPr>
        <w:t xml:space="preserve">, </w:t>
      </w:r>
      <w:r w:rsidR="007A2C64" w:rsidRPr="007A2C64">
        <w:rPr>
          <w:rFonts w:ascii="Times New Roman" w:hAnsi="Times New Roman" w:cs="Times New Roman"/>
        </w:rPr>
        <w:t>Engineering</w:t>
      </w:r>
      <w:r w:rsidR="007A2C64">
        <w:rPr>
          <w:rFonts w:ascii="Times New Roman" w:hAnsi="Times New Roman" w:cs="Times New Roman"/>
        </w:rPr>
        <w:t xml:space="preserve">, </w:t>
      </w:r>
      <w:r w:rsidR="007A2C64" w:rsidRPr="007A2C64">
        <w:rPr>
          <w:rFonts w:ascii="Times New Roman" w:hAnsi="Times New Roman" w:cs="Times New Roman"/>
        </w:rPr>
        <w:t>Engineering  Technologies/Technicians</w:t>
      </w:r>
      <w:r w:rsidR="007A2C64">
        <w:rPr>
          <w:rFonts w:ascii="Times New Roman" w:hAnsi="Times New Roman" w:cs="Times New Roman"/>
        </w:rPr>
        <w:t xml:space="preserve">, </w:t>
      </w:r>
      <w:r w:rsidR="007A2C64" w:rsidRPr="007A2C64">
        <w:rPr>
          <w:rFonts w:ascii="Times New Roman" w:hAnsi="Times New Roman" w:cs="Times New Roman"/>
        </w:rPr>
        <w:t>Biological and Biomedical Sciences</w:t>
      </w:r>
      <w:r w:rsidR="007A2C64">
        <w:rPr>
          <w:rFonts w:ascii="Times New Roman" w:hAnsi="Times New Roman" w:cs="Times New Roman"/>
        </w:rPr>
        <w:t xml:space="preserve">, </w:t>
      </w:r>
      <w:r w:rsidR="007A2C64" w:rsidRPr="007A2C64">
        <w:rPr>
          <w:rFonts w:ascii="Times New Roman" w:hAnsi="Times New Roman" w:cs="Times New Roman"/>
        </w:rPr>
        <w:t>Mathematics and Statistics</w:t>
      </w:r>
      <w:r w:rsidR="007A2C64">
        <w:rPr>
          <w:rFonts w:ascii="Times New Roman" w:hAnsi="Times New Roman" w:cs="Times New Roman"/>
        </w:rPr>
        <w:t xml:space="preserve">, </w:t>
      </w:r>
      <w:r w:rsidR="007A2C64" w:rsidRPr="007A2C64">
        <w:rPr>
          <w:rFonts w:ascii="Times New Roman" w:hAnsi="Times New Roman" w:cs="Times New Roman"/>
        </w:rPr>
        <w:t>Physical Sciences</w:t>
      </w:r>
      <w:r w:rsidR="007A2C64">
        <w:rPr>
          <w:rFonts w:ascii="Times New Roman" w:hAnsi="Times New Roman" w:cs="Times New Roman"/>
        </w:rPr>
        <w:t xml:space="preserve">, and </w:t>
      </w:r>
      <w:r w:rsidR="007A2C64" w:rsidRPr="007A2C64">
        <w:rPr>
          <w:rFonts w:ascii="Times New Roman" w:hAnsi="Times New Roman" w:cs="Times New Roman"/>
        </w:rPr>
        <w:t>Science Technologies/Technicians</w:t>
      </w:r>
      <w:r w:rsidR="007A2C64">
        <w:rPr>
          <w:rFonts w:ascii="Times New Roman" w:hAnsi="Times New Roman" w:cs="Times New Roman"/>
        </w:rPr>
        <w:t>.</w:t>
      </w:r>
    </w:p>
    <w:p w14:paraId="4F1C280A" w14:textId="77777777" w:rsidR="00D91D3C" w:rsidRDefault="00D91D3C" w:rsidP="002417B6">
      <w:pPr>
        <w:jc w:val="center"/>
        <w:rPr>
          <w:rFonts w:ascii="Times New Roman" w:hAnsi="Times New Roman" w:cs="Times New Roman"/>
          <w:b/>
          <w:bCs/>
        </w:rPr>
      </w:pPr>
    </w:p>
    <w:p w14:paraId="24785C71" w14:textId="77777777" w:rsidR="002417B6" w:rsidRDefault="002417B6" w:rsidP="002417B6">
      <w:pPr>
        <w:spacing w:line="480" w:lineRule="auto"/>
        <w:rPr>
          <w:rFonts w:ascii="Times New Roman" w:hAnsi="Times New Roman" w:cs="Times New Roman"/>
          <w:b/>
          <w:bCs/>
        </w:rPr>
      </w:pPr>
    </w:p>
    <w:p w14:paraId="0399E1B5" w14:textId="3756B49C" w:rsidR="007A2C64" w:rsidRPr="00496B68" w:rsidRDefault="00351B76" w:rsidP="002417B6">
      <w:pPr>
        <w:rPr>
          <w:rFonts w:ascii="Times New Roman" w:hAnsi="Times New Roman"/>
          <w:b/>
        </w:rPr>
      </w:pPr>
      <w:bookmarkStart w:id="94" w:name="_Toc179135807"/>
      <w:r>
        <w:br w:type="page"/>
      </w:r>
      <w:bookmarkEnd w:id="94"/>
    </w:p>
    <w:p w14:paraId="296FB137" w14:textId="3E30C55C" w:rsidR="002417B6" w:rsidRDefault="0021277B" w:rsidP="002417B6">
      <w:pPr>
        <w:jc w:val="center"/>
        <w:rPr>
          <w:rFonts w:ascii="Times New Roman" w:hAnsi="Times New Roman" w:cs="Times New Roman"/>
          <w:b/>
          <w:bCs/>
        </w:rPr>
      </w:pPr>
      <w:r w:rsidRPr="0021277B">
        <w:rPr>
          <w:rFonts w:ascii="Times New Roman" w:hAnsi="Times New Roman" w:cs="Times New Roman"/>
          <w:b/>
          <w:bCs/>
          <w:noProof/>
        </w:rPr>
        <w:lastRenderedPageBreak/>
        <w:drawing>
          <wp:inline distT="0" distB="0" distL="0" distR="0" wp14:anchorId="6E2FA13C" wp14:editId="3847EE67">
            <wp:extent cx="5448300" cy="3962400"/>
            <wp:effectExtent l="0" t="0" r="0" b="0"/>
            <wp:docPr id="684154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154388" name=""/>
                    <pic:cNvPicPr/>
                  </pic:nvPicPr>
                  <pic:blipFill>
                    <a:blip r:embed="rId20"/>
                    <a:stretch>
                      <a:fillRect/>
                    </a:stretch>
                  </pic:blipFill>
                  <pic:spPr>
                    <a:xfrm>
                      <a:off x="0" y="0"/>
                      <a:ext cx="5532003" cy="4023275"/>
                    </a:xfrm>
                    <a:prstGeom prst="rect">
                      <a:avLst/>
                    </a:prstGeom>
                  </pic:spPr>
                </pic:pic>
              </a:graphicData>
            </a:graphic>
          </wp:inline>
        </w:drawing>
      </w:r>
    </w:p>
    <w:p w14:paraId="7E8A1DBF" w14:textId="77777777" w:rsidR="007A2C64" w:rsidRDefault="007A2C64" w:rsidP="007A2C64">
      <w:pPr>
        <w:jc w:val="center"/>
        <w:rPr>
          <w:rFonts w:ascii="Times New Roman" w:hAnsi="Times New Roman" w:cs="Times New Roman"/>
          <w:b/>
          <w:bCs/>
        </w:rPr>
      </w:pPr>
    </w:p>
    <w:p w14:paraId="208A853B" w14:textId="77777777" w:rsidR="00496B68" w:rsidRPr="004C564E" w:rsidRDefault="00496B68" w:rsidP="00496B68">
      <w:pPr>
        <w:pStyle w:val="TableofFigs"/>
        <w:spacing w:line="240" w:lineRule="auto"/>
      </w:pPr>
      <w:bookmarkStart w:id="95" w:name="_Toc180144590"/>
      <w:r w:rsidRPr="004C564E">
        <w:t xml:space="preserve">Figure </w:t>
      </w:r>
      <w:r>
        <w:t>10</w:t>
      </w:r>
      <w:bookmarkEnd w:id="95"/>
    </w:p>
    <w:p w14:paraId="7D25E5CC" w14:textId="77777777" w:rsidR="00496B68" w:rsidRDefault="00496B68" w:rsidP="00496B68">
      <w:pPr>
        <w:rPr>
          <w:rFonts w:ascii="Times New Roman" w:hAnsi="Times New Roman" w:cs="Times New Roman"/>
          <w:i/>
          <w:iCs/>
        </w:rPr>
      </w:pPr>
      <w:r>
        <w:rPr>
          <w:rFonts w:ascii="Times New Roman" w:hAnsi="Times New Roman" w:cs="Times New Roman"/>
          <w:i/>
          <w:iCs/>
        </w:rPr>
        <w:t xml:space="preserve">Trades Visualization of Sun &amp; Abraham’s (2020) Trends for Public Institutions Only </w:t>
      </w:r>
    </w:p>
    <w:p w14:paraId="13A431A9" w14:textId="559BCFB1" w:rsidR="007A2C64" w:rsidRPr="008536C7" w:rsidRDefault="007A2C64" w:rsidP="00390080">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awards from </w:t>
      </w:r>
      <w:r w:rsidR="004911F8" w:rsidRPr="004911F8">
        <w:rPr>
          <w:rFonts w:ascii="Times New Roman" w:hAnsi="Times New Roman" w:cs="Times New Roman"/>
        </w:rPr>
        <w:t xml:space="preserve">sub-baccalaureate </w:t>
      </w:r>
      <w:r>
        <w:rPr>
          <w:rFonts w:ascii="Times New Roman" w:hAnsi="Times New Roman" w:cs="Times New Roman"/>
        </w:rPr>
        <w:t xml:space="preserve">trades programs that were granted within the public institutions only sample. This event study visualization utilized the Sun &amp; Abraham </w:t>
      </w:r>
      <w:r w:rsidRPr="00210BEB">
        <w:rPr>
          <w:rFonts w:ascii="Times New Roman" w:hAnsi="Times New Roman" w:cs="Times New Roman"/>
          <w:i/>
          <w:iCs/>
        </w:rPr>
        <w:t>eventstudyinteract</w:t>
      </w:r>
      <w:r>
        <w:rPr>
          <w:rFonts w:ascii="Times New Roman" w:hAnsi="Times New Roman" w:cs="Times New Roman"/>
        </w:rPr>
        <w:t xml:space="preserve"> command. Period zero indicates the year of promise program adoption and each period on the x-axis reflects a year. The y-axis reflects treatment effect on the treated group compared to the comparison group. Trades programs include the following programs from the 2-digit CIP designations:</w:t>
      </w:r>
      <w:r w:rsidR="00390080">
        <w:rPr>
          <w:rFonts w:ascii="Times New Roman" w:hAnsi="Times New Roman" w:cs="Times New Roman"/>
        </w:rPr>
        <w:t xml:space="preserve"> </w:t>
      </w:r>
      <w:r w:rsidR="00390080" w:rsidRPr="00390080">
        <w:rPr>
          <w:rFonts w:ascii="Times New Roman" w:hAnsi="Times New Roman" w:cs="Times New Roman"/>
        </w:rPr>
        <w:t>Construction Trades</w:t>
      </w:r>
      <w:r w:rsidR="00390080">
        <w:rPr>
          <w:rFonts w:ascii="Times New Roman" w:hAnsi="Times New Roman" w:cs="Times New Roman"/>
        </w:rPr>
        <w:t xml:space="preserve">, </w:t>
      </w:r>
      <w:r w:rsidR="00390080" w:rsidRPr="00390080">
        <w:rPr>
          <w:rFonts w:ascii="Times New Roman" w:hAnsi="Times New Roman" w:cs="Times New Roman"/>
        </w:rPr>
        <w:t>Mechanic and Repair Technologies/Technicians</w:t>
      </w:r>
      <w:r w:rsidR="00390080">
        <w:rPr>
          <w:rFonts w:ascii="Times New Roman" w:hAnsi="Times New Roman" w:cs="Times New Roman"/>
        </w:rPr>
        <w:t xml:space="preserve">, </w:t>
      </w:r>
      <w:r w:rsidR="00390080" w:rsidRPr="00390080">
        <w:rPr>
          <w:rFonts w:ascii="Times New Roman" w:hAnsi="Times New Roman" w:cs="Times New Roman"/>
        </w:rPr>
        <w:t>Precision Production</w:t>
      </w:r>
      <w:r w:rsidR="00390080">
        <w:rPr>
          <w:rFonts w:ascii="Times New Roman" w:hAnsi="Times New Roman" w:cs="Times New Roman"/>
        </w:rPr>
        <w:t xml:space="preserve">, and </w:t>
      </w:r>
      <w:r w:rsidR="00390080" w:rsidRPr="00390080">
        <w:rPr>
          <w:rFonts w:ascii="Times New Roman" w:hAnsi="Times New Roman" w:cs="Times New Roman"/>
        </w:rPr>
        <w:t>Transportation and Materials Moving</w:t>
      </w:r>
      <w:r>
        <w:rPr>
          <w:rFonts w:ascii="Times New Roman" w:hAnsi="Times New Roman" w:cs="Times New Roman"/>
        </w:rPr>
        <w:t>.</w:t>
      </w:r>
    </w:p>
    <w:p w14:paraId="2CF999B2" w14:textId="77777777" w:rsidR="007A2C64" w:rsidRDefault="007A2C64" w:rsidP="002417B6">
      <w:pPr>
        <w:jc w:val="center"/>
        <w:rPr>
          <w:rFonts w:ascii="Times New Roman" w:hAnsi="Times New Roman" w:cs="Times New Roman"/>
          <w:b/>
          <w:bCs/>
        </w:rPr>
      </w:pPr>
    </w:p>
    <w:p w14:paraId="3CEE6679" w14:textId="77777777" w:rsidR="002417B6" w:rsidRDefault="002417B6" w:rsidP="002417B6">
      <w:pPr>
        <w:jc w:val="center"/>
        <w:rPr>
          <w:rFonts w:ascii="Times New Roman" w:hAnsi="Times New Roman" w:cs="Times New Roman"/>
          <w:b/>
          <w:bCs/>
        </w:rPr>
      </w:pPr>
    </w:p>
    <w:p w14:paraId="0D64DC9B" w14:textId="005C4030" w:rsidR="00390080" w:rsidRPr="00496B68" w:rsidRDefault="00390080" w:rsidP="002417B6">
      <w:pPr>
        <w:rPr>
          <w:rFonts w:ascii="Times New Roman" w:hAnsi="Times New Roman"/>
          <w:b/>
        </w:rPr>
      </w:pPr>
      <w:bookmarkStart w:id="96" w:name="_Toc179135808"/>
      <w:r>
        <w:br w:type="page"/>
      </w:r>
      <w:bookmarkEnd w:id="96"/>
    </w:p>
    <w:p w14:paraId="3DAF2499" w14:textId="70103322" w:rsidR="002417B6" w:rsidRDefault="006E3CF1" w:rsidP="002417B6">
      <w:pPr>
        <w:jc w:val="center"/>
        <w:rPr>
          <w:rFonts w:ascii="Times New Roman" w:hAnsi="Times New Roman" w:cs="Times New Roman"/>
          <w:b/>
          <w:bCs/>
        </w:rPr>
      </w:pPr>
      <w:r w:rsidRPr="006E3CF1">
        <w:rPr>
          <w:rFonts w:ascii="Times New Roman" w:hAnsi="Times New Roman" w:cs="Times New Roman"/>
          <w:b/>
          <w:bCs/>
          <w:noProof/>
        </w:rPr>
        <w:lastRenderedPageBreak/>
        <w:drawing>
          <wp:inline distT="0" distB="0" distL="0" distR="0" wp14:anchorId="2711D03D" wp14:editId="3F0AC802">
            <wp:extent cx="5459942" cy="3970867"/>
            <wp:effectExtent l="0" t="0" r="1270" b="4445"/>
            <wp:docPr id="989715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15849" name=""/>
                    <pic:cNvPicPr/>
                  </pic:nvPicPr>
                  <pic:blipFill>
                    <a:blip r:embed="rId21"/>
                    <a:stretch>
                      <a:fillRect/>
                    </a:stretch>
                  </pic:blipFill>
                  <pic:spPr>
                    <a:xfrm>
                      <a:off x="0" y="0"/>
                      <a:ext cx="5527893" cy="4020286"/>
                    </a:xfrm>
                    <a:prstGeom prst="rect">
                      <a:avLst/>
                    </a:prstGeom>
                  </pic:spPr>
                </pic:pic>
              </a:graphicData>
            </a:graphic>
          </wp:inline>
        </w:drawing>
      </w:r>
    </w:p>
    <w:p w14:paraId="69330EF0" w14:textId="77777777" w:rsidR="00390080" w:rsidRDefault="00390080" w:rsidP="002417B6">
      <w:pPr>
        <w:jc w:val="center"/>
        <w:rPr>
          <w:rFonts w:ascii="Times New Roman" w:hAnsi="Times New Roman" w:cs="Times New Roman"/>
          <w:b/>
          <w:bCs/>
        </w:rPr>
      </w:pPr>
    </w:p>
    <w:p w14:paraId="52943E36" w14:textId="77777777" w:rsidR="00496B68" w:rsidRPr="004C564E" w:rsidRDefault="00496B68" w:rsidP="00496B68">
      <w:pPr>
        <w:pStyle w:val="TableofFigs"/>
        <w:spacing w:line="240" w:lineRule="auto"/>
      </w:pPr>
      <w:bookmarkStart w:id="97" w:name="_Toc180144591"/>
      <w:r w:rsidRPr="004C564E">
        <w:t xml:space="preserve">Figure </w:t>
      </w:r>
      <w:r>
        <w:t>11</w:t>
      </w:r>
      <w:bookmarkEnd w:id="97"/>
    </w:p>
    <w:p w14:paraId="1C237A28" w14:textId="77777777" w:rsidR="00496B68" w:rsidRDefault="00496B68" w:rsidP="00496B68">
      <w:pPr>
        <w:rPr>
          <w:rFonts w:ascii="Times New Roman" w:hAnsi="Times New Roman" w:cs="Times New Roman"/>
          <w:i/>
          <w:iCs/>
        </w:rPr>
      </w:pPr>
      <w:r>
        <w:rPr>
          <w:rFonts w:ascii="Times New Roman" w:hAnsi="Times New Roman" w:cs="Times New Roman"/>
          <w:i/>
          <w:iCs/>
        </w:rPr>
        <w:t xml:space="preserve">Human Services Visualization of Sun &amp; Abraham’s (2020) Trends for Public Institutions Only </w:t>
      </w:r>
    </w:p>
    <w:p w14:paraId="5489B7F0" w14:textId="32F12E43" w:rsidR="00A5060E" w:rsidRPr="008536C7" w:rsidRDefault="00390080" w:rsidP="00027769">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w:t>
      </w:r>
      <w:r w:rsidR="004911F8" w:rsidRPr="004911F8">
        <w:rPr>
          <w:rFonts w:ascii="Times New Roman" w:hAnsi="Times New Roman" w:cs="Times New Roman"/>
        </w:rPr>
        <w:t xml:space="preserve">sub-baccalaureate </w:t>
      </w:r>
      <w:r>
        <w:rPr>
          <w:rFonts w:ascii="Times New Roman" w:hAnsi="Times New Roman" w:cs="Times New Roman"/>
        </w:rPr>
        <w:t xml:space="preserve">awards from human services programs that were granted within the public institutions only sample. This event study visualization utilized the Sun &amp; Abraham </w:t>
      </w:r>
      <w:r w:rsidRPr="00210BEB">
        <w:rPr>
          <w:rFonts w:ascii="Times New Roman" w:hAnsi="Times New Roman" w:cs="Times New Roman"/>
          <w:i/>
          <w:iCs/>
        </w:rPr>
        <w:t>eventstudyinteract</w:t>
      </w:r>
      <w:r>
        <w:rPr>
          <w:rFonts w:ascii="Times New Roman" w:hAnsi="Times New Roman" w:cs="Times New Roman"/>
        </w:rPr>
        <w:t xml:space="preserve"> command. Period zero indicates the year of promise program adoption and each period on the x-axis reflects a year. The y-axis reflects treatment effect on the treated group compared to the comparison group. </w:t>
      </w:r>
      <w:r w:rsidR="00A5060E">
        <w:rPr>
          <w:rFonts w:ascii="Times New Roman" w:hAnsi="Times New Roman" w:cs="Times New Roman"/>
        </w:rPr>
        <w:t>Human services</w:t>
      </w:r>
      <w:r>
        <w:rPr>
          <w:rFonts w:ascii="Times New Roman" w:hAnsi="Times New Roman" w:cs="Times New Roman"/>
        </w:rPr>
        <w:t xml:space="preserve"> programs include the following programs from the 2-digit CIP designations: </w:t>
      </w:r>
      <w:r w:rsidR="00027769" w:rsidRPr="00027769">
        <w:rPr>
          <w:rFonts w:ascii="Times New Roman" w:hAnsi="Times New Roman" w:cs="Times New Roman"/>
        </w:rPr>
        <w:t>Personal and Culinary Services</w:t>
      </w:r>
      <w:r w:rsidR="00027769">
        <w:rPr>
          <w:rFonts w:ascii="Times New Roman" w:hAnsi="Times New Roman" w:cs="Times New Roman"/>
        </w:rPr>
        <w:t xml:space="preserve">, </w:t>
      </w:r>
      <w:r w:rsidR="00027769" w:rsidRPr="00027769">
        <w:rPr>
          <w:rFonts w:ascii="Times New Roman" w:hAnsi="Times New Roman" w:cs="Times New Roman"/>
        </w:rPr>
        <w:t>Family and Consumer Sciences/Human Sciences</w:t>
      </w:r>
      <w:r w:rsidR="00027769">
        <w:rPr>
          <w:rFonts w:ascii="Times New Roman" w:hAnsi="Times New Roman" w:cs="Times New Roman"/>
        </w:rPr>
        <w:t xml:space="preserve">, </w:t>
      </w:r>
      <w:r w:rsidR="00027769" w:rsidRPr="00027769">
        <w:rPr>
          <w:rFonts w:ascii="Times New Roman" w:hAnsi="Times New Roman" w:cs="Times New Roman"/>
        </w:rPr>
        <w:t>Parks, Recreation, Leisure, and Fitness Studies</w:t>
      </w:r>
      <w:r w:rsidR="00027769">
        <w:rPr>
          <w:rFonts w:ascii="Times New Roman" w:hAnsi="Times New Roman" w:cs="Times New Roman"/>
        </w:rPr>
        <w:t xml:space="preserve">, </w:t>
      </w:r>
      <w:r w:rsidR="00027769" w:rsidRPr="00027769">
        <w:rPr>
          <w:rFonts w:ascii="Times New Roman" w:hAnsi="Times New Roman" w:cs="Times New Roman"/>
        </w:rPr>
        <w:t>Basic Skills</w:t>
      </w:r>
      <w:r w:rsidR="00027769">
        <w:rPr>
          <w:rFonts w:ascii="Times New Roman" w:hAnsi="Times New Roman" w:cs="Times New Roman"/>
        </w:rPr>
        <w:t xml:space="preserve">, </w:t>
      </w:r>
      <w:r w:rsidR="00027769" w:rsidRPr="00027769">
        <w:rPr>
          <w:rFonts w:ascii="Times New Roman" w:hAnsi="Times New Roman" w:cs="Times New Roman"/>
        </w:rPr>
        <w:t>Citizenship Activities</w:t>
      </w:r>
      <w:r w:rsidR="00027769">
        <w:rPr>
          <w:rFonts w:ascii="Times New Roman" w:hAnsi="Times New Roman" w:cs="Times New Roman"/>
        </w:rPr>
        <w:t xml:space="preserve">, </w:t>
      </w:r>
      <w:r w:rsidR="00027769" w:rsidRPr="00027769">
        <w:rPr>
          <w:rFonts w:ascii="Times New Roman" w:hAnsi="Times New Roman" w:cs="Times New Roman"/>
        </w:rPr>
        <w:t xml:space="preserve">Health-Related Knowledge </w:t>
      </w:r>
      <w:r w:rsidR="004B7D16" w:rsidRPr="00027769">
        <w:rPr>
          <w:rFonts w:ascii="Times New Roman" w:hAnsi="Times New Roman" w:cs="Times New Roman"/>
        </w:rPr>
        <w:t>and</w:t>
      </w:r>
      <w:r w:rsidR="00027769" w:rsidRPr="00027769">
        <w:rPr>
          <w:rFonts w:ascii="Times New Roman" w:hAnsi="Times New Roman" w:cs="Times New Roman"/>
        </w:rPr>
        <w:t xml:space="preserve"> Skills</w:t>
      </w:r>
      <w:r w:rsidR="00027769">
        <w:rPr>
          <w:rFonts w:ascii="Times New Roman" w:hAnsi="Times New Roman" w:cs="Times New Roman"/>
        </w:rPr>
        <w:t xml:space="preserve">, </w:t>
      </w:r>
      <w:r w:rsidR="00027769" w:rsidRPr="00027769">
        <w:rPr>
          <w:rFonts w:ascii="Times New Roman" w:hAnsi="Times New Roman" w:cs="Times New Roman"/>
        </w:rPr>
        <w:t>Interpersonal and Social Skills</w:t>
      </w:r>
      <w:r w:rsidR="00027769">
        <w:rPr>
          <w:rFonts w:ascii="Times New Roman" w:hAnsi="Times New Roman" w:cs="Times New Roman"/>
        </w:rPr>
        <w:t xml:space="preserve">, </w:t>
      </w:r>
      <w:r w:rsidR="00027769" w:rsidRPr="00027769">
        <w:rPr>
          <w:rFonts w:ascii="Times New Roman" w:hAnsi="Times New Roman" w:cs="Times New Roman"/>
        </w:rPr>
        <w:t>Leisure and Recreational Activities</w:t>
      </w:r>
      <w:r w:rsidR="00027769">
        <w:rPr>
          <w:rFonts w:ascii="Times New Roman" w:hAnsi="Times New Roman" w:cs="Times New Roman"/>
        </w:rPr>
        <w:t xml:space="preserve">, </w:t>
      </w:r>
      <w:r w:rsidR="00027769" w:rsidRPr="00027769">
        <w:rPr>
          <w:rFonts w:ascii="Times New Roman" w:hAnsi="Times New Roman" w:cs="Times New Roman"/>
        </w:rPr>
        <w:t>Personal Awareness and Self Improvement</w:t>
      </w:r>
      <w:r w:rsidR="00027769">
        <w:rPr>
          <w:rFonts w:ascii="Times New Roman" w:hAnsi="Times New Roman" w:cs="Times New Roman"/>
        </w:rPr>
        <w:t xml:space="preserve">, and </w:t>
      </w:r>
      <w:r w:rsidR="00027769" w:rsidRPr="00027769">
        <w:rPr>
          <w:rFonts w:ascii="Times New Roman" w:hAnsi="Times New Roman" w:cs="Times New Roman"/>
        </w:rPr>
        <w:t>High School/Secondary Diplomas and Certificates</w:t>
      </w:r>
      <w:r w:rsidR="00027769">
        <w:rPr>
          <w:rFonts w:ascii="Times New Roman" w:hAnsi="Times New Roman" w:cs="Times New Roman"/>
        </w:rPr>
        <w:t>.</w:t>
      </w:r>
    </w:p>
    <w:p w14:paraId="7D3DBB06" w14:textId="77777777" w:rsidR="00390080" w:rsidRDefault="00390080" w:rsidP="002417B6">
      <w:pPr>
        <w:jc w:val="center"/>
        <w:rPr>
          <w:rFonts w:ascii="Times New Roman" w:hAnsi="Times New Roman" w:cs="Times New Roman"/>
          <w:b/>
          <w:bCs/>
        </w:rPr>
      </w:pPr>
    </w:p>
    <w:p w14:paraId="1A8168F6" w14:textId="567C616A" w:rsidR="00AF2921" w:rsidRDefault="00AF2921" w:rsidP="001C649A">
      <w:pPr>
        <w:spacing w:line="480" w:lineRule="auto"/>
        <w:rPr>
          <w:rFonts w:ascii="Times New Roman" w:hAnsi="Times New Roman" w:cs="Times New Roman"/>
        </w:rPr>
      </w:pPr>
    </w:p>
    <w:p w14:paraId="08109CCE" w14:textId="77777777" w:rsidR="00496B68" w:rsidRDefault="00496B68" w:rsidP="007E2BAA">
      <w:pPr>
        <w:spacing w:line="480" w:lineRule="auto"/>
        <w:ind w:firstLine="720"/>
        <w:rPr>
          <w:rFonts w:ascii="Times New Roman" w:hAnsi="Times New Roman" w:cs="Times New Roman"/>
          <w:b/>
          <w:bCs/>
        </w:rPr>
      </w:pPr>
    </w:p>
    <w:p w14:paraId="4D954D1A" w14:textId="0B5E8887" w:rsidR="00027769" w:rsidRPr="00496B68" w:rsidRDefault="00AF2921" w:rsidP="00496B68">
      <w:pPr>
        <w:spacing w:line="480" w:lineRule="auto"/>
        <w:ind w:firstLine="720"/>
        <w:rPr>
          <w:rFonts w:ascii="Times New Roman" w:hAnsi="Times New Roman" w:cs="Times New Roman"/>
        </w:rPr>
      </w:pPr>
      <w:r>
        <w:rPr>
          <w:rFonts w:ascii="Times New Roman" w:hAnsi="Times New Roman" w:cs="Times New Roman"/>
          <w:b/>
          <w:bCs/>
        </w:rPr>
        <w:t xml:space="preserve"> </w:t>
      </w:r>
    </w:p>
    <w:p w14:paraId="7BDD269C" w14:textId="1FFFD832" w:rsidR="00E87069" w:rsidRDefault="00495792" w:rsidP="00E87069">
      <w:pPr>
        <w:jc w:val="center"/>
        <w:rPr>
          <w:rFonts w:ascii="Times New Roman" w:hAnsi="Times New Roman" w:cs="Times New Roman"/>
          <w:b/>
          <w:bCs/>
        </w:rPr>
      </w:pPr>
      <w:r w:rsidRPr="00495792">
        <w:rPr>
          <w:rFonts w:ascii="Times New Roman" w:hAnsi="Times New Roman" w:cs="Times New Roman"/>
          <w:b/>
          <w:bCs/>
          <w:noProof/>
        </w:rPr>
        <w:lastRenderedPageBreak/>
        <w:drawing>
          <wp:inline distT="0" distB="0" distL="0" distR="0" wp14:anchorId="355B1922" wp14:editId="71F967D0">
            <wp:extent cx="5401733" cy="3928533"/>
            <wp:effectExtent l="0" t="0" r="0" b="0"/>
            <wp:docPr id="61476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63968" name=""/>
                    <pic:cNvPicPr/>
                  </pic:nvPicPr>
                  <pic:blipFill>
                    <a:blip r:embed="rId22"/>
                    <a:stretch>
                      <a:fillRect/>
                    </a:stretch>
                  </pic:blipFill>
                  <pic:spPr>
                    <a:xfrm>
                      <a:off x="0" y="0"/>
                      <a:ext cx="5502479" cy="4001803"/>
                    </a:xfrm>
                    <a:prstGeom prst="rect">
                      <a:avLst/>
                    </a:prstGeom>
                  </pic:spPr>
                </pic:pic>
              </a:graphicData>
            </a:graphic>
          </wp:inline>
        </w:drawing>
      </w:r>
    </w:p>
    <w:p w14:paraId="6E1F3803" w14:textId="77777777" w:rsidR="00E87069" w:rsidRDefault="00E87069" w:rsidP="00B06ECA">
      <w:pPr>
        <w:rPr>
          <w:rFonts w:ascii="Times New Roman" w:hAnsi="Times New Roman" w:cs="Times New Roman"/>
          <w:b/>
          <w:bCs/>
        </w:rPr>
      </w:pPr>
    </w:p>
    <w:p w14:paraId="1C3B345B" w14:textId="77777777" w:rsidR="00496B68" w:rsidRPr="004C564E" w:rsidRDefault="00496B68" w:rsidP="00496B68">
      <w:pPr>
        <w:pStyle w:val="TableofFigs"/>
        <w:spacing w:line="240" w:lineRule="auto"/>
      </w:pPr>
      <w:bookmarkStart w:id="98" w:name="_Toc179135809"/>
      <w:bookmarkStart w:id="99" w:name="_Toc180144592"/>
      <w:r w:rsidRPr="004C564E">
        <w:t xml:space="preserve">Figure </w:t>
      </w:r>
      <w:r>
        <w:t>12</w:t>
      </w:r>
      <w:bookmarkEnd w:id="98"/>
      <w:bookmarkEnd w:id="99"/>
    </w:p>
    <w:p w14:paraId="26544EC4" w14:textId="77777777" w:rsidR="00496B68" w:rsidRDefault="00496B68" w:rsidP="00496B68">
      <w:pPr>
        <w:rPr>
          <w:rFonts w:ascii="Times New Roman" w:hAnsi="Times New Roman" w:cs="Times New Roman"/>
          <w:i/>
          <w:iCs/>
        </w:rPr>
      </w:pPr>
      <w:r>
        <w:rPr>
          <w:rFonts w:ascii="Times New Roman" w:hAnsi="Times New Roman" w:cs="Times New Roman"/>
          <w:i/>
          <w:iCs/>
        </w:rPr>
        <w:t xml:space="preserve">One-to-Two Year Credentials Visualization of Sun &amp; Abraham’s (2020) Trends for Public Institutions Only </w:t>
      </w:r>
    </w:p>
    <w:p w14:paraId="183416D7" w14:textId="77777777" w:rsidR="00EF2C5C" w:rsidRPr="008536C7" w:rsidRDefault="00EF2C5C" w:rsidP="00EF2C5C">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credential awards that take between one and two years to complete that were granted within the public institutions only sample. This event study visualization utilized the Sun &amp; Abraham </w:t>
      </w:r>
      <w:r w:rsidRPr="00210BEB">
        <w:rPr>
          <w:rFonts w:ascii="Times New Roman" w:hAnsi="Times New Roman" w:cs="Times New Roman"/>
          <w:i/>
          <w:iCs/>
        </w:rPr>
        <w:t>eventstudyinteract</w:t>
      </w:r>
      <w:r>
        <w:rPr>
          <w:rFonts w:ascii="Times New Roman" w:hAnsi="Times New Roman" w:cs="Times New Roman"/>
        </w:rPr>
        <w:t xml:space="preserve"> command. Period zero indicates the year of promise program adoption and each period on the x-axis reflects a year. The y-axis reflects treatment effect on the treated group compared to the comparison group. </w:t>
      </w:r>
    </w:p>
    <w:p w14:paraId="7CD29C26" w14:textId="77777777" w:rsidR="00EF2C5C" w:rsidRDefault="00EF2C5C" w:rsidP="00E87069">
      <w:pPr>
        <w:spacing w:line="480" w:lineRule="auto"/>
        <w:rPr>
          <w:rFonts w:ascii="Times New Roman" w:hAnsi="Times New Roman" w:cs="Times New Roman"/>
          <w:b/>
          <w:bCs/>
        </w:rPr>
      </w:pPr>
    </w:p>
    <w:p w14:paraId="31E4213F" w14:textId="6969003B" w:rsidR="00931EAC" w:rsidRPr="00496B68" w:rsidRDefault="00EF2C5C" w:rsidP="00E87069">
      <w:pPr>
        <w:rPr>
          <w:rFonts w:ascii="Times New Roman" w:hAnsi="Times New Roman"/>
          <w:b/>
        </w:rPr>
      </w:pPr>
      <w:r>
        <w:br w:type="page"/>
      </w:r>
    </w:p>
    <w:p w14:paraId="7CAFA878" w14:textId="3515C5BD" w:rsidR="00E87069" w:rsidRDefault="0032705E" w:rsidP="00E87069">
      <w:pPr>
        <w:jc w:val="center"/>
      </w:pPr>
      <w:r w:rsidRPr="0032705E">
        <w:rPr>
          <w:noProof/>
        </w:rPr>
        <w:lastRenderedPageBreak/>
        <w:drawing>
          <wp:inline distT="0" distB="0" distL="0" distR="0" wp14:anchorId="0DD25FC9" wp14:editId="100BCF8F">
            <wp:extent cx="5413375" cy="3937000"/>
            <wp:effectExtent l="0" t="0" r="0" b="0"/>
            <wp:docPr id="1152367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67009" name=""/>
                    <pic:cNvPicPr/>
                  </pic:nvPicPr>
                  <pic:blipFill>
                    <a:blip r:embed="rId23"/>
                    <a:stretch>
                      <a:fillRect/>
                    </a:stretch>
                  </pic:blipFill>
                  <pic:spPr>
                    <a:xfrm>
                      <a:off x="0" y="0"/>
                      <a:ext cx="5482460" cy="3987244"/>
                    </a:xfrm>
                    <a:prstGeom prst="rect">
                      <a:avLst/>
                    </a:prstGeom>
                  </pic:spPr>
                </pic:pic>
              </a:graphicData>
            </a:graphic>
          </wp:inline>
        </w:drawing>
      </w:r>
    </w:p>
    <w:p w14:paraId="33F34F49" w14:textId="77777777" w:rsidR="004630E8" w:rsidRDefault="004630E8" w:rsidP="008F0AA3">
      <w:pPr>
        <w:pStyle w:val="TableofFigs"/>
      </w:pPr>
      <w:bookmarkStart w:id="100" w:name="_Toc179135811"/>
    </w:p>
    <w:p w14:paraId="7C3ACFC4" w14:textId="77777777" w:rsidR="00496B68" w:rsidRPr="004C564E" w:rsidRDefault="00496B68" w:rsidP="00496B68">
      <w:pPr>
        <w:pStyle w:val="TableofFigs"/>
        <w:spacing w:line="240" w:lineRule="auto"/>
      </w:pPr>
      <w:bookmarkStart w:id="101" w:name="_Toc179135810"/>
      <w:bookmarkStart w:id="102" w:name="_Toc180144593"/>
      <w:r w:rsidRPr="004C564E">
        <w:t xml:space="preserve">Figure </w:t>
      </w:r>
      <w:r>
        <w:t>13</w:t>
      </w:r>
      <w:bookmarkEnd w:id="101"/>
      <w:bookmarkEnd w:id="102"/>
    </w:p>
    <w:p w14:paraId="77418776" w14:textId="77777777" w:rsidR="00496B68" w:rsidRDefault="00496B68" w:rsidP="00496B68">
      <w:pPr>
        <w:rPr>
          <w:rFonts w:ascii="Times New Roman" w:hAnsi="Times New Roman" w:cs="Times New Roman"/>
          <w:i/>
          <w:iCs/>
        </w:rPr>
      </w:pPr>
      <w:r>
        <w:rPr>
          <w:rFonts w:ascii="Times New Roman" w:hAnsi="Times New Roman" w:cs="Times New Roman"/>
          <w:i/>
          <w:iCs/>
        </w:rPr>
        <w:t>Liberal Arts Visualization of Sun &amp; Abraham’s (2020) Trends for Public Institutions Only</w:t>
      </w:r>
    </w:p>
    <w:p w14:paraId="2B75FA49" w14:textId="486C75B8" w:rsidR="00EF2C5C" w:rsidRPr="008536C7" w:rsidRDefault="00EF2C5C" w:rsidP="00EF2C5C">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awards from </w:t>
      </w:r>
      <w:r w:rsidR="004911F8" w:rsidRPr="004911F8">
        <w:rPr>
          <w:rFonts w:ascii="Times New Roman" w:hAnsi="Times New Roman" w:cs="Times New Roman"/>
        </w:rPr>
        <w:t xml:space="preserve">sub-baccalaureate </w:t>
      </w:r>
      <w:r>
        <w:rPr>
          <w:rFonts w:ascii="Times New Roman" w:hAnsi="Times New Roman" w:cs="Times New Roman"/>
        </w:rPr>
        <w:t xml:space="preserve">liberal arts programs that were granted within the public institutions only sample. This event study visualization utilized the Sun &amp; Abraham </w:t>
      </w:r>
      <w:r w:rsidRPr="00210BEB">
        <w:rPr>
          <w:rFonts w:ascii="Times New Roman" w:hAnsi="Times New Roman" w:cs="Times New Roman"/>
          <w:i/>
          <w:iCs/>
        </w:rPr>
        <w:t>eventstudyinteract</w:t>
      </w:r>
      <w:r>
        <w:rPr>
          <w:rFonts w:ascii="Times New Roman" w:hAnsi="Times New Roman" w:cs="Times New Roman"/>
        </w:rPr>
        <w:t xml:space="preserve"> command. Period zero indicates the year of promise program adoption and each period on the x-axis reflects a year. The y-axis reflects treatment effect on the treated group compared to the comparison group. Human services programs include the following programs from the 2-digit CIP designations: </w:t>
      </w:r>
      <w:r w:rsidRPr="00EF2C5C">
        <w:rPr>
          <w:rFonts w:ascii="Times New Roman" w:hAnsi="Times New Roman" w:cs="Times New Roman"/>
        </w:rPr>
        <w:t>Area, Ethnic, Cultural, and Gender Studies</w:t>
      </w:r>
      <w:r>
        <w:rPr>
          <w:rFonts w:ascii="Times New Roman" w:hAnsi="Times New Roman" w:cs="Times New Roman"/>
        </w:rPr>
        <w:t xml:space="preserve">; </w:t>
      </w:r>
      <w:r w:rsidRPr="00EF2C5C">
        <w:rPr>
          <w:rFonts w:ascii="Times New Roman" w:hAnsi="Times New Roman" w:cs="Times New Roman"/>
        </w:rPr>
        <w:t>Foreign Languages, Literatures, and Linguistics</w:t>
      </w:r>
      <w:r>
        <w:rPr>
          <w:rFonts w:ascii="Times New Roman" w:hAnsi="Times New Roman" w:cs="Times New Roman"/>
        </w:rPr>
        <w:t xml:space="preserve">; </w:t>
      </w:r>
      <w:r w:rsidRPr="00EF2C5C">
        <w:rPr>
          <w:rFonts w:ascii="Times New Roman" w:hAnsi="Times New Roman" w:cs="Times New Roman"/>
        </w:rPr>
        <w:t>English Language and Literature/Letters</w:t>
      </w:r>
      <w:r>
        <w:rPr>
          <w:rFonts w:ascii="Times New Roman" w:hAnsi="Times New Roman" w:cs="Times New Roman"/>
        </w:rPr>
        <w:t xml:space="preserve">; </w:t>
      </w:r>
      <w:r w:rsidRPr="00EF2C5C">
        <w:rPr>
          <w:rFonts w:ascii="Times New Roman" w:hAnsi="Times New Roman" w:cs="Times New Roman"/>
        </w:rPr>
        <w:t>Liberal Arts and Sciences, General Studies and Humanities</w:t>
      </w:r>
      <w:r>
        <w:rPr>
          <w:rFonts w:ascii="Times New Roman" w:hAnsi="Times New Roman" w:cs="Times New Roman"/>
        </w:rPr>
        <w:t xml:space="preserve">; </w:t>
      </w:r>
      <w:r w:rsidRPr="00EF2C5C">
        <w:rPr>
          <w:rFonts w:ascii="Times New Roman" w:hAnsi="Times New Roman" w:cs="Times New Roman"/>
        </w:rPr>
        <w:t>Philosophy and Religious Studies</w:t>
      </w:r>
      <w:r>
        <w:rPr>
          <w:rFonts w:ascii="Times New Roman" w:hAnsi="Times New Roman" w:cs="Times New Roman"/>
        </w:rPr>
        <w:t xml:space="preserve">; </w:t>
      </w:r>
      <w:r w:rsidRPr="00EF2C5C">
        <w:rPr>
          <w:rFonts w:ascii="Times New Roman" w:hAnsi="Times New Roman" w:cs="Times New Roman"/>
        </w:rPr>
        <w:t>Theology and Religious Vocations</w:t>
      </w:r>
      <w:r>
        <w:rPr>
          <w:rFonts w:ascii="Times New Roman" w:hAnsi="Times New Roman" w:cs="Times New Roman"/>
        </w:rPr>
        <w:t xml:space="preserve">; </w:t>
      </w:r>
      <w:r w:rsidRPr="00EF2C5C">
        <w:rPr>
          <w:rFonts w:ascii="Times New Roman" w:hAnsi="Times New Roman" w:cs="Times New Roman"/>
        </w:rPr>
        <w:t>Psychology</w:t>
      </w:r>
      <w:r>
        <w:rPr>
          <w:rFonts w:ascii="Times New Roman" w:hAnsi="Times New Roman" w:cs="Times New Roman"/>
        </w:rPr>
        <w:t xml:space="preserve">; </w:t>
      </w:r>
      <w:r w:rsidRPr="00EF2C5C">
        <w:rPr>
          <w:rFonts w:ascii="Times New Roman" w:hAnsi="Times New Roman" w:cs="Times New Roman"/>
        </w:rPr>
        <w:t>Multi/Interdisciplinary Studies</w:t>
      </w:r>
      <w:r>
        <w:rPr>
          <w:rFonts w:ascii="Times New Roman" w:hAnsi="Times New Roman" w:cs="Times New Roman"/>
        </w:rPr>
        <w:t xml:space="preserve">; </w:t>
      </w:r>
      <w:r w:rsidRPr="00EF2C5C">
        <w:rPr>
          <w:rFonts w:ascii="Times New Roman" w:hAnsi="Times New Roman" w:cs="Times New Roman"/>
        </w:rPr>
        <w:t>Social Sciences</w:t>
      </w:r>
      <w:r>
        <w:rPr>
          <w:rFonts w:ascii="Times New Roman" w:hAnsi="Times New Roman" w:cs="Times New Roman"/>
        </w:rPr>
        <w:t xml:space="preserve">; </w:t>
      </w:r>
      <w:r w:rsidRPr="00EF2C5C">
        <w:rPr>
          <w:rFonts w:ascii="Times New Roman" w:hAnsi="Times New Roman" w:cs="Times New Roman"/>
        </w:rPr>
        <w:t>Visual and Preforming Arts</w:t>
      </w:r>
      <w:r>
        <w:rPr>
          <w:rFonts w:ascii="Times New Roman" w:hAnsi="Times New Roman" w:cs="Times New Roman"/>
        </w:rPr>
        <w:t xml:space="preserve">; and </w:t>
      </w:r>
      <w:r w:rsidRPr="00EF2C5C">
        <w:rPr>
          <w:rFonts w:ascii="Times New Roman" w:hAnsi="Times New Roman" w:cs="Times New Roman"/>
        </w:rPr>
        <w:t>History</w:t>
      </w:r>
      <w:r>
        <w:rPr>
          <w:rFonts w:ascii="Times New Roman" w:hAnsi="Times New Roman" w:cs="Times New Roman"/>
        </w:rPr>
        <w:t xml:space="preserve">. </w:t>
      </w:r>
    </w:p>
    <w:p w14:paraId="6EA42D97" w14:textId="77777777" w:rsidR="00EF2C5C" w:rsidRDefault="00EF2C5C" w:rsidP="008F0AA3">
      <w:pPr>
        <w:pStyle w:val="TableofFigs"/>
      </w:pPr>
    </w:p>
    <w:p w14:paraId="63C71A46" w14:textId="77777777" w:rsidR="00EF2C5C" w:rsidRDefault="00EF2C5C">
      <w:pPr>
        <w:rPr>
          <w:rFonts w:ascii="Times New Roman" w:hAnsi="Times New Roman"/>
          <w:b/>
        </w:rPr>
      </w:pPr>
      <w:r>
        <w:br w:type="page"/>
      </w:r>
    </w:p>
    <w:bookmarkEnd w:id="100"/>
    <w:p w14:paraId="2294E63B" w14:textId="1F4FB9C1" w:rsidR="00E87069" w:rsidRPr="00B06ECA" w:rsidRDefault="0010730C" w:rsidP="00E87069">
      <w:pPr>
        <w:spacing w:line="480" w:lineRule="auto"/>
        <w:jc w:val="center"/>
        <w:rPr>
          <w:rFonts w:ascii="Times New Roman" w:hAnsi="Times New Roman"/>
          <w:i/>
        </w:rPr>
      </w:pPr>
      <w:r w:rsidRPr="0010730C">
        <w:rPr>
          <w:rFonts w:ascii="Times New Roman" w:hAnsi="Times New Roman" w:cs="Times New Roman"/>
          <w:i/>
          <w:iCs/>
          <w:noProof/>
        </w:rPr>
        <w:lastRenderedPageBreak/>
        <w:drawing>
          <wp:inline distT="0" distB="0" distL="0" distR="0" wp14:anchorId="45144817" wp14:editId="04285470">
            <wp:extent cx="5390092" cy="3920067"/>
            <wp:effectExtent l="0" t="0" r="0" b="4445"/>
            <wp:docPr id="1593162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62449" name=""/>
                    <pic:cNvPicPr/>
                  </pic:nvPicPr>
                  <pic:blipFill>
                    <a:blip r:embed="rId24"/>
                    <a:stretch>
                      <a:fillRect/>
                    </a:stretch>
                  </pic:blipFill>
                  <pic:spPr>
                    <a:xfrm>
                      <a:off x="0" y="0"/>
                      <a:ext cx="5466050" cy="3975309"/>
                    </a:xfrm>
                    <a:prstGeom prst="rect">
                      <a:avLst/>
                    </a:prstGeom>
                  </pic:spPr>
                </pic:pic>
              </a:graphicData>
            </a:graphic>
          </wp:inline>
        </w:drawing>
      </w:r>
    </w:p>
    <w:p w14:paraId="784C50F6" w14:textId="77777777" w:rsidR="00496B68" w:rsidRDefault="00496B68" w:rsidP="00496B68">
      <w:pPr>
        <w:pStyle w:val="TableofFigs"/>
        <w:spacing w:line="240" w:lineRule="auto"/>
      </w:pPr>
      <w:bookmarkStart w:id="103" w:name="_Toc179135812"/>
      <w:bookmarkStart w:id="104" w:name="_Toc180144594"/>
      <w:r>
        <w:t>Figure 14</w:t>
      </w:r>
      <w:bookmarkEnd w:id="104"/>
    </w:p>
    <w:p w14:paraId="22CAD452" w14:textId="77777777" w:rsidR="00496B68" w:rsidRDefault="00496B68" w:rsidP="00496B68">
      <w:pPr>
        <w:rPr>
          <w:rFonts w:ascii="Times New Roman" w:hAnsi="Times New Roman" w:cs="Times New Roman"/>
          <w:i/>
          <w:iCs/>
        </w:rPr>
      </w:pPr>
      <w:r>
        <w:rPr>
          <w:rFonts w:ascii="Times New Roman" w:hAnsi="Times New Roman" w:cs="Times New Roman"/>
          <w:i/>
          <w:iCs/>
        </w:rPr>
        <w:t xml:space="preserve">Smoothness Restriction Output for One-to-Two Year Credentials </w:t>
      </w:r>
    </w:p>
    <w:p w14:paraId="6330B2F9" w14:textId="38533079" w:rsidR="00353B36" w:rsidRPr="0010275D" w:rsidRDefault="000004EB" w:rsidP="0010275D">
      <w:pPr>
        <w:rPr>
          <w:rFonts w:ascii="Times New Roman" w:hAnsi="Times New Roman" w:cs="Times New Roman"/>
          <w:b/>
        </w:rPr>
      </w:pPr>
      <w:r w:rsidRPr="0010275D">
        <w:rPr>
          <w:rFonts w:ascii="Times New Roman" w:hAnsi="Times New Roman" w:cs="Times New Roman"/>
        </w:rPr>
        <w:t xml:space="preserve">Sensitivity analysis utilizing a smoothness restriction </w:t>
      </w:r>
      <w:r w:rsidR="004911F8" w:rsidRPr="0010275D">
        <w:rPr>
          <w:rFonts w:ascii="Times New Roman" w:hAnsi="Times New Roman" w:cs="Times New Roman"/>
        </w:rPr>
        <w:t xml:space="preserve">for credential awards that take between one and two years to complete within the public institutions only sample. This analysis </w:t>
      </w:r>
      <w:r w:rsidRPr="0010275D">
        <w:rPr>
          <w:rFonts w:ascii="Times New Roman" w:hAnsi="Times New Roman" w:cs="Times New Roman"/>
        </w:rPr>
        <w:t xml:space="preserve">reveals a breakdown value for M </w:t>
      </w:r>
      <w:r w:rsidR="006535D6" w:rsidRPr="0010275D">
        <w:rPr>
          <w:rFonts w:ascii="Times New Roman" w:hAnsi="Times New Roman" w:cs="Times New Roman"/>
        </w:rPr>
        <w:t xml:space="preserve">that is </w:t>
      </w:r>
      <w:r w:rsidR="00FB1F61" w:rsidRPr="0010275D">
        <w:rPr>
          <w:rFonts w:ascii="Times New Roman" w:hAnsi="Times New Roman" w:cs="Times New Roman"/>
        </w:rPr>
        <w:t>greater</w:t>
      </w:r>
      <w:r w:rsidR="006535D6" w:rsidRPr="0010275D">
        <w:rPr>
          <w:rFonts w:ascii="Times New Roman" w:hAnsi="Times New Roman" w:cs="Times New Roman"/>
        </w:rPr>
        <w:t xml:space="preserve"> than M=.01</w:t>
      </w:r>
      <w:r w:rsidR="00BC12C2" w:rsidRPr="0010275D">
        <w:rPr>
          <w:rFonts w:ascii="Times New Roman" w:hAnsi="Times New Roman" w:cs="Times New Roman"/>
        </w:rPr>
        <w:t xml:space="preserve"> which indicates that a staggered difference-in-difference analysis is appropriate</w:t>
      </w:r>
      <w:r w:rsidR="004911F8" w:rsidRPr="0010275D">
        <w:rPr>
          <w:rFonts w:ascii="Times New Roman" w:hAnsi="Times New Roman" w:cs="Times New Roman"/>
        </w:rPr>
        <w:t xml:space="preserve">. </w:t>
      </w:r>
    </w:p>
    <w:p w14:paraId="6F8A8F1A" w14:textId="3DE986E0" w:rsidR="00233314" w:rsidRPr="00496B68" w:rsidRDefault="00B01C74" w:rsidP="00E87069">
      <w:pPr>
        <w:rPr>
          <w:rFonts w:ascii="Times New Roman" w:hAnsi="Times New Roman"/>
          <w:b/>
        </w:rPr>
      </w:pPr>
      <w:r>
        <w:br w:type="page"/>
      </w:r>
      <w:bookmarkEnd w:id="103"/>
    </w:p>
    <w:p w14:paraId="5B7489F0" w14:textId="06701009" w:rsidR="00AF2921" w:rsidRPr="00336951" w:rsidRDefault="00F75E1F" w:rsidP="00B06ECA">
      <w:pPr>
        <w:jc w:val="center"/>
        <w:rPr>
          <w:rFonts w:ascii="Times New Roman" w:hAnsi="Times New Roman" w:cs="Times New Roman"/>
          <w:b/>
          <w:bCs/>
        </w:rPr>
      </w:pPr>
      <w:r w:rsidRPr="00F75E1F">
        <w:rPr>
          <w:rFonts w:ascii="Times New Roman" w:hAnsi="Times New Roman" w:cs="Times New Roman"/>
          <w:b/>
          <w:bCs/>
          <w:noProof/>
        </w:rPr>
        <w:lastRenderedPageBreak/>
        <w:drawing>
          <wp:inline distT="0" distB="0" distL="0" distR="0" wp14:anchorId="0DA67E45" wp14:editId="214E725B">
            <wp:extent cx="5494867" cy="3996267"/>
            <wp:effectExtent l="0" t="0" r="4445" b="4445"/>
            <wp:docPr id="1756889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89268" name=""/>
                    <pic:cNvPicPr/>
                  </pic:nvPicPr>
                  <pic:blipFill>
                    <a:blip r:embed="rId25"/>
                    <a:stretch>
                      <a:fillRect/>
                    </a:stretch>
                  </pic:blipFill>
                  <pic:spPr>
                    <a:xfrm>
                      <a:off x="0" y="0"/>
                      <a:ext cx="5586857" cy="4063169"/>
                    </a:xfrm>
                    <a:prstGeom prst="rect">
                      <a:avLst/>
                    </a:prstGeom>
                  </pic:spPr>
                </pic:pic>
              </a:graphicData>
            </a:graphic>
          </wp:inline>
        </w:drawing>
      </w:r>
    </w:p>
    <w:p w14:paraId="5945B8BA" w14:textId="77777777" w:rsidR="004911F8" w:rsidRDefault="004911F8" w:rsidP="00F75E1F">
      <w:pPr>
        <w:jc w:val="center"/>
        <w:rPr>
          <w:rFonts w:ascii="Times New Roman" w:hAnsi="Times New Roman" w:cs="Times New Roman"/>
          <w:b/>
          <w:bCs/>
        </w:rPr>
      </w:pPr>
    </w:p>
    <w:p w14:paraId="2870B8D0" w14:textId="77777777" w:rsidR="00496B68" w:rsidRDefault="00496B68" w:rsidP="00496B68">
      <w:pPr>
        <w:pStyle w:val="TableofFigs"/>
        <w:spacing w:line="240" w:lineRule="auto"/>
      </w:pPr>
      <w:bookmarkStart w:id="105" w:name="_Toc180144595"/>
      <w:r>
        <w:t>Figure 15</w:t>
      </w:r>
      <w:bookmarkEnd w:id="105"/>
      <w:r>
        <w:t xml:space="preserve"> </w:t>
      </w:r>
    </w:p>
    <w:p w14:paraId="076EBA30" w14:textId="77777777" w:rsidR="00496B68" w:rsidRDefault="00496B68" w:rsidP="00496B68">
      <w:pPr>
        <w:rPr>
          <w:rFonts w:ascii="Times New Roman" w:hAnsi="Times New Roman" w:cs="Times New Roman"/>
          <w:i/>
          <w:iCs/>
        </w:rPr>
      </w:pPr>
      <w:r>
        <w:rPr>
          <w:rFonts w:ascii="Times New Roman" w:hAnsi="Times New Roman" w:cs="Times New Roman"/>
          <w:i/>
          <w:iCs/>
        </w:rPr>
        <w:t xml:space="preserve">Smoothness Restriction Output for Liberal Arts Programs </w:t>
      </w:r>
    </w:p>
    <w:p w14:paraId="235E8AE1" w14:textId="0343C3EA" w:rsidR="004911F8" w:rsidRPr="006362AB" w:rsidRDefault="004911F8" w:rsidP="006362AB">
      <w:pPr>
        <w:rPr>
          <w:rFonts w:ascii="Times New Roman" w:hAnsi="Times New Roman" w:cs="Times New Roman"/>
          <w:b/>
        </w:rPr>
      </w:pPr>
      <w:r w:rsidRPr="006362AB">
        <w:rPr>
          <w:rFonts w:ascii="Times New Roman" w:hAnsi="Times New Roman" w:cs="Times New Roman"/>
        </w:rPr>
        <w:t xml:space="preserve">Sensitivity analysis utilizing a smoothness restriction for sub-baccalaureate liberal arts program awards within the public institutions only sample. This analysis reveals a breakdown value for M that is greater than M=.01 which indicates that a staggered difference-in-difference analysis is appropriate. </w:t>
      </w:r>
      <w:r w:rsidR="00B77E3A" w:rsidRPr="006362AB">
        <w:rPr>
          <w:rFonts w:ascii="Times New Roman" w:hAnsi="Times New Roman" w:cs="Times New Roman"/>
        </w:rPr>
        <w:t>Liberal arts programs include the following programs from the 2-digit CIP designations: Area, Ethnic, Cultural, and Gender Studies; Foreign Languages,</w:t>
      </w:r>
      <w:r w:rsidR="00490BE2" w:rsidRPr="006362AB">
        <w:rPr>
          <w:rFonts w:ascii="Times New Roman" w:hAnsi="Times New Roman" w:cs="Times New Roman"/>
        </w:rPr>
        <w:t xml:space="preserve"> </w:t>
      </w:r>
      <w:r w:rsidR="00B77E3A" w:rsidRPr="006362AB">
        <w:rPr>
          <w:rFonts w:ascii="Times New Roman" w:hAnsi="Times New Roman" w:cs="Times New Roman"/>
        </w:rPr>
        <w:t>Literatures, and Linguistics</w:t>
      </w:r>
      <w:r w:rsidR="00490BE2" w:rsidRPr="006362AB">
        <w:rPr>
          <w:rFonts w:ascii="Times New Roman" w:hAnsi="Times New Roman" w:cs="Times New Roman"/>
        </w:rPr>
        <w:t xml:space="preserve">; </w:t>
      </w:r>
      <w:r w:rsidR="00B77E3A" w:rsidRPr="006362AB">
        <w:rPr>
          <w:rFonts w:ascii="Times New Roman" w:hAnsi="Times New Roman" w:cs="Times New Roman"/>
        </w:rPr>
        <w:t>English Language and Literature/Letters</w:t>
      </w:r>
      <w:r w:rsidR="00490BE2" w:rsidRPr="006362AB">
        <w:rPr>
          <w:rFonts w:ascii="Times New Roman" w:hAnsi="Times New Roman" w:cs="Times New Roman"/>
        </w:rPr>
        <w:t>;</w:t>
      </w:r>
      <w:r w:rsidR="00B77E3A" w:rsidRPr="006362AB">
        <w:rPr>
          <w:rFonts w:ascii="Times New Roman" w:hAnsi="Times New Roman" w:cs="Times New Roman"/>
        </w:rPr>
        <w:t xml:space="preserve"> Liberal Arts and Sciences</w:t>
      </w:r>
      <w:r w:rsidR="00490BE2" w:rsidRPr="006362AB">
        <w:rPr>
          <w:rFonts w:ascii="Times New Roman" w:hAnsi="Times New Roman" w:cs="Times New Roman"/>
        </w:rPr>
        <w:t>;</w:t>
      </w:r>
      <w:r w:rsidR="00B77E3A" w:rsidRPr="006362AB">
        <w:rPr>
          <w:rFonts w:ascii="Times New Roman" w:hAnsi="Times New Roman" w:cs="Times New Roman"/>
        </w:rPr>
        <w:t xml:space="preserve"> General Studies and Humanities</w:t>
      </w:r>
      <w:r w:rsidR="00490BE2" w:rsidRPr="006362AB">
        <w:rPr>
          <w:rFonts w:ascii="Times New Roman" w:hAnsi="Times New Roman" w:cs="Times New Roman"/>
        </w:rPr>
        <w:t>;</w:t>
      </w:r>
      <w:r w:rsidR="00B77E3A" w:rsidRPr="006362AB">
        <w:rPr>
          <w:rFonts w:ascii="Times New Roman" w:hAnsi="Times New Roman" w:cs="Times New Roman"/>
        </w:rPr>
        <w:t xml:space="preserve"> Philosophy and Religious Studies</w:t>
      </w:r>
      <w:r w:rsidR="00490BE2" w:rsidRPr="006362AB">
        <w:rPr>
          <w:rFonts w:ascii="Times New Roman" w:hAnsi="Times New Roman" w:cs="Times New Roman"/>
        </w:rPr>
        <w:t>;</w:t>
      </w:r>
      <w:r w:rsidR="00B77E3A" w:rsidRPr="006362AB">
        <w:rPr>
          <w:rFonts w:ascii="Times New Roman" w:hAnsi="Times New Roman" w:cs="Times New Roman"/>
        </w:rPr>
        <w:t xml:space="preserve"> Theology and Religious Vocations</w:t>
      </w:r>
      <w:r w:rsidR="00490BE2" w:rsidRPr="006362AB">
        <w:rPr>
          <w:rFonts w:ascii="Times New Roman" w:hAnsi="Times New Roman" w:cs="Times New Roman"/>
        </w:rPr>
        <w:t>;</w:t>
      </w:r>
      <w:r w:rsidR="00B77E3A" w:rsidRPr="006362AB">
        <w:rPr>
          <w:rFonts w:ascii="Times New Roman" w:hAnsi="Times New Roman" w:cs="Times New Roman"/>
        </w:rPr>
        <w:t xml:space="preserve"> Psychology</w:t>
      </w:r>
      <w:r w:rsidR="00490BE2" w:rsidRPr="006362AB">
        <w:rPr>
          <w:rFonts w:ascii="Times New Roman" w:hAnsi="Times New Roman" w:cs="Times New Roman"/>
        </w:rPr>
        <w:t>;</w:t>
      </w:r>
      <w:r w:rsidR="00B77E3A" w:rsidRPr="006362AB">
        <w:rPr>
          <w:rFonts w:ascii="Times New Roman" w:hAnsi="Times New Roman" w:cs="Times New Roman"/>
        </w:rPr>
        <w:t xml:space="preserve"> Multi/Interdisciplinary Studies</w:t>
      </w:r>
      <w:r w:rsidR="00490BE2" w:rsidRPr="006362AB">
        <w:rPr>
          <w:rFonts w:ascii="Times New Roman" w:hAnsi="Times New Roman" w:cs="Times New Roman"/>
        </w:rPr>
        <w:t xml:space="preserve">; </w:t>
      </w:r>
      <w:r w:rsidR="00B77E3A" w:rsidRPr="006362AB">
        <w:rPr>
          <w:rFonts w:ascii="Times New Roman" w:hAnsi="Times New Roman" w:cs="Times New Roman"/>
        </w:rPr>
        <w:t>Social Sciences</w:t>
      </w:r>
      <w:r w:rsidR="00490BE2" w:rsidRPr="006362AB">
        <w:rPr>
          <w:rFonts w:ascii="Times New Roman" w:hAnsi="Times New Roman" w:cs="Times New Roman"/>
        </w:rPr>
        <w:t>;</w:t>
      </w:r>
      <w:r w:rsidR="00B77E3A" w:rsidRPr="006362AB">
        <w:rPr>
          <w:rFonts w:ascii="Times New Roman" w:hAnsi="Times New Roman" w:cs="Times New Roman"/>
        </w:rPr>
        <w:t xml:space="preserve"> Visual and Preforming Arts</w:t>
      </w:r>
      <w:r w:rsidR="00490BE2" w:rsidRPr="006362AB">
        <w:rPr>
          <w:rFonts w:ascii="Times New Roman" w:hAnsi="Times New Roman" w:cs="Times New Roman"/>
        </w:rPr>
        <w:t>;</w:t>
      </w:r>
      <w:r w:rsidR="00B77E3A" w:rsidRPr="006362AB">
        <w:rPr>
          <w:rFonts w:ascii="Times New Roman" w:hAnsi="Times New Roman" w:cs="Times New Roman"/>
        </w:rPr>
        <w:t xml:space="preserve"> and History</w:t>
      </w:r>
      <w:r w:rsidR="00490BE2" w:rsidRPr="006362AB">
        <w:rPr>
          <w:rFonts w:ascii="Times New Roman" w:hAnsi="Times New Roman" w:cs="Times New Roman"/>
        </w:rPr>
        <w:t>.</w:t>
      </w:r>
    </w:p>
    <w:p w14:paraId="7198F11A" w14:textId="77777777" w:rsidR="001D1D08" w:rsidRDefault="001D1D08" w:rsidP="001D1D08">
      <w:pPr>
        <w:spacing w:line="480" w:lineRule="auto"/>
        <w:ind w:firstLine="720"/>
        <w:rPr>
          <w:rFonts w:ascii="Times New Roman" w:hAnsi="Times New Roman" w:cs="Times New Roman"/>
        </w:rPr>
      </w:pPr>
    </w:p>
    <w:p w14:paraId="5B26C909" w14:textId="77777777" w:rsidR="001D1D08" w:rsidRDefault="001D1D08" w:rsidP="001D1D08">
      <w:pPr>
        <w:spacing w:line="480" w:lineRule="auto"/>
        <w:ind w:firstLine="720"/>
        <w:rPr>
          <w:rFonts w:ascii="Times New Roman" w:hAnsi="Times New Roman" w:cs="Times New Roman"/>
        </w:rPr>
      </w:pPr>
    </w:p>
    <w:p w14:paraId="5DD5E5FE" w14:textId="77777777" w:rsidR="001D1D08" w:rsidRDefault="001D1D08" w:rsidP="001D1D08">
      <w:pPr>
        <w:spacing w:line="480" w:lineRule="auto"/>
        <w:rPr>
          <w:rFonts w:ascii="Times New Roman" w:hAnsi="Times New Roman" w:cs="Times New Roman"/>
        </w:rPr>
      </w:pPr>
    </w:p>
    <w:p w14:paraId="49A638B2" w14:textId="77777777" w:rsidR="00BF7BD3" w:rsidRDefault="00BF7BD3" w:rsidP="001D1D08">
      <w:pPr>
        <w:spacing w:line="480" w:lineRule="auto"/>
        <w:ind w:firstLine="720"/>
        <w:rPr>
          <w:rFonts w:ascii="Times New Roman" w:hAnsi="Times New Roman" w:cs="Times New Roman"/>
        </w:rPr>
      </w:pPr>
    </w:p>
    <w:p w14:paraId="29118E59" w14:textId="323E2272" w:rsidR="00BF7BD3" w:rsidRDefault="00496B68" w:rsidP="00BF7BD3">
      <w:pPr>
        <w:spacing w:line="480" w:lineRule="auto"/>
        <w:rPr>
          <w:rFonts w:ascii="Times New Roman" w:hAnsi="Times New Roman" w:cs="Times New Roman"/>
        </w:rPr>
      </w:pPr>
      <w:r>
        <w:rPr>
          <w:rFonts w:ascii="Times New Roman" w:hAnsi="Times New Roman" w:cs="Times New Roman"/>
        </w:rPr>
        <w:lastRenderedPageBreak/>
        <w:t xml:space="preserve">The </w:t>
      </w:r>
      <w:proofErr w:type="spellStart"/>
      <w:r w:rsidRPr="00D658FD">
        <w:rPr>
          <w:rFonts w:ascii="Times New Roman" w:hAnsi="Times New Roman" w:cs="Times New Roman"/>
          <w:i/>
          <w:iCs/>
        </w:rPr>
        <w:t>honestdid</w:t>
      </w:r>
      <w:proofErr w:type="spellEnd"/>
      <w:r>
        <w:rPr>
          <w:rFonts w:ascii="Times New Roman" w:hAnsi="Times New Roman" w:cs="Times New Roman"/>
          <w:i/>
          <w:iCs/>
        </w:rPr>
        <w:t xml:space="preserve"> </w:t>
      </w:r>
      <w:r>
        <w:rPr>
          <w:rFonts w:ascii="Times New Roman" w:hAnsi="Times New Roman" w:cs="Times New Roman"/>
        </w:rPr>
        <w:t xml:space="preserve">package utilizes a robust inference approach proposed by Rambachan and Roth </w:t>
      </w:r>
      <w:sdt>
        <w:sdtPr>
          <w:rPr>
            <w:rFonts w:ascii="Times New Roman" w:hAnsi="Times New Roman" w:cs="Times New Roman"/>
          </w:rPr>
          <w:id w:val="-2044595394"/>
          <w:citation/>
        </w:sdtPr>
        <w:sdtContent>
          <w:r>
            <w:rPr>
              <w:rFonts w:ascii="Times New Roman" w:hAnsi="Times New Roman" w:cs="Times New Roman"/>
            </w:rPr>
            <w:fldChar w:fldCharType="begin"/>
          </w:r>
          <w:r>
            <w:rPr>
              <w:rFonts w:ascii="Times New Roman" w:hAnsi="Times New Roman" w:cs="Times New Roman"/>
            </w:rPr>
            <w:instrText xml:space="preserve">CITATION Ram23 \n  \t  \l 1033 </w:instrText>
          </w:r>
          <w:r>
            <w:rPr>
              <w:rFonts w:ascii="Times New Roman" w:hAnsi="Times New Roman" w:cs="Times New Roman"/>
            </w:rPr>
            <w:fldChar w:fldCharType="separate"/>
          </w:r>
          <w:r w:rsidRPr="00A10468">
            <w:rPr>
              <w:rFonts w:ascii="Times New Roman" w:hAnsi="Times New Roman" w:cs="Times New Roman"/>
              <w:noProof/>
            </w:rPr>
            <w:t>(2023)</w:t>
          </w:r>
          <w:r>
            <w:rPr>
              <w:rFonts w:ascii="Times New Roman" w:hAnsi="Times New Roman" w:cs="Times New Roman"/>
            </w:rPr>
            <w:fldChar w:fldCharType="end"/>
          </w:r>
        </w:sdtContent>
      </w:sdt>
      <w:r>
        <w:rPr>
          <w:rFonts w:ascii="Times New Roman" w:hAnsi="Times New Roman" w:cs="Times New Roman"/>
        </w:rPr>
        <w:t xml:space="preserve"> to establish a confidence interval that captures an estimation of treatment in an event study within a 95% confidence interval. It exploits intuition that the post-treatment trends of a difference-in-difference model can be informative about the pre-treatment trends of a model by splitting the model into two smaller difference-in-difference models. The first model compares the pre-treatment period(s) to the period of </w:t>
      </w:r>
      <w:r w:rsidR="00BF7BD3">
        <w:rPr>
          <w:rFonts w:ascii="Times New Roman" w:hAnsi="Times New Roman" w:cs="Times New Roman"/>
        </w:rPr>
        <w:t xml:space="preserve">adoption and the second model </w:t>
      </w:r>
      <w:proofErr w:type="gramStart"/>
      <w:r w:rsidR="003C0CA1">
        <w:rPr>
          <w:rFonts w:ascii="Times New Roman" w:hAnsi="Times New Roman" w:cs="Times New Roman"/>
        </w:rPr>
        <w:t>compare</w:t>
      </w:r>
      <w:proofErr w:type="gramEnd"/>
      <w:r w:rsidR="00BF7BD3">
        <w:rPr>
          <w:rFonts w:ascii="Times New Roman" w:hAnsi="Times New Roman" w:cs="Times New Roman"/>
        </w:rPr>
        <w:t xml:space="preserve"> the period of adoption to the post-treatment period(s). From these estimates, an estimate of an aggregate estimator is possible which can then be leveraged to assess for situations where use of a staggered difference-in-difference analysis is appropriate despite failing to establish traditional measures associated with meeting the parallel pre-treatment trends assumption.</w:t>
      </w:r>
    </w:p>
    <w:p w14:paraId="616B8422" w14:textId="1E984AD4" w:rsidR="001D1D08" w:rsidRDefault="001D1D08" w:rsidP="001D1D08">
      <w:pPr>
        <w:spacing w:line="480" w:lineRule="auto"/>
        <w:ind w:firstLine="720"/>
        <w:rPr>
          <w:rFonts w:ascii="Times New Roman" w:hAnsi="Times New Roman" w:cs="Times New Roman"/>
        </w:rPr>
      </w:pPr>
      <w:r>
        <w:rPr>
          <w:rFonts w:ascii="Times New Roman" w:hAnsi="Times New Roman" w:cs="Times New Roman"/>
        </w:rPr>
        <w:t xml:space="preserve">I utilize the </w:t>
      </w:r>
      <w:r w:rsidRPr="00D658FD">
        <w:rPr>
          <w:rFonts w:ascii="Times New Roman" w:hAnsi="Times New Roman" w:cs="Times New Roman"/>
          <w:i/>
          <w:iCs/>
        </w:rPr>
        <w:t>honestdid</w:t>
      </w:r>
      <w:r>
        <w:rPr>
          <w:rFonts w:ascii="Times New Roman" w:hAnsi="Times New Roman" w:cs="Times New Roman"/>
        </w:rPr>
        <w:t xml:space="preserve"> package to identify at what point null effect of M “broke down” or crossed zero</w:t>
      </w:r>
      <w:r w:rsidR="00604DF8">
        <w:rPr>
          <w:rFonts w:ascii="Times New Roman" w:hAnsi="Times New Roman" w:cs="Times New Roman"/>
        </w:rPr>
        <w:t xml:space="preserve"> as seen </w:t>
      </w:r>
      <w:r w:rsidR="00604DF8" w:rsidRPr="00504669">
        <w:rPr>
          <w:rFonts w:ascii="Times New Roman" w:hAnsi="Times New Roman" w:cs="Times New Roman"/>
        </w:rPr>
        <w:t>in</w:t>
      </w:r>
      <w:r w:rsidR="00604DF8" w:rsidRPr="00504669">
        <w:rPr>
          <w:rFonts w:ascii="Times New Roman" w:hAnsi="Times New Roman" w:cs="Times New Roman"/>
          <w:b/>
          <w:bCs/>
        </w:rPr>
        <w:t xml:space="preserve"> figures 14 and 15</w:t>
      </w:r>
      <w:r>
        <w:rPr>
          <w:rFonts w:ascii="Times New Roman" w:hAnsi="Times New Roman" w:cs="Times New Roman"/>
        </w:rPr>
        <w:t xml:space="preserve">. In otherwards, I am searching for at what point </w:t>
      </w:r>
      <w:r w:rsidR="00C007FE">
        <w:rPr>
          <w:rFonts w:ascii="Times New Roman" w:hAnsi="Times New Roman" w:cs="Times New Roman"/>
        </w:rPr>
        <w:t>f</w:t>
      </w:r>
      <w:r>
        <w:rPr>
          <w:rFonts w:ascii="Times New Roman" w:hAnsi="Times New Roman" w:cs="Times New Roman"/>
        </w:rPr>
        <w:t>or M that the confidence interval estimating the effect of treatment straddles zero. This becomes the point at which I can no longer fail to reject a null effect for significant pre-treatment trends</w:t>
      </w:r>
      <w:r w:rsidR="00C007FE">
        <w:rPr>
          <w:rFonts w:ascii="Times New Roman" w:hAnsi="Times New Roman" w:cs="Times New Roman"/>
        </w:rPr>
        <w:t xml:space="preserve"> hypothesis</w:t>
      </w:r>
      <w:r>
        <w:rPr>
          <w:rFonts w:ascii="Times New Roman" w:hAnsi="Times New Roman" w:cs="Times New Roman"/>
        </w:rPr>
        <w:t xml:space="preserve">. Note that the confidence intervals for </w:t>
      </w:r>
      <w:r w:rsidR="00120090">
        <w:rPr>
          <w:rFonts w:ascii="Times New Roman" w:hAnsi="Times New Roman" w:cs="Times New Roman"/>
        </w:rPr>
        <w:t>one</w:t>
      </w:r>
      <w:r>
        <w:rPr>
          <w:rFonts w:ascii="Times New Roman" w:hAnsi="Times New Roman" w:cs="Times New Roman"/>
        </w:rPr>
        <w:t>-to-</w:t>
      </w:r>
      <w:r w:rsidR="00B240FF">
        <w:rPr>
          <w:rFonts w:ascii="Times New Roman" w:hAnsi="Times New Roman" w:cs="Times New Roman"/>
        </w:rPr>
        <w:t>two-year</w:t>
      </w:r>
      <w:r>
        <w:rPr>
          <w:rFonts w:ascii="Times New Roman" w:hAnsi="Times New Roman" w:cs="Times New Roman"/>
        </w:rPr>
        <w:t xml:space="preserve"> credentials do not breakdown for less than M=0.1. The breakdown for liberal arts programs occurred near M=0.08. This means that I </w:t>
      </w:r>
      <w:r w:rsidR="00AD37EA">
        <w:rPr>
          <w:rFonts w:ascii="Times New Roman" w:hAnsi="Times New Roman" w:cs="Times New Roman"/>
        </w:rPr>
        <w:t>can</w:t>
      </w:r>
      <w:r>
        <w:rPr>
          <w:rFonts w:ascii="Times New Roman" w:hAnsi="Times New Roman" w:cs="Times New Roman"/>
        </w:rPr>
        <w:t xml:space="preserve"> accept these two models as satisfying pre-treatment parallel trends as being robust against linear and non-linear violations of parallel trends </w:t>
      </w:r>
      <w:sdt>
        <w:sdtPr>
          <w:rPr>
            <w:rFonts w:ascii="Times New Roman" w:hAnsi="Times New Roman" w:cs="Times New Roman"/>
          </w:rPr>
          <w:id w:val="671215275"/>
          <w:citation/>
        </w:sdtPr>
        <w:sdtContent>
          <w:r w:rsidR="00D46C6D">
            <w:rPr>
              <w:rFonts w:ascii="Times New Roman" w:hAnsi="Times New Roman" w:cs="Times New Roman"/>
            </w:rPr>
            <w:fldChar w:fldCharType="begin"/>
          </w:r>
          <w:r w:rsidR="00D46C6D">
            <w:rPr>
              <w:rFonts w:ascii="Times New Roman" w:hAnsi="Times New Roman" w:cs="Times New Roman"/>
            </w:rPr>
            <w:instrText xml:space="preserve"> CITATION Kes24 \l 1033 </w:instrText>
          </w:r>
          <w:r w:rsidR="00DE2328">
            <w:rPr>
              <w:rFonts w:ascii="Times New Roman" w:hAnsi="Times New Roman" w:cs="Times New Roman"/>
            </w:rPr>
            <w:instrText xml:space="preserve"> \m Ram23</w:instrText>
          </w:r>
          <w:r w:rsidR="00D46C6D">
            <w:rPr>
              <w:rFonts w:ascii="Times New Roman" w:hAnsi="Times New Roman" w:cs="Times New Roman"/>
            </w:rPr>
            <w:fldChar w:fldCharType="separate"/>
          </w:r>
          <w:r w:rsidR="00A10468" w:rsidRPr="00A10468">
            <w:rPr>
              <w:rFonts w:ascii="Times New Roman" w:hAnsi="Times New Roman" w:cs="Times New Roman"/>
              <w:noProof/>
            </w:rPr>
            <w:t>(Kessler &amp; Bruce, 2024; Rambachan &amp; Roth, 2023)</w:t>
          </w:r>
          <w:r w:rsidR="00D46C6D">
            <w:rPr>
              <w:rFonts w:ascii="Times New Roman" w:hAnsi="Times New Roman" w:cs="Times New Roman"/>
            </w:rPr>
            <w:fldChar w:fldCharType="end"/>
          </w:r>
        </w:sdtContent>
      </w:sdt>
      <w:r w:rsidR="00DE2328">
        <w:rPr>
          <w:rFonts w:ascii="Times New Roman" w:hAnsi="Times New Roman" w:cs="Times New Roman"/>
        </w:rPr>
        <w:t>.</w:t>
      </w:r>
    </w:p>
    <w:p w14:paraId="55597823" w14:textId="11E45713" w:rsidR="004630E8" w:rsidRDefault="006134D8" w:rsidP="006134D8">
      <w:pPr>
        <w:spacing w:line="480" w:lineRule="auto"/>
        <w:ind w:firstLine="720"/>
        <w:rPr>
          <w:rFonts w:ascii="Times New Roman" w:hAnsi="Times New Roman" w:cs="Times New Roman"/>
        </w:rPr>
      </w:pPr>
      <w:r>
        <w:rPr>
          <w:rFonts w:ascii="Times New Roman" w:hAnsi="Times New Roman" w:cs="Times New Roman"/>
        </w:rPr>
        <w:t xml:space="preserve">For transparency, there is not an established or agreed upon level of M where results are deemed appropriate for staggered difference-in-difference approaches. Rather, </w:t>
      </w:r>
      <w:r>
        <w:rPr>
          <w:rFonts w:ascii="Times New Roman" w:hAnsi="Times New Roman" w:cs="Times New Roman"/>
        </w:rPr>
        <w:lastRenderedPageBreak/>
        <w:t xml:space="preserve">this test is about identifying how much non-linearity your model can take on before you fail to reject a null hypothesis of parallel pre-treatment trends based on a researcher’s understanding of their data. </w:t>
      </w:r>
      <w:r w:rsidR="003271D2">
        <w:rPr>
          <w:rFonts w:ascii="Times New Roman" w:hAnsi="Times New Roman" w:cs="Times New Roman"/>
        </w:rPr>
        <w:t xml:space="preserve">Using this analysis under conditions </w:t>
      </w:r>
      <w:r w:rsidR="00A2412C">
        <w:rPr>
          <w:rFonts w:ascii="Times New Roman" w:hAnsi="Times New Roman" w:cs="Times New Roman"/>
        </w:rPr>
        <w:t>where</w:t>
      </w:r>
      <w:r w:rsidR="003271D2">
        <w:rPr>
          <w:rFonts w:ascii="Times New Roman" w:hAnsi="Times New Roman" w:cs="Times New Roman"/>
        </w:rPr>
        <w:t xml:space="preserve"> parallel trends are not met</w:t>
      </w:r>
      <w:r w:rsidR="00875023">
        <w:rPr>
          <w:rFonts w:ascii="Times New Roman" w:hAnsi="Times New Roman" w:cs="Times New Roman"/>
        </w:rPr>
        <w:t xml:space="preserve"> allows us </w:t>
      </w:r>
      <w:r w:rsidR="00572F0F">
        <w:rPr>
          <w:rFonts w:ascii="Times New Roman" w:hAnsi="Times New Roman" w:cs="Times New Roman"/>
        </w:rPr>
        <w:t xml:space="preserve">ideally </w:t>
      </w:r>
      <w:r w:rsidR="00875023">
        <w:rPr>
          <w:rFonts w:ascii="Times New Roman" w:hAnsi="Times New Roman" w:cs="Times New Roman"/>
        </w:rPr>
        <w:t>to establish a value of M that is greater than zero</w:t>
      </w:r>
      <w:r w:rsidR="0029767A">
        <w:rPr>
          <w:rFonts w:ascii="Times New Roman" w:hAnsi="Times New Roman" w:cs="Times New Roman"/>
        </w:rPr>
        <w:t xml:space="preserve">. Finding my values of M </w:t>
      </w:r>
      <w:r w:rsidR="00431EBE">
        <w:rPr>
          <w:rFonts w:ascii="Times New Roman" w:hAnsi="Times New Roman" w:cs="Times New Roman"/>
        </w:rPr>
        <w:t xml:space="preserve">that </w:t>
      </w:r>
      <w:r w:rsidR="0029767A">
        <w:rPr>
          <w:rFonts w:ascii="Times New Roman" w:hAnsi="Times New Roman" w:cs="Times New Roman"/>
        </w:rPr>
        <w:t xml:space="preserve">are </w:t>
      </w:r>
      <w:r w:rsidR="00DD00B7">
        <w:rPr>
          <w:rFonts w:ascii="Times New Roman" w:hAnsi="Times New Roman" w:cs="Times New Roman"/>
        </w:rPr>
        <w:t xml:space="preserve">greater than </w:t>
      </w:r>
      <w:r w:rsidR="00A2412C">
        <w:rPr>
          <w:rFonts w:ascii="Times New Roman" w:hAnsi="Times New Roman" w:cs="Times New Roman"/>
        </w:rPr>
        <w:t xml:space="preserve">zero, I accept that I meet the parallel trends assumption for these two variables in addition to my other seven outcome variables. </w:t>
      </w:r>
    </w:p>
    <w:p w14:paraId="423D35AE" w14:textId="1C1DABC4" w:rsidR="00CE2B98" w:rsidRDefault="00F75823" w:rsidP="00137157">
      <w:pPr>
        <w:spacing w:line="480" w:lineRule="auto"/>
        <w:ind w:firstLine="720"/>
        <w:rPr>
          <w:rFonts w:ascii="Times New Roman" w:hAnsi="Times New Roman" w:cs="Times New Roman"/>
        </w:rPr>
      </w:pPr>
      <w:r>
        <w:rPr>
          <w:rFonts w:ascii="Times New Roman" w:hAnsi="Times New Roman" w:cs="Times New Roman"/>
        </w:rPr>
        <w:t>It should be noted that</w:t>
      </w:r>
      <w:r w:rsidR="00233314">
        <w:rPr>
          <w:rFonts w:ascii="Times New Roman" w:hAnsi="Times New Roman" w:cs="Times New Roman"/>
        </w:rPr>
        <w:t xml:space="preserve"> </w:t>
      </w:r>
      <w:r>
        <w:rPr>
          <w:rFonts w:ascii="Times New Roman" w:hAnsi="Times New Roman" w:cs="Times New Roman"/>
        </w:rPr>
        <w:t>Rambachan and Roth (</w:t>
      </w:r>
      <w:r w:rsidR="00566AD0">
        <w:rPr>
          <w:rFonts w:ascii="Times New Roman" w:hAnsi="Times New Roman" w:cs="Times New Roman"/>
        </w:rPr>
        <w:t>2023</w:t>
      </w:r>
      <w:r>
        <w:rPr>
          <w:rFonts w:ascii="Times New Roman" w:hAnsi="Times New Roman" w:cs="Times New Roman"/>
        </w:rPr>
        <w:t xml:space="preserve">) describe two tests using their robust inference approach. </w:t>
      </w:r>
      <w:r w:rsidR="007A3FB3">
        <w:rPr>
          <w:rFonts w:ascii="Times New Roman" w:hAnsi="Times New Roman" w:cs="Times New Roman"/>
        </w:rPr>
        <w:t xml:space="preserve">The first </w:t>
      </w:r>
      <w:r w:rsidR="00952033">
        <w:rPr>
          <w:rFonts w:ascii="Times New Roman" w:hAnsi="Times New Roman" w:cs="Times New Roman"/>
        </w:rPr>
        <w:t xml:space="preserve">utilizes bounds on relative magnitude </w:t>
      </w:r>
      <w:r w:rsidR="00926AE3">
        <w:rPr>
          <w:rFonts w:ascii="Times New Roman" w:hAnsi="Times New Roman" w:cs="Times New Roman"/>
        </w:rPr>
        <w:t xml:space="preserve">of violations of the parallel trends assumption. </w:t>
      </w:r>
      <w:r w:rsidR="00B965D8">
        <w:rPr>
          <w:rFonts w:ascii="Times New Roman" w:hAnsi="Times New Roman" w:cs="Times New Roman"/>
        </w:rPr>
        <w:t xml:space="preserve">The approach exploits logic that </w:t>
      </w:r>
      <w:r w:rsidR="001A4E18">
        <w:rPr>
          <w:rFonts w:ascii="Times New Roman" w:hAnsi="Times New Roman" w:cs="Times New Roman"/>
        </w:rPr>
        <w:t xml:space="preserve">post-treatment </w:t>
      </w:r>
      <w:r w:rsidR="001A4E18" w:rsidRPr="001A4E18">
        <w:rPr>
          <w:rFonts w:ascii="Times New Roman" w:hAnsi="Times New Roman" w:cs="Times New Roman"/>
        </w:rPr>
        <w:t xml:space="preserve">violations of parallel trends </w:t>
      </w:r>
      <w:r w:rsidR="001A4E18">
        <w:rPr>
          <w:rFonts w:ascii="Times New Roman" w:hAnsi="Times New Roman" w:cs="Times New Roman"/>
        </w:rPr>
        <w:t>should not</w:t>
      </w:r>
      <w:r w:rsidR="001A4E18" w:rsidRPr="001A4E18">
        <w:rPr>
          <w:rFonts w:ascii="Times New Roman" w:hAnsi="Times New Roman" w:cs="Times New Roman"/>
        </w:rPr>
        <w:t xml:space="preserve"> be </w:t>
      </w:r>
      <w:r w:rsidR="001A4E18">
        <w:rPr>
          <w:rFonts w:ascii="Times New Roman" w:hAnsi="Times New Roman" w:cs="Times New Roman"/>
        </w:rPr>
        <w:t>greater</w:t>
      </w:r>
      <w:r w:rsidR="001A4E18" w:rsidRPr="001A4E18">
        <w:rPr>
          <w:rFonts w:ascii="Times New Roman" w:hAnsi="Times New Roman" w:cs="Times New Roman"/>
        </w:rPr>
        <w:t xml:space="preserve"> than those in the pre-treatment period</w:t>
      </w:r>
      <w:r w:rsidR="001A4E18">
        <w:rPr>
          <w:rFonts w:ascii="Times New Roman" w:hAnsi="Times New Roman" w:cs="Times New Roman"/>
        </w:rPr>
        <w:t xml:space="preserve">. </w:t>
      </w:r>
      <w:r w:rsidR="00B070E2">
        <w:rPr>
          <w:rFonts w:ascii="Times New Roman" w:hAnsi="Times New Roman" w:cs="Times New Roman"/>
        </w:rPr>
        <w:t xml:space="preserve">Then </w:t>
      </w:r>
      <w:r w:rsidR="0011336D">
        <w:rPr>
          <w:rFonts w:ascii="Times New Roman" w:hAnsi="Times New Roman" w:cs="Times New Roman"/>
        </w:rPr>
        <w:t>this approach</w:t>
      </w:r>
      <w:r w:rsidR="00B070E2">
        <w:rPr>
          <w:rFonts w:ascii="Times New Roman" w:hAnsi="Times New Roman" w:cs="Times New Roman"/>
        </w:rPr>
        <w:t xml:space="preserve"> projects </w:t>
      </w:r>
      <w:r w:rsidR="00E56CB6">
        <w:rPr>
          <w:rFonts w:ascii="Times New Roman" w:hAnsi="Times New Roman" w:cs="Times New Roman"/>
        </w:rPr>
        <w:t>these violations</w:t>
      </w:r>
      <w:r w:rsidR="00B070E2">
        <w:rPr>
          <w:rFonts w:ascii="Times New Roman" w:hAnsi="Times New Roman" w:cs="Times New Roman"/>
        </w:rPr>
        <w:t xml:space="preserve"> </w:t>
      </w:r>
      <w:r w:rsidR="00457E6B">
        <w:rPr>
          <w:rFonts w:ascii="Times New Roman" w:hAnsi="Times New Roman" w:cs="Times New Roman"/>
        </w:rPr>
        <w:t xml:space="preserve">onto the confidence intervals calculated by </w:t>
      </w:r>
      <w:r w:rsidR="00457E6B" w:rsidRPr="00457E6B">
        <w:rPr>
          <w:rFonts w:ascii="Times New Roman" w:hAnsi="Times New Roman" w:cs="Times New Roman"/>
        </w:rPr>
        <w:t>Rambachan and Roth</w:t>
      </w:r>
      <w:r w:rsidR="00457E6B">
        <w:rPr>
          <w:rFonts w:ascii="Times New Roman" w:hAnsi="Times New Roman" w:cs="Times New Roman"/>
        </w:rPr>
        <w:t xml:space="preserve"> (202</w:t>
      </w:r>
      <w:r w:rsidR="000A56A8">
        <w:rPr>
          <w:rFonts w:ascii="Times New Roman" w:hAnsi="Times New Roman" w:cs="Times New Roman"/>
        </w:rPr>
        <w:t>3</w:t>
      </w:r>
      <w:r w:rsidR="00457E6B">
        <w:rPr>
          <w:rFonts w:ascii="Times New Roman" w:hAnsi="Times New Roman" w:cs="Times New Roman"/>
        </w:rPr>
        <w:t xml:space="preserve">) to </w:t>
      </w:r>
      <w:r w:rsidR="00926AE3">
        <w:rPr>
          <w:rFonts w:ascii="Times New Roman" w:hAnsi="Times New Roman" w:cs="Times New Roman"/>
        </w:rPr>
        <w:t xml:space="preserve">define </w:t>
      </w:r>
      <m:oMath>
        <m:acc>
          <m:accPr>
            <m:chr m:val="̅"/>
            <m:ctrlPr>
              <w:rPr>
                <w:rFonts w:ascii="Cambria Math" w:hAnsi="Cambria Math" w:cs="Times New Roman"/>
                <w:i/>
              </w:rPr>
            </m:ctrlPr>
          </m:accPr>
          <m:e>
            <m:r>
              <w:rPr>
                <w:rFonts w:ascii="Cambria Math" w:hAnsi="Cambria Math" w:cs="Times New Roman"/>
              </w:rPr>
              <m:t>M</m:t>
            </m:r>
          </m:e>
        </m:acc>
      </m:oMath>
      <w:r w:rsidR="00413EDA">
        <w:rPr>
          <w:rFonts w:ascii="Times New Roman" w:hAnsi="Times New Roman" w:cs="Times New Roman"/>
        </w:rPr>
        <w:t xml:space="preserve">. This approach then calculates </w:t>
      </w:r>
      <m:oMath>
        <m:acc>
          <m:accPr>
            <m:chr m:val="̅"/>
            <m:ctrlPr>
              <w:rPr>
                <w:rFonts w:ascii="Cambria Math" w:hAnsi="Cambria Math" w:cs="Times New Roman"/>
                <w:i/>
              </w:rPr>
            </m:ctrlPr>
          </m:accPr>
          <m:e>
            <m:r>
              <w:rPr>
                <w:rFonts w:ascii="Cambria Math" w:hAnsi="Cambria Math" w:cs="Times New Roman"/>
              </w:rPr>
              <m:t>M</m:t>
            </m:r>
          </m:e>
        </m:acc>
      </m:oMath>
      <w:r w:rsidR="00926AE3">
        <w:rPr>
          <w:rFonts w:ascii="Times New Roman" w:hAnsi="Times New Roman" w:cs="Times New Roman"/>
        </w:rPr>
        <w:t xml:space="preserve"> </w:t>
      </w:r>
      <w:r w:rsidR="00457E6B">
        <w:rPr>
          <w:rFonts w:ascii="Times New Roman" w:hAnsi="Times New Roman" w:cs="Times New Roman"/>
        </w:rPr>
        <w:t xml:space="preserve">at various </w:t>
      </w:r>
      <w:r w:rsidR="0020350D">
        <w:rPr>
          <w:rFonts w:ascii="Times New Roman" w:hAnsi="Times New Roman" w:cs="Times New Roman"/>
        </w:rPr>
        <w:t xml:space="preserve">levels </w:t>
      </w:r>
      <w:r w:rsidR="00413EDA">
        <w:rPr>
          <w:rFonts w:ascii="Times New Roman" w:hAnsi="Times New Roman" w:cs="Times New Roman"/>
        </w:rPr>
        <w:t>based on</w:t>
      </w:r>
      <w:r w:rsidR="0020350D">
        <w:rPr>
          <w:rFonts w:ascii="Times New Roman" w:hAnsi="Times New Roman" w:cs="Times New Roman"/>
        </w:rPr>
        <w:t xml:space="preserve"> how much</w:t>
      </w:r>
      <w:r w:rsidR="000C0D95">
        <w:rPr>
          <w:rFonts w:ascii="Times New Roman" w:hAnsi="Times New Roman" w:cs="Times New Roman"/>
        </w:rPr>
        <w:t xml:space="preserve"> </w:t>
      </w:r>
      <w:r w:rsidR="00413EDA">
        <w:rPr>
          <w:rFonts w:ascii="Times New Roman" w:hAnsi="Times New Roman" w:cs="Times New Roman"/>
        </w:rPr>
        <w:t>a researcher</w:t>
      </w:r>
      <w:r w:rsidR="0020350D">
        <w:rPr>
          <w:rFonts w:ascii="Times New Roman" w:hAnsi="Times New Roman" w:cs="Times New Roman"/>
        </w:rPr>
        <w:t xml:space="preserve"> </w:t>
      </w:r>
      <w:r w:rsidR="00413EDA">
        <w:rPr>
          <w:rFonts w:ascii="Times New Roman" w:hAnsi="Times New Roman" w:cs="Times New Roman"/>
        </w:rPr>
        <w:t>allows</w:t>
      </w:r>
      <w:r w:rsidR="0020350D">
        <w:rPr>
          <w:rFonts w:ascii="Times New Roman" w:hAnsi="Times New Roman" w:cs="Times New Roman"/>
        </w:rPr>
        <w:t xml:space="preserve"> post-treatment trends to violate </w:t>
      </w:r>
      <w:r w:rsidR="00C7620D">
        <w:rPr>
          <w:rFonts w:ascii="Times New Roman" w:hAnsi="Times New Roman" w:cs="Times New Roman"/>
        </w:rPr>
        <w:t xml:space="preserve">the parallel trends assumption as compared to the </w:t>
      </w:r>
      <w:r w:rsidR="0020350D">
        <w:rPr>
          <w:rFonts w:ascii="Times New Roman" w:hAnsi="Times New Roman" w:cs="Times New Roman"/>
        </w:rPr>
        <w:t xml:space="preserve">pre-treatment </w:t>
      </w:r>
      <w:r w:rsidR="00C7620D">
        <w:rPr>
          <w:rFonts w:ascii="Times New Roman" w:hAnsi="Times New Roman" w:cs="Times New Roman"/>
        </w:rPr>
        <w:t>period.</w:t>
      </w:r>
      <w:r w:rsidR="00926AE3">
        <w:rPr>
          <w:rFonts w:ascii="Times New Roman" w:hAnsi="Times New Roman" w:cs="Times New Roman"/>
        </w:rPr>
        <w:t xml:space="preserve"> </w:t>
      </w:r>
      <w:r w:rsidR="00C7620D">
        <w:rPr>
          <w:rFonts w:ascii="Times New Roman" w:hAnsi="Times New Roman" w:cs="Times New Roman"/>
        </w:rPr>
        <w:t>This approach is most appropriate for analys</w:t>
      </w:r>
      <w:r w:rsidR="00CE2B98">
        <w:rPr>
          <w:rFonts w:ascii="Times New Roman" w:hAnsi="Times New Roman" w:cs="Times New Roman"/>
        </w:rPr>
        <w:t>es that examine industries that experience non-simultaneous industry shocks (</w:t>
      </w:r>
      <w:r w:rsidR="00CE2B98" w:rsidRPr="00457E6B">
        <w:rPr>
          <w:rFonts w:ascii="Times New Roman" w:hAnsi="Times New Roman" w:cs="Times New Roman"/>
        </w:rPr>
        <w:t xml:space="preserve">Rambachan </w:t>
      </w:r>
      <w:r w:rsidR="00AE5AF2">
        <w:rPr>
          <w:rFonts w:ascii="Times New Roman" w:hAnsi="Times New Roman" w:cs="Times New Roman"/>
        </w:rPr>
        <w:t>&amp;</w:t>
      </w:r>
      <w:r w:rsidR="00CE2B98" w:rsidRPr="00457E6B">
        <w:rPr>
          <w:rFonts w:ascii="Times New Roman" w:hAnsi="Times New Roman" w:cs="Times New Roman"/>
        </w:rPr>
        <w:t xml:space="preserve"> Roth</w:t>
      </w:r>
      <w:r w:rsidR="00970B2A">
        <w:rPr>
          <w:rFonts w:ascii="Times New Roman" w:hAnsi="Times New Roman" w:cs="Times New Roman"/>
        </w:rPr>
        <w:t xml:space="preserve">, </w:t>
      </w:r>
      <w:r w:rsidR="00CE2B98">
        <w:rPr>
          <w:rFonts w:ascii="Times New Roman" w:hAnsi="Times New Roman" w:cs="Times New Roman"/>
        </w:rPr>
        <w:t>202</w:t>
      </w:r>
      <w:r w:rsidR="000A56A8">
        <w:rPr>
          <w:rFonts w:ascii="Times New Roman" w:hAnsi="Times New Roman" w:cs="Times New Roman"/>
        </w:rPr>
        <w:t>3</w:t>
      </w:r>
      <w:r w:rsidR="00CE2B98">
        <w:rPr>
          <w:rFonts w:ascii="Times New Roman" w:hAnsi="Times New Roman" w:cs="Times New Roman"/>
        </w:rPr>
        <w:t xml:space="preserve">). </w:t>
      </w:r>
      <w:r w:rsidR="00E16FD7">
        <w:rPr>
          <w:rFonts w:ascii="Times New Roman" w:hAnsi="Times New Roman" w:cs="Times New Roman"/>
        </w:rPr>
        <w:t xml:space="preserve">Here, we identify what Rambachan and Roth refer to as the breakdown value </w:t>
      </w:r>
      <w:r w:rsidR="00C104CF">
        <w:rPr>
          <w:rFonts w:ascii="Times New Roman" w:hAnsi="Times New Roman" w:cs="Times New Roman"/>
        </w:rPr>
        <w:t xml:space="preserve">of </w:t>
      </w:r>
      <m:oMath>
        <m:acc>
          <m:accPr>
            <m:chr m:val="̅"/>
            <m:ctrlPr>
              <w:rPr>
                <w:rFonts w:ascii="Cambria Math" w:hAnsi="Cambria Math" w:cs="Times New Roman"/>
                <w:i/>
              </w:rPr>
            </m:ctrlPr>
          </m:accPr>
          <m:e>
            <m:r>
              <w:rPr>
                <w:rFonts w:ascii="Cambria Math" w:hAnsi="Cambria Math" w:cs="Times New Roman"/>
              </w:rPr>
              <m:t>M</m:t>
            </m:r>
          </m:e>
        </m:acc>
      </m:oMath>
      <w:r w:rsidR="00C104CF">
        <w:rPr>
          <w:rFonts w:ascii="Times New Roman" w:hAnsi="Times New Roman" w:cs="Times New Roman"/>
        </w:rPr>
        <w:t xml:space="preserve"> where the robust confidence intervals cross zero. This </w:t>
      </w:r>
      <w:r w:rsidR="00BF45D9">
        <w:rPr>
          <w:rFonts w:ascii="Times New Roman" w:hAnsi="Times New Roman" w:cs="Times New Roman"/>
        </w:rPr>
        <w:t xml:space="preserve">value of </w:t>
      </w:r>
      <m:oMath>
        <m:acc>
          <m:accPr>
            <m:chr m:val="̅"/>
            <m:ctrlPr>
              <w:rPr>
                <w:rFonts w:ascii="Cambria Math" w:hAnsi="Cambria Math" w:cs="Times New Roman"/>
                <w:i/>
              </w:rPr>
            </m:ctrlPr>
          </m:accPr>
          <m:e>
            <m:r>
              <w:rPr>
                <w:rFonts w:ascii="Cambria Math" w:hAnsi="Cambria Math" w:cs="Times New Roman"/>
              </w:rPr>
              <m:t>M</m:t>
            </m:r>
          </m:e>
        </m:acc>
      </m:oMath>
      <w:r w:rsidR="00BF45D9">
        <w:rPr>
          <w:rFonts w:ascii="Times New Roman" w:hAnsi="Times New Roman" w:cs="Times New Roman"/>
        </w:rPr>
        <w:t xml:space="preserve"> reflects the amount by which </w:t>
      </w:r>
      <w:r w:rsidR="00F00CAC">
        <w:rPr>
          <w:rFonts w:ascii="Times New Roman" w:hAnsi="Times New Roman" w:cs="Times New Roman"/>
        </w:rPr>
        <w:t xml:space="preserve">post-treatment violations can be larger than the pre-treatment violation of the parallel trends assumption before we can no longer accept that </w:t>
      </w:r>
      <w:r w:rsidR="004349D6">
        <w:rPr>
          <w:rFonts w:ascii="Times New Roman" w:hAnsi="Times New Roman" w:cs="Times New Roman"/>
        </w:rPr>
        <w:t xml:space="preserve">the pre-treatment trends are non-significantly different from zero. </w:t>
      </w:r>
    </w:p>
    <w:p w14:paraId="575D2F36" w14:textId="0FA3C754" w:rsidR="00CE2B98" w:rsidRPr="00E16FD7" w:rsidRDefault="00CE2B98" w:rsidP="00137157">
      <w:pPr>
        <w:spacing w:line="480" w:lineRule="auto"/>
        <w:ind w:firstLine="720"/>
        <w:rPr>
          <w:rFonts w:ascii="Times New Roman" w:hAnsi="Times New Roman" w:cs="Times New Roman"/>
        </w:rPr>
      </w:pPr>
      <w:r>
        <w:rPr>
          <w:rFonts w:ascii="Times New Roman" w:hAnsi="Times New Roman" w:cs="Times New Roman"/>
        </w:rPr>
        <w:t>The second test</w:t>
      </w:r>
      <w:r w:rsidR="006F23F0">
        <w:rPr>
          <w:rFonts w:ascii="Times New Roman" w:hAnsi="Times New Roman" w:cs="Times New Roman"/>
        </w:rPr>
        <w:t xml:space="preserve"> is more suited to data sets such as my own where the sample is contained within a single industry (i.e., postsecondary education) that experiences </w:t>
      </w:r>
      <w:r w:rsidR="006F23F0">
        <w:rPr>
          <w:rFonts w:ascii="Times New Roman" w:hAnsi="Times New Roman" w:cs="Times New Roman"/>
        </w:rPr>
        <w:lastRenderedPageBreak/>
        <w:t xml:space="preserve">similarly trending forces but have stronger unit-level, unique characteristics that might affect how they experience these shocks. This second approach </w:t>
      </w:r>
      <w:r w:rsidR="00AE5AF2">
        <w:rPr>
          <w:rFonts w:ascii="Times New Roman" w:hAnsi="Times New Roman" w:cs="Times New Roman"/>
        </w:rPr>
        <w:t>utilizes</w:t>
      </w:r>
      <w:r w:rsidR="006F23F0">
        <w:rPr>
          <w:rFonts w:ascii="Times New Roman" w:hAnsi="Times New Roman" w:cs="Times New Roman"/>
        </w:rPr>
        <w:t xml:space="preserve"> a</w:t>
      </w:r>
      <w:r w:rsidR="00C62F8C">
        <w:rPr>
          <w:rFonts w:ascii="Times New Roman" w:hAnsi="Times New Roman" w:cs="Times New Roman"/>
        </w:rPr>
        <w:t xml:space="preserve"> sensitivity analysis </w:t>
      </w:r>
      <w:r w:rsidR="00AE5AF2">
        <w:rPr>
          <w:rFonts w:ascii="Times New Roman" w:hAnsi="Times New Roman" w:cs="Times New Roman"/>
        </w:rPr>
        <w:t xml:space="preserve">using a </w:t>
      </w:r>
      <w:r w:rsidR="006F23F0">
        <w:rPr>
          <w:rFonts w:ascii="Times New Roman" w:hAnsi="Times New Roman" w:cs="Times New Roman"/>
        </w:rPr>
        <w:t xml:space="preserve">smoothness restriction </w:t>
      </w:r>
      <w:r w:rsidR="00AE5AF2">
        <w:rPr>
          <w:rFonts w:ascii="Times New Roman" w:hAnsi="Times New Roman" w:cs="Times New Roman"/>
        </w:rPr>
        <w:t>that utilizes the changes in slope between the pre-treatment through adoption period and adoption through post-treatment periods to make conclusions about the appropriateness of applying staggered difference-in-difference analysis (Rambachan &amp; Roth, 202</w:t>
      </w:r>
      <w:r w:rsidR="000A56A8">
        <w:rPr>
          <w:rFonts w:ascii="Times New Roman" w:hAnsi="Times New Roman" w:cs="Times New Roman"/>
        </w:rPr>
        <w:t>3</w:t>
      </w:r>
      <w:r w:rsidR="00AE5AF2">
        <w:rPr>
          <w:rFonts w:ascii="Times New Roman" w:hAnsi="Times New Roman" w:cs="Times New Roman"/>
        </w:rPr>
        <w:t>).</w:t>
      </w:r>
      <w:r w:rsidR="003748B9">
        <w:rPr>
          <w:rFonts w:ascii="Times New Roman" w:hAnsi="Times New Roman" w:cs="Times New Roman"/>
        </w:rPr>
        <w:t xml:space="preserve"> This approach identifies the confidence intervals at  </w:t>
      </w:r>
      <w:r w:rsidR="003748B9">
        <w:rPr>
          <w:rFonts w:ascii="Times New Roman" w:hAnsi="Times New Roman" w:cs="Times New Roman"/>
          <w:i/>
          <w:iCs/>
        </w:rPr>
        <w:t xml:space="preserve">M </w:t>
      </w:r>
      <w:r w:rsidR="003748B9">
        <w:rPr>
          <w:rFonts w:ascii="Times New Roman" w:hAnsi="Times New Roman" w:cs="Times New Roman"/>
        </w:rPr>
        <w:t xml:space="preserve">values as a measure of how much non-linearity we allow </w:t>
      </w:r>
      <w:r w:rsidR="004C3AAE">
        <w:rPr>
          <w:rFonts w:ascii="Times New Roman" w:hAnsi="Times New Roman" w:cs="Times New Roman"/>
        </w:rPr>
        <w:t>the post-treatment</w:t>
      </w:r>
      <w:r w:rsidR="00623088">
        <w:rPr>
          <w:rFonts w:ascii="Times New Roman" w:hAnsi="Times New Roman" w:cs="Times New Roman"/>
        </w:rPr>
        <w:t xml:space="preserve"> trends</w:t>
      </w:r>
      <w:r w:rsidR="004C3AAE">
        <w:rPr>
          <w:rFonts w:ascii="Times New Roman" w:hAnsi="Times New Roman" w:cs="Times New Roman"/>
        </w:rPr>
        <w:t xml:space="preserve"> to violate the parallel trends assumption based on </w:t>
      </w:r>
      <w:r w:rsidR="006563D5">
        <w:rPr>
          <w:rFonts w:ascii="Times New Roman" w:hAnsi="Times New Roman" w:cs="Times New Roman"/>
        </w:rPr>
        <w:t xml:space="preserve">violations in the pre-treatment trends. </w:t>
      </w:r>
      <w:r w:rsidR="00E16FD7">
        <w:rPr>
          <w:rFonts w:ascii="Times New Roman" w:hAnsi="Times New Roman" w:cs="Times New Roman"/>
        </w:rPr>
        <w:t>Similarly</w:t>
      </w:r>
      <w:r w:rsidR="005E3E43">
        <w:rPr>
          <w:rFonts w:ascii="Times New Roman" w:hAnsi="Times New Roman" w:cs="Times New Roman"/>
        </w:rPr>
        <w:t xml:space="preserve"> to </w:t>
      </w:r>
      <m:oMath>
        <m:acc>
          <m:accPr>
            <m:chr m:val="̅"/>
            <m:ctrlPr>
              <w:rPr>
                <w:rFonts w:ascii="Cambria Math" w:hAnsi="Cambria Math" w:cs="Times New Roman"/>
                <w:i/>
              </w:rPr>
            </m:ctrlPr>
          </m:accPr>
          <m:e>
            <m:r>
              <w:rPr>
                <w:rFonts w:ascii="Cambria Math" w:hAnsi="Cambria Math" w:cs="Times New Roman"/>
              </w:rPr>
              <m:t>M</m:t>
            </m:r>
          </m:e>
        </m:acc>
      </m:oMath>
      <w:r w:rsidR="003004F6">
        <w:rPr>
          <w:rFonts w:ascii="Times New Roman" w:hAnsi="Times New Roman" w:cs="Times New Roman"/>
        </w:rPr>
        <w:t>,</w:t>
      </w:r>
      <w:r w:rsidR="005E3E43">
        <w:rPr>
          <w:rFonts w:ascii="Times New Roman" w:hAnsi="Times New Roman" w:cs="Times New Roman"/>
        </w:rPr>
        <w:t xml:space="preserve"> the point </w:t>
      </w:r>
      <w:r w:rsidR="003004F6">
        <w:rPr>
          <w:rFonts w:ascii="Times New Roman" w:hAnsi="Times New Roman" w:cs="Times New Roman"/>
        </w:rPr>
        <w:t>at</w:t>
      </w:r>
      <w:r w:rsidR="005E3E43">
        <w:rPr>
          <w:rFonts w:ascii="Times New Roman" w:hAnsi="Times New Roman" w:cs="Times New Roman"/>
        </w:rPr>
        <w:t xml:space="preserve"> which a confidence interval crosses zero for </w:t>
      </w:r>
      <w:r w:rsidR="00E16FD7">
        <w:rPr>
          <w:rFonts w:ascii="Times New Roman" w:hAnsi="Times New Roman" w:cs="Times New Roman"/>
          <w:i/>
          <w:iCs/>
        </w:rPr>
        <w:t>M</w:t>
      </w:r>
      <w:r w:rsidR="00C92472">
        <w:rPr>
          <w:rFonts w:ascii="Times New Roman" w:hAnsi="Times New Roman" w:cs="Times New Roman"/>
          <w:i/>
          <w:iCs/>
        </w:rPr>
        <w:t xml:space="preserve"> </w:t>
      </w:r>
      <w:r w:rsidR="00C92472" w:rsidRPr="00C92472">
        <w:rPr>
          <w:rFonts w:ascii="Times New Roman" w:hAnsi="Times New Roman" w:cs="Times New Roman"/>
        </w:rPr>
        <w:t xml:space="preserve">is </w:t>
      </w:r>
      <w:r w:rsidR="00C92472">
        <w:rPr>
          <w:rFonts w:ascii="Times New Roman" w:hAnsi="Times New Roman" w:cs="Times New Roman"/>
        </w:rPr>
        <w:t xml:space="preserve">also </w:t>
      </w:r>
      <w:r w:rsidR="00C92472" w:rsidRPr="00C92472">
        <w:rPr>
          <w:rFonts w:ascii="Times New Roman" w:hAnsi="Times New Roman" w:cs="Times New Roman"/>
        </w:rPr>
        <w:t>the point</w:t>
      </w:r>
      <w:r w:rsidR="00E16FD7">
        <w:rPr>
          <w:rFonts w:ascii="Times New Roman" w:hAnsi="Times New Roman" w:cs="Times New Roman"/>
          <w:i/>
          <w:iCs/>
        </w:rPr>
        <w:t xml:space="preserve"> </w:t>
      </w:r>
      <w:r w:rsidR="00E16FD7">
        <w:rPr>
          <w:rFonts w:ascii="Times New Roman" w:hAnsi="Times New Roman" w:cs="Times New Roman"/>
        </w:rPr>
        <w:t>w</w:t>
      </w:r>
      <w:r w:rsidR="00C92472">
        <w:rPr>
          <w:rFonts w:ascii="Times New Roman" w:hAnsi="Times New Roman" w:cs="Times New Roman"/>
        </w:rPr>
        <w:t>here a researcher</w:t>
      </w:r>
      <w:r w:rsidR="00E16FD7">
        <w:rPr>
          <w:rFonts w:ascii="Times New Roman" w:hAnsi="Times New Roman" w:cs="Times New Roman"/>
        </w:rPr>
        <w:t xml:space="preserve"> must reject the null hypothesis </w:t>
      </w:r>
      <w:r w:rsidR="009A02F9">
        <w:rPr>
          <w:rFonts w:ascii="Times New Roman" w:hAnsi="Times New Roman" w:cs="Times New Roman"/>
        </w:rPr>
        <w:t>that the studied</w:t>
      </w:r>
      <w:r w:rsidR="00E16FD7">
        <w:rPr>
          <w:rFonts w:ascii="Times New Roman" w:hAnsi="Times New Roman" w:cs="Times New Roman"/>
        </w:rPr>
        <w:t xml:space="preserve"> pre-treatment trends are not significantly different from zero. </w:t>
      </w:r>
    </w:p>
    <w:p w14:paraId="131BE560" w14:textId="68474473" w:rsidR="00F75823" w:rsidRPr="00137157" w:rsidRDefault="00F75823" w:rsidP="00137157">
      <w:pPr>
        <w:spacing w:line="480" w:lineRule="auto"/>
        <w:ind w:firstLine="720"/>
        <w:rPr>
          <w:rFonts w:ascii="Times New Roman" w:hAnsi="Times New Roman" w:cs="Times New Roman"/>
        </w:rPr>
      </w:pPr>
      <w:r>
        <w:rPr>
          <w:rFonts w:ascii="Times New Roman" w:hAnsi="Times New Roman" w:cs="Times New Roman"/>
        </w:rPr>
        <w:t xml:space="preserve">I opted to utilize the </w:t>
      </w:r>
      <w:r w:rsidR="003748B9">
        <w:rPr>
          <w:rFonts w:ascii="Times New Roman" w:hAnsi="Times New Roman" w:cs="Times New Roman"/>
        </w:rPr>
        <w:t>smoothness</w:t>
      </w:r>
      <w:r>
        <w:rPr>
          <w:rFonts w:ascii="Times New Roman" w:hAnsi="Times New Roman" w:cs="Times New Roman"/>
        </w:rPr>
        <w:t xml:space="preserve"> restriction test rather than the alternate examination of bounds of relative magnitude due to it being the option more suited to similarly behaving </w:t>
      </w:r>
      <w:r w:rsidR="009174F2">
        <w:rPr>
          <w:rFonts w:ascii="Times New Roman" w:hAnsi="Times New Roman" w:cs="Times New Roman"/>
        </w:rPr>
        <w:t>units</w:t>
      </w:r>
      <w:r>
        <w:rPr>
          <w:rFonts w:ascii="Times New Roman" w:hAnsi="Times New Roman" w:cs="Times New Roman"/>
        </w:rPr>
        <w:t xml:space="preserve"> over time (e.g., firms within one industry) that may have unit-specific time trends. The examination of bounds of relative magnitude are more appropriate for samples that experience asynchronous external shocks throughout the sample (e.g., firms across multiple industries affected by industry level shocks).</w:t>
      </w:r>
    </w:p>
    <w:p w14:paraId="54F10350" w14:textId="5C9F401E" w:rsidR="002417B6" w:rsidRDefault="002417B6" w:rsidP="002417B6">
      <w:pPr>
        <w:spacing w:line="480" w:lineRule="auto"/>
        <w:ind w:firstLine="720"/>
        <w:rPr>
          <w:rFonts w:ascii="Times New Roman" w:hAnsi="Times New Roman" w:cs="Times New Roman"/>
        </w:rPr>
      </w:pPr>
      <w:r>
        <w:rPr>
          <w:rFonts w:ascii="Times New Roman" w:hAnsi="Times New Roman" w:cs="Times New Roman"/>
        </w:rPr>
        <w:t>In the following results chapter, I will explore regression outputs for these nine models using Sun and Abraham’s event study interaction estimator for my sample of public in</w:t>
      </w:r>
      <w:r w:rsidR="0011336D">
        <w:rPr>
          <w:rFonts w:ascii="Times New Roman" w:hAnsi="Times New Roman" w:cs="Times New Roman"/>
        </w:rPr>
        <w:t>s</w:t>
      </w:r>
      <w:r>
        <w:rPr>
          <w:rFonts w:ascii="Times New Roman" w:hAnsi="Times New Roman" w:cs="Times New Roman"/>
        </w:rPr>
        <w:t>t</w:t>
      </w:r>
      <w:r w:rsidR="0011336D">
        <w:rPr>
          <w:rFonts w:ascii="Times New Roman" w:hAnsi="Times New Roman" w:cs="Times New Roman"/>
        </w:rPr>
        <w:t>it</w:t>
      </w:r>
      <w:r>
        <w:rPr>
          <w:rFonts w:ascii="Times New Roman" w:hAnsi="Times New Roman" w:cs="Times New Roman"/>
        </w:rPr>
        <w:t>utions. Regression outputs for the outcomes that did not meet the parallel pre-treatment trends assumption as well as models from other samples and estimators will be included in the appendices of this manuscript as specified in Chapter 4.</w:t>
      </w:r>
    </w:p>
    <w:p w14:paraId="1190A547" w14:textId="77777777" w:rsidR="00C351A1" w:rsidRPr="006E272D" w:rsidRDefault="00C351A1" w:rsidP="004F2800">
      <w:pPr>
        <w:pStyle w:val="Heading2"/>
        <w:spacing w:before="0" w:after="0"/>
      </w:pPr>
      <w:bookmarkStart w:id="106" w:name="_Toc183282281"/>
      <w:r w:rsidRPr="006E272D">
        <w:lastRenderedPageBreak/>
        <w:t>Study Limitations</w:t>
      </w:r>
      <w:bookmarkEnd w:id="106"/>
    </w:p>
    <w:p w14:paraId="44FB7A0B" w14:textId="4FDE4B3D" w:rsidR="008F0D84" w:rsidRDefault="00C351A1" w:rsidP="004F280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I did not disaggregate my outcome variable</w:t>
      </w:r>
      <w:r w:rsidR="002E4366">
        <w:rPr>
          <w:rFonts w:ascii="Times New Roman" w:hAnsi="Times New Roman" w:cs="Times New Roman"/>
        </w:rPr>
        <w:t>s</w:t>
      </w:r>
      <w:r>
        <w:rPr>
          <w:rFonts w:ascii="Times New Roman" w:hAnsi="Times New Roman" w:cs="Times New Roman"/>
        </w:rPr>
        <w:t xml:space="preserve"> by student demographic nor establish specific covariates to account for variations in promise program design. This is limiting in two ways. First, because I did not include an analysis of student demographics, I am not able to speak to potential differences in </w:t>
      </w:r>
      <w:r w:rsidR="00C52F5E">
        <w:rPr>
          <w:rFonts w:ascii="Times New Roman" w:hAnsi="Times New Roman" w:cs="Times New Roman"/>
        </w:rPr>
        <w:t xml:space="preserve">the </w:t>
      </w:r>
      <w:r>
        <w:rPr>
          <w:rFonts w:ascii="Times New Roman" w:hAnsi="Times New Roman" w:cs="Times New Roman"/>
        </w:rPr>
        <w:t xml:space="preserve">effect of free college programs by student groups which has been documented to exist in other studies. Second, I am not able to conclude if there are differences in effect size between promise programs regarding variations in eligibility </w:t>
      </w:r>
      <w:r w:rsidR="007D325C">
        <w:rPr>
          <w:rFonts w:ascii="Times New Roman" w:hAnsi="Times New Roman" w:cs="Times New Roman"/>
        </w:rPr>
        <w:t>by geographic</w:t>
      </w:r>
      <w:r>
        <w:rPr>
          <w:rFonts w:ascii="Times New Roman" w:hAnsi="Times New Roman" w:cs="Times New Roman"/>
        </w:rPr>
        <w:t xml:space="preserve"> place, what the award covers, or how </w:t>
      </w:r>
      <w:r w:rsidR="004D1464">
        <w:rPr>
          <w:rFonts w:ascii="Times New Roman" w:hAnsi="Times New Roman" w:cs="Times New Roman"/>
        </w:rPr>
        <w:t xml:space="preserve">awards are </w:t>
      </w:r>
      <w:r>
        <w:rPr>
          <w:rFonts w:ascii="Times New Roman" w:hAnsi="Times New Roman" w:cs="Times New Roman"/>
        </w:rPr>
        <w:t>distributed.</w:t>
      </w:r>
      <w:r w:rsidR="00154B38" w:rsidRPr="00154B38">
        <w:rPr>
          <w:rFonts w:ascii="Times New Roman" w:hAnsi="Times New Roman" w:cs="Times New Roman"/>
        </w:rPr>
        <w:t xml:space="preserve"> </w:t>
      </w:r>
      <w:r w:rsidR="008F0D84">
        <w:rPr>
          <w:rFonts w:ascii="Times New Roman" w:hAnsi="Times New Roman" w:cs="Times New Roman"/>
        </w:rPr>
        <w:t>Currently,</w:t>
      </w:r>
      <w:r w:rsidR="00051C5D">
        <w:rPr>
          <w:rFonts w:ascii="Times New Roman" w:hAnsi="Times New Roman" w:cs="Times New Roman"/>
        </w:rPr>
        <w:t xml:space="preserve"> this data exists both on individual promise program websites but remains to be properly organized and collected. A future project would benefit from spending time collecting this data to include in future analysis. However, at this time this was not feasible for the completion for my present project.</w:t>
      </w:r>
      <w:r w:rsidR="008F0D84">
        <w:rPr>
          <w:rFonts w:ascii="Times New Roman" w:hAnsi="Times New Roman" w:cs="Times New Roman"/>
        </w:rPr>
        <w:t xml:space="preserve"> </w:t>
      </w:r>
      <w:r w:rsidR="00154B38">
        <w:rPr>
          <w:rFonts w:ascii="Times New Roman" w:hAnsi="Times New Roman" w:cs="Times New Roman"/>
        </w:rPr>
        <w:t xml:space="preserve">Despite this, I find my study is still valuable as it uniquely discusses sub-baccalaureate awards in discreet categories by length </w:t>
      </w:r>
      <w:r w:rsidR="000A67A3">
        <w:rPr>
          <w:rFonts w:ascii="Times New Roman" w:hAnsi="Times New Roman" w:cs="Times New Roman"/>
        </w:rPr>
        <w:t xml:space="preserve">and area of study </w:t>
      </w:r>
      <w:r w:rsidR="00154B38">
        <w:rPr>
          <w:rFonts w:ascii="Times New Roman" w:hAnsi="Times New Roman" w:cs="Times New Roman"/>
        </w:rPr>
        <w:t xml:space="preserve">which other studies have not done. This provides the field with unique utility in that I am able to offer estimates of how free-college programs affect completions. </w:t>
      </w:r>
    </w:p>
    <w:p w14:paraId="380ACB2A" w14:textId="1D5A57EC" w:rsidR="00971A33" w:rsidRDefault="00C351A1" w:rsidP="004F280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By doing so, researchers will be able to establish how effective promise tools are at addressing long-standing inequities which would be of interest given sub-baccalaureate institutions traditionally serv</w:t>
      </w:r>
      <w:r w:rsidR="000A67A3">
        <w:rPr>
          <w:rFonts w:ascii="Times New Roman" w:hAnsi="Times New Roman" w:cs="Times New Roman"/>
        </w:rPr>
        <w:t>e</w:t>
      </w:r>
      <w:r>
        <w:rPr>
          <w:rFonts w:ascii="Times New Roman" w:hAnsi="Times New Roman" w:cs="Times New Roman"/>
        </w:rPr>
        <w:t xml:space="preserve"> </w:t>
      </w:r>
      <w:r w:rsidR="00FC1125">
        <w:rPr>
          <w:rFonts w:ascii="Times New Roman" w:hAnsi="Times New Roman" w:cs="Times New Roman"/>
        </w:rPr>
        <w:t>a large number of students</w:t>
      </w:r>
      <w:r>
        <w:rPr>
          <w:rFonts w:ascii="Times New Roman" w:hAnsi="Times New Roman" w:cs="Times New Roman"/>
        </w:rPr>
        <w:t xml:space="preserve"> affected by these inequities. Additionally, due to limitations in my </w:t>
      </w:r>
      <w:r w:rsidR="00051C5D">
        <w:rPr>
          <w:rFonts w:ascii="Times New Roman" w:hAnsi="Times New Roman" w:cs="Times New Roman"/>
        </w:rPr>
        <w:t xml:space="preserve">empirical </w:t>
      </w:r>
      <w:r w:rsidR="00AC0243">
        <w:rPr>
          <w:rFonts w:ascii="Times New Roman" w:hAnsi="Times New Roman" w:cs="Times New Roman"/>
        </w:rPr>
        <w:t xml:space="preserve">and sample </w:t>
      </w:r>
      <w:r>
        <w:rPr>
          <w:rFonts w:ascii="Times New Roman" w:hAnsi="Times New Roman" w:cs="Times New Roman"/>
        </w:rPr>
        <w:t xml:space="preserve">design, I only estimate the causal effect of promise program adoption for the five years following adoption. </w:t>
      </w:r>
      <w:r w:rsidR="007E68BF">
        <w:rPr>
          <w:rFonts w:ascii="Times New Roman" w:hAnsi="Times New Roman" w:cs="Times New Roman"/>
        </w:rPr>
        <w:t>I want to note that it</w:t>
      </w:r>
      <w:r w:rsidR="00AC0243">
        <w:rPr>
          <w:rFonts w:ascii="Times New Roman" w:hAnsi="Times New Roman" w:cs="Times New Roman"/>
        </w:rPr>
        <w:t xml:space="preserve"> is possible to </w:t>
      </w:r>
      <w:r w:rsidR="00971A33">
        <w:rPr>
          <w:rFonts w:ascii="Times New Roman" w:hAnsi="Times New Roman" w:cs="Times New Roman"/>
        </w:rPr>
        <w:t xml:space="preserve">produce estimates beyond this five-year horizon. However, </w:t>
      </w:r>
      <w:r w:rsidR="00534081">
        <w:rPr>
          <w:rFonts w:ascii="Times New Roman" w:hAnsi="Times New Roman" w:cs="Times New Roman"/>
        </w:rPr>
        <w:t xml:space="preserve">due </w:t>
      </w:r>
      <w:r w:rsidR="00534081">
        <w:rPr>
          <w:rFonts w:ascii="Times New Roman" w:hAnsi="Times New Roman" w:cs="Times New Roman"/>
        </w:rPr>
        <w:lastRenderedPageBreak/>
        <w:t xml:space="preserve">to </w:t>
      </w:r>
      <w:r w:rsidR="001100C3">
        <w:rPr>
          <w:rFonts w:ascii="Times New Roman" w:hAnsi="Times New Roman" w:cs="Times New Roman"/>
        </w:rPr>
        <w:t xml:space="preserve">a majority of promise programs being adopted relatively recently, I opt </w:t>
      </w:r>
      <w:r w:rsidR="00FC1125">
        <w:rPr>
          <w:rFonts w:ascii="Times New Roman" w:hAnsi="Times New Roman" w:cs="Times New Roman"/>
        </w:rPr>
        <w:t xml:space="preserve">to </w:t>
      </w:r>
      <w:r w:rsidR="00D15A02">
        <w:rPr>
          <w:rFonts w:ascii="Times New Roman" w:hAnsi="Times New Roman" w:cs="Times New Roman"/>
        </w:rPr>
        <w:t xml:space="preserve">limit </w:t>
      </w:r>
      <w:r w:rsidR="009157EF">
        <w:rPr>
          <w:rFonts w:ascii="Times New Roman" w:hAnsi="Times New Roman" w:cs="Times New Roman"/>
        </w:rPr>
        <w:t>my</w:t>
      </w:r>
      <w:r w:rsidR="00D15A02">
        <w:rPr>
          <w:rFonts w:ascii="Times New Roman" w:hAnsi="Times New Roman" w:cs="Times New Roman"/>
        </w:rPr>
        <w:t xml:space="preserve"> horizon to prevent long-standing promise programs from over contributing to my estimates due to a lack of observations for many promise programs beyond the </w:t>
      </w:r>
      <w:r w:rsidR="007E68BF">
        <w:rPr>
          <w:rFonts w:ascii="Times New Roman" w:hAnsi="Times New Roman" w:cs="Times New Roman"/>
        </w:rPr>
        <w:t>five-year</w:t>
      </w:r>
      <w:r w:rsidR="00D15A02">
        <w:rPr>
          <w:rFonts w:ascii="Times New Roman" w:hAnsi="Times New Roman" w:cs="Times New Roman"/>
        </w:rPr>
        <w:t xml:space="preserve"> mark. </w:t>
      </w:r>
    </w:p>
    <w:p w14:paraId="178DFFDF" w14:textId="7DAF4349" w:rsidR="00C351A1" w:rsidRDefault="00971A33" w:rsidP="004F280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C351A1">
        <w:rPr>
          <w:rFonts w:ascii="Times New Roman" w:hAnsi="Times New Roman" w:cs="Times New Roman"/>
        </w:rPr>
        <w:t>I am also not able to create a single aggregate estimate of effect. As a reminder, the programs capable of producing such a composite ATT such as the decomposition estimator are not able to account for my unit-specific time trends and thus not appropriate for causal analysis</w:t>
      </w:r>
      <w:r w:rsidR="00600BA2">
        <w:rPr>
          <w:rFonts w:ascii="Times New Roman" w:hAnsi="Times New Roman" w:cs="Times New Roman"/>
        </w:rPr>
        <w:t xml:space="preserve"> in my study</w:t>
      </w:r>
      <w:r w:rsidR="00C351A1">
        <w:rPr>
          <w:rFonts w:ascii="Times New Roman" w:hAnsi="Times New Roman" w:cs="Times New Roman"/>
        </w:rPr>
        <w:t xml:space="preserve">. </w:t>
      </w:r>
      <w:r w:rsidR="00D72167">
        <w:rPr>
          <w:rFonts w:ascii="Times New Roman" w:hAnsi="Times New Roman" w:cs="Times New Roman"/>
        </w:rPr>
        <w:t xml:space="preserve">Compared to my preferred Sun &amp; Abraham estimator, these </w:t>
      </w:r>
      <w:r w:rsidR="00161597">
        <w:rPr>
          <w:rFonts w:ascii="Times New Roman" w:hAnsi="Times New Roman" w:cs="Times New Roman"/>
        </w:rPr>
        <w:t>decomposition-based</w:t>
      </w:r>
      <w:r w:rsidR="00D72167">
        <w:rPr>
          <w:rFonts w:ascii="Times New Roman" w:hAnsi="Times New Roman" w:cs="Times New Roman"/>
        </w:rPr>
        <w:t xml:space="preserve"> </w:t>
      </w:r>
      <w:r w:rsidR="00C22722">
        <w:rPr>
          <w:rFonts w:ascii="Times New Roman" w:hAnsi="Times New Roman" w:cs="Times New Roman"/>
        </w:rPr>
        <w:t>estimators</w:t>
      </w:r>
      <w:r w:rsidR="00D72167">
        <w:rPr>
          <w:rFonts w:ascii="Times New Roman" w:hAnsi="Times New Roman" w:cs="Times New Roman"/>
        </w:rPr>
        <w:t xml:space="preserve"> over-estimate </w:t>
      </w:r>
      <w:r w:rsidR="00426680">
        <w:rPr>
          <w:rFonts w:ascii="Times New Roman" w:hAnsi="Times New Roman" w:cs="Times New Roman"/>
        </w:rPr>
        <w:t>the effect of promise program by around ten percentage points.</w:t>
      </w:r>
      <w:r w:rsidR="00D72167">
        <w:rPr>
          <w:rFonts w:ascii="Times New Roman" w:hAnsi="Times New Roman" w:cs="Times New Roman"/>
        </w:rPr>
        <w:t xml:space="preserve"> </w:t>
      </w:r>
      <w:r w:rsidR="00C351A1">
        <w:rPr>
          <w:rFonts w:ascii="Times New Roman" w:hAnsi="Times New Roman" w:cs="Times New Roman"/>
        </w:rPr>
        <w:t xml:space="preserve">Limited to </w:t>
      </w:r>
      <w:r w:rsidR="008F21BA">
        <w:rPr>
          <w:rFonts w:ascii="Times New Roman" w:hAnsi="Times New Roman" w:cs="Times New Roman"/>
        </w:rPr>
        <w:t>my present</w:t>
      </w:r>
      <w:r w:rsidR="00C351A1">
        <w:rPr>
          <w:rFonts w:ascii="Times New Roman" w:hAnsi="Times New Roman" w:cs="Times New Roman"/>
        </w:rPr>
        <w:t xml:space="preserve"> event study design by current statistical packages, I can only offer ranges of increase</w:t>
      </w:r>
      <w:r w:rsidR="00FB315F">
        <w:rPr>
          <w:rFonts w:ascii="Times New Roman" w:hAnsi="Times New Roman" w:cs="Times New Roman"/>
        </w:rPr>
        <w:t>d completions</w:t>
      </w:r>
      <w:r w:rsidR="00C351A1">
        <w:rPr>
          <w:rFonts w:ascii="Times New Roman" w:hAnsi="Times New Roman" w:cs="Times New Roman"/>
        </w:rPr>
        <w:t xml:space="preserve"> following program adoption as I have done here. </w:t>
      </w:r>
    </w:p>
    <w:p w14:paraId="3D9DD6EB" w14:textId="11EBEE91" w:rsidR="00C351A1" w:rsidRDefault="00C351A1" w:rsidP="004F280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Further, my design </w:t>
      </w:r>
      <w:r w:rsidR="00126117">
        <w:rPr>
          <w:rFonts w:ascii="Times New Roman" w:hAnsi="Times New Roman" w:cs="Times New Roman"/>
        </w:rPr>
        <w:t xml:space="preserve">where I examine </w:t>
      </w:r>
      <w:r>
        <w:rPr>
          <w:rFonts w:ascii="Times New Roman" w:hAnsi="Times New Roman" w:cs="Times New Roman"/>
        </w:rPr>
        <w:t>completions by program area of focus was potentially flawed</w:t>
      </w:r>
      <w:r w:rsidR="0049342E">
        <w:rPr>
          <w:rFonts w:ascii="Times New Roman" w:hAnsi="Times New Roman" w:cs="Times New Roman"/>
        </w:rPr>
        <w:t xml:space="preserve">. Because my sample summed together awards by academic area of focus with no attention paid to program length, </w:t>
      </w:r>
      <w:r w:rsidR="00343C91">
        <w:rPr>
          <w:rFonts w:ascii="Times New Roman" w:hAnsi="Times New Roman" w:cs="Times New Roman"/>
        </w:rPr>
        <w:t>there are instances where a</w:t>
      </w:r>
      <w:r w:rsidR="00FB315F">
        <w:rPr>
          <w:rFonts w:ascii="Times New Roman" w:hAnsi="Times New Roman" w:cs="Times New Roman"/>
        </w:rPr>
        <w:t>n</w:t>
      </w:r>
      <w:r w:rsidR="00343C91">
        <w:rPr>
          <w:rFonts w:ascii="Times New Roman" w:hAnsi="Times New Roman" w:cs="Times New Roman"/>
        </w:rPr>
        <w:t xml:space="preserve"> outcome variable is influenced by the proportion of certain award lengths within a distribution of</w:t>
      </w:r>
      <w:r w:rsidR="008721AA">
        <w:rPr>
          <w:rFonts w:ascii="Times New Roman" w:hAnsi="Times New Roman" w:cs="Times New Roman"/>
        </w:rPr>
        <w:t xml:space="preserve"> my academic program groups</w:t>
      </w:r>
      <w:r w:rsidR="005337A2">
        <w:rPr>
          <w:rFonts w:ascii="Times New Roman" w:hAnsi="Times New Roman" w:cs="Times New Roman"/>
        </w:rPr>
        <w:t>. It is possible that this contributed</w:t>
      </w:r>
      <w:r>
        <w:rPr>
          <w:rFonts w:ascii="Times New Roman" w:hAnsi="Times New Roman" w:cs="Times New Roman"/>
        </w:rPr>
        <w:t xml:space="preserve"> to non-significant results for completions by program focus. Based on observations of post-treatment p-values for liberal arts programs, I believe future studies could potentially further explore this issue by better considering the distribution of program length within the distributions of awards by </w:t>
      </w:r>
      <w:r w:rsidR="00E40CCD">
        <w:rPr>
          <w:rFonts w:ascii="Times New Roman" w:hAnsi="Times New Roman" w:cs="Times New Roman"/>
        </w:rPr>
        <w:t xml:space="preserve">academic </w:t>
      </w:r>
      <w:r>
        <w:rPr>
          <w:rFonts w:ascii="Times New Roman" w:hAnsi="Times New Roman" w:cs="Times New Roman"/>
        </w:rPr>
        <w:t>program</w:t>
      </w:r>
      <w:r w:rsidR="00CF4F97">
        <w:rPr>
          <w:rFonts w:ascii="Times New Roman" w:hAnsi="Times New Roman" w:cs="Times New Roman"/>
        </w:rPr>
        <w:t xml:space="preserve">. Because this could reduce the number of awards within each </w:t>
      </w:r>
      <w:r w:rsidR="00E40CCD">
        <w:rPr>
          <w:rFonts w:ascii="Times New Roman" w:hAnsi="Times New Roman" w:cs="Times New Roman"/>
        </w:rPr>
        <w:t xml:space="preserve">outcome variable, future researchers should be attuned to potential issues with cell size in </w:t>
      </w:r>
      <w:r w:rsidR="00E40CCD">
        <w:rPr>
          <w:rFonts w:ascii="Times New Roman" w:hAnsi="Times New Roman" w:cs="Times New Roman"/>
        </w:rPr>
        <w:lastRenderedPageBreak/>
        <w:t>projects that examine awards by academic program within discreet award types by program length.</w:t>
      </w:r>
      <w:r>
        <w:rPr>
          <w:rFonts w:ascii="Times New Roman" w:hAnsi="Times New Roman" w:cs="Times New Roman"/>
        </w:rPr>
        <w:t xml:space="preserve"> While such additional work </w:t>
      </w:r>
      <w:r w:rsidR="000951EA">
        <w:rPr>
          <w:rFonts w:ascii="Times New Roman" w:hAnsi="Times New Roman" w:cs="Times New Roman"/>
        </w:rPr>
        <w:t>falls</w:t>
      </w:r>
      <w:r>
        <w:rPr>
          <w:rFonts w:ascii="Times New Roman" w:hAnsi="Times New Roman" w:cs="Times New Roman"/>
        </w:rPr>
        <w:t xml:space="preserve"> out of the immediate scope of my project and its research questions, this represents a promis</w:t>
      </w:r>
      <w:r w:rsidR="000951EA">
        <w:rPr>
          <w:rFonts w:ascii="Times New Roman" w:hAnsi="Times New Roman" w:cs="Times New Roman"/>
        </w:rPr>
        <w:t>ing</w:t>
      </w:r>
      <w:r>
        <w:rPr>
          <w:rFonts w:ascii="Times New Roman" w:hAnsi="Times New Roman" w:cs="Times New Roman"/>
        </w:rPr>
        <w:t xml:space="preserve"> area for additional study. </w:t>
      </w:r>
    </w:p>
    <w:p w14:paraId="6B4AC518" w14:textId="490E9930" w:rsidR="00C351A1" w:rsidRDefault="00C351A1" w:rsidP="004F280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Finally, my findings are limited to sub-baccalaureate awards with the majority of my institutions comprised of public community and technical colleges in both my preferred sample’s treatment and comparison groups.</w:t>
      </w:r>
      <w:r w:rsidR="002B3599">
        <w:rPr>
          <w:rFonts w:ascii="Times New Roman" w:hAnsi="Times New Roman" w:cs="Times New Roman"/>
        </w:rPr>
        <w:t xml:space="preserve"> This is problematic in two ways.</w:t>
      </w:r>
      <w:r>
        <w:rPr>
          <w:rFonts w:ascii="Times New Roman" w:hAnsi="Times New Roman" w:cs="Times New Roman"/>
        </w:rPr>
        <w:t xml:space="preserve"> </w:t>
      </w:r>
      <w:r w:rsidR="002B3599">
        <w:rPr>
          <w:rFonts w:ascii="Times New Roman" w:hAnsi="Times New Roman" w:cs="Times New Roman"/>
        </w:rPr>
        <w:t>First</w:t>
      </w:r>
      <w:r>
        <w:rPr>
          <w:rFonts w:ascii="Times New Roman" w:hAnsi="Times New Roman" w:cs="Times New Roman"/>
        </w:rPr>
        <w:t xml:space="preserve">, it is </w:t>
      </w:r>
      <w:r w:rsidR="008B7E84">
        <w:rPr>
          <w:rFonts w:ascii="Times New Roman" w:hAnsi="Times New Roman" w:cs="Times New Roman"/>
        </w:rPr>
        <w:t>beyond the scope of this study to understand</w:t>
      </w:r>
      <w:r>
        <w:rPr>
          <w:rFonts w:ascii="Times New Roman" w:hAnsi="Times New Roman" w:cs="Times New Roman"/>
        </w:rPr>
        <w:t xml:space="preserve"> how free college might vary in effect for longer four-year awards or in the for-profit or non-profit private postsecondary sectors. </w:t>
      </w:r>
      <w:r w:rsidR="002B3599">
        <w:rPr>
          <w:rFonts w:ascii="Times New Roman" w:hAnsi="Times New Roman" w:cs="Times New Roman"/>
        </w:rPr>
        <w:t xml:space="preserve">However, given my explicit focus on clarifying the effect of </w:t>
      </w:r>
      <w:r w:rsidR="00D562E9">
        <w:rPr>
          <w:rFonts w:ascii="Times New Roman" w:hAnsi="Times New Roman" w:cs="Times New Roman"/>
        </w:rPr>
        <w:t xml:space="preserve">promise program adoption on </w:t>
      </w:r>
      <w:r w:rsidR="002B3599">
        <w:rPr>
          <w:rFonts w:ascii="Times New Roman" w:hAnsi="Times New Roman" w:cs="Times New Roman"/>
        </w:rPr>
        <w:t>s</w:t>
      </w:r>
      <w:r w:rsidR="00D562E9">
        <w:rPr>
          <w:rFonts w:ascii="Times New Roman" w:hAnsi="Times New Roman" w:cs="Times New Roman"/>
        </w:rPr>
        <w:t>ub-baccalaureate award production, this is of little concern</w:t>
      </w:r>
      <w:r w:rsidR="00911C99">
        <w:rPr>
          <w:rFonts w:ascii="Times New Roman" w:hAnsi="Times New Roman" w:cs="Times New Roman"/>
        </w:rPr>
        <w:t xml:space="preserve"> to this present study</w:t>
      </w:r>
      <w:r w:rsidR="00D562E9">
        <w:rPr>
          <w:rFonts w:ascii="Times New Roman" w:hAnsi="Times New Roman" w:cs="Times New Roman"/>
        </w:rPr>
        <w:t xml:space="preserve">. </w:t>
      </w:r>
      <w:r w:rsidR="00911C99">
        <w:rPr>
          <w:rFonts w:ascii="Times New Roman" w:hAnsi="Times New Roman" w:cs="Times New Roman"/>
        </w:rPr>
        <w:t>Instead</w:t>
      </w:r>
      <w:r w:rsidR="004C514A">
        <w:rPr>
          <w:rFonts w:ascii="Times New Roman" w:hAnsi="Times New Roman" w:cs="Times New Roman"/>
        </w:rPr>
        <w:t>,</w:t>
      </w:r>
      <w:r w:rsidR="00911C99">
        <w:rPr>
          <w:rFonts w:ascii="Times New Roman" w:hAnsi="Times New Roman" w:cs="Times New Roman"/>
        </w:rPr>
        <w:t xml:space="preserve"> the second and</w:t>
      </w:r>
      <w:r w:rsidR="00D562E9">
        <w:rPr>
          <w:rFonts w:ascii="Times New Roman" w:hAnsi="Times New Roman" w:cs="Times New Roman"/>
        </w:rPr>
        <w:t xml:space="preserve"> more concerning feature of </w:t>
      </w:r>
      <w:r w:rsidR="004C514A">
        <w:rPr>
          <w:rFonts w:ascii="Times New Roman" w:hAnsi="Times New Roman" w:cs="Times New Roman"/>
        </w:rPr>
        <w:t>this research</w:t>
      </w:r>
      <w:r w:rsidR="00263B2A">
        <w:rPr>
          <w:rFonts w:ascii="Times New Roman" w:hAnsi="Times New Roman" w:cs="Times New Roman"/>
        </w:rPr>
        <w:t xml:space="preserve"> design choice is that like the studies </w:t>
      </w:r>
      <w:r w:rsidR="004C514A">
        <w:rPr>
          <w:rFonts w:ascii="Times New Roman" w:hAnsi="Times New Roman" w:cs="Times New Roman"/>
        </w:rPr>
        <w:t xml:space="preserve">that </w:t>
      </w:r>
      <w:r w:rsidR="00263B2A">
        <w:rPr>
          <w:rFonts w:ascii="Times New Roman" w:hAnsi="Times New Roman" w:cs="Times New Roman"/>
        </w:rPr>
        <w:t>I critique</w:t>
      </w:r>
      <w:r w:rsidR="004C514A">
        <w:rPr>
          <w:rFonts w:ascii="Times New Roman" w:hAnsi="Times New Roman" w:cs="Times New Roman"/>
        </w:rPr>
        <w:t>d</w:t>
      </w:r>
      <w:r w:rsidR="00263B2A">
        <w:rPr>
          <w:rFonts w:ascii="Times New Roman" w:hAnsi="Times New Roman" w:cs="Times New Roman"/>
        </w:rPr>
        <w:t xml:space="preserve"> earlier run the risk of constructing my sample in such a way that student enrollment substitution </w:t>
      </w:r>
      <w:r w:rsidR="00A60680">
        <w:rPr>
          <w:rFonts w:ascii="Times New Roman" w:hAnsi="Times New Roman" w:cs="Times New Roman"/>
        </w:rPr>
        <w:t xml:space="preserve">influences my findings. </w:t>
      </w:r>
    </w:p>
    <w:p w14:paraId="5178EFB4" w14:textId="73B35D8C" w:rsidR="002417B6" w:rsidRDefault="00A60680" w:rsidP="004F280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Pr>
          <w:rFonts w:ascii="Times New Roman" w:hAnsi="Times New Roman" w:cs="Times New Roman"/>
        </w:rPr>
        <w:tab/>
        <w:t xml:space="preserve">Because I limit my sample to promise programs that only cover sub-baccalaureate awards, students affected by these programs may be substituting their enrollment away from four-year institutions to enroll in treated sub-baccalaureate institutions which could bias my findings </w:t>
      </w:r>
      <w:r w:rsidR="006127E9">
        <w:rPr>
          <w:rFonts w:ascii="Times New Roman" w:hAnsi="Times New Roman" w:cs="Times New Roman"/>
        </w:rPr>
        <w:t xml:space="preserve">in the opposite direction of past research </w:t>
      </w:r>
      <w:r w:rsidR="00700B49">
        <w:rPr>
          <w:rFonts w:ascii="Times New Roman" w:hAnsi="Times New Roman" w:cs="Times New Roman"/>
        </w:rPr>
        <w:t xml:space="preserve">by </w:t>
      </w:r>
      <w:r w:rsidR="006127E9">
        <w:rPr>
          <w:rFonts w:ascii="Times New Roman" w:hAnsi="Times New Roman" w:cs="Times New Roman"/>
        </w:rPr>
        <w:t>Bartik et al.</w:t>
      </w:r>
      <w:r w:rsidR="00700B49">
        <w:rPr>
          <w:rFonts w:ascii="Times New Roman" w:hAnsi="Times New Roman" w:cs="Times New Roman"/>
        </w:rPr>
        <w:t xml:space="preserve"> (</w:t>
      </w:r>
      <w:r w:rsidR="006127E9">
        <w:rPr>
          <w:rFonts w:ascii="Times New Roman" w:hAnsi="Times New Roman" w:cs="Times New Roman"/>
        </w:rPr>
        <w:t>2021</w:t>
      </w:r>
      <w:r w:rsidR="00700B49">
        <w:rPr>
          <w:rFonts w:ascii="Times New Roman" w:hAnsi="Times New Roman" w:cs="Times New Roman"/>
        </w:rPr>
        <w:t>) as well as</w:t>
      </w:r>
      <w:r w:rsidR="006127E9">
        <w:rPr>
          <w:rFonts w:ascii="Times New Roman" w:hAnsi="Times New Roman" w:cs="Times New Roman"/>
        </w:rPr>
        <w:t xml:space="preserve"> Swanson </w:t>
      </w:r>
      <w:r w:rsidR="00700B49">
        <w:rPr>
          <w:rFonts w:ascii="Times New Roman" w:hAnsi="Times New Roman" w:cs="Times New Roman"/>
        </w:rPr>
        <w:t>and</w:t>
      </w:r>
      <w:r w:rsidR="006127E9">
        <w:rPr>
          <w:rFonts w:ascii="Times New Roman" w:hAnsi="Times New Roman" w:cs="Times New Roman"/>
        </w:rPr>
        <w:t xml:space="preserve"> Ritter</w:t>
      </w:r>
      <w:r w:rsidR="00700B49">
        <w:rPr>
          <w:rFonts w:ascii="Times New Roman" w:hAnsi="Times New Roman" w:cs="Times New Roman"/>
        </w:rPr>
        <w:t xml:space="preserve"> (</w:t>
      </w:r>
      <w:r w:rsidR="006127E9">
        <w:rPr>
          <w:rFonts w:ascii="Times New Roman" w:hAnsi="Times New Roman" w:cs="Times New Roman"/>
        </w:rPr>
        <w:t xml:space="preserve">2020). </w:t>
      </w:r>
      <w:r w:rsidR="008D7977">
        <w:rPr>
          <w:rFonts w:ascii="Times New Roman" w:hAnsi="Times New Roman" w:cs="Times New Roman"/>
        </w:rPr>
        <w:t xml:space="preserve">While I cannot completely account for this potential, I do </w:t>
      </w:r>
      <w:r w:rsidR="00345D25">
        <w:rPr>
          <w:rFonts w:ascii="Times New Roman" w:hAnsi="Times New Roman" w:cs="Times New Roman"/>
        </w:rPr>
        <w:t>acknowledge</w:t>
      </w:r>
      <w:r w:rsidR="008D7977">
        <w:rPr>
          <w:rFonts w:ascii="Times New Roman" w:hAnsi="Times New Roman" w:cs="Times New Roman"/>
        </w:rPr>
        <w:t xml:space="preserve"> </w:t>
      </w:r>
      <w:r w:rsidR="00C74757">
        <w:rPr>
          <w:rFonts w:ascii="Times New Roman" w:hAnsi="Times New Roman" w:cs="Times New Roman"/>
        </w:rPr>
        <w:t xml:space="preserve">that it is likely present in </w:t>
      </w:r>
      <w:r w:rsidR="00E34A70">
        <w:rPr>
          <w:rFonts w:ascii="Times New Roman" w:hAnsi="Times New Roman" w:cs="Times New Roman"/>
        </w:rPr>
        <w:t>my</w:t>
      </w:r>
      <w:r w:rsidR="00C74757">
        <w:rPr>
          <w:rFonts w:ascii="Times New Roman" w:hAnsi="Times New Roman" w:cs="Times New Roman"/>
        </w:rPr>
        <w:t xml:space="preserve"> design as evidence</w:t>
      </w:r>
      <w:r w:rsidR="00E34A70">
        <w:rPr>
          <w:rFonts w:ascii="Times New Roman" w:hAnsi="Times New Roman" w:cs="Times New Roman"/>
        </w:rPr>
        <w:t>d</w:t>
      </w:r>
      <w:r w:rsidR="00C74757">
        <w:rPr>
          <w:rFonts w:ascii="Times New Roman" w:hAnsi="Times New Roman" w:cs="Times New Roman"/>
        </w:rPr>
        <w:t xml:space="preserve"> by past research on sub-</w:t>
      </w:r>
      <w:r w:rsidR="005D621D">
        <w:rPr>
          <w:rFonts w:ascii="Times New Roman" w:hAnsi="Times New Roman" w:cs="Times New Roman"/>
        </w:rPr>
        <w:t>baccalaureate</w:t>
      </w:r>
      <w:r w:rsidR="00C74757">
        <w:rPr>
          <w:rFonts w:ascii="Times New Roman" w:hAnsi="Times New Roman" w:cs="Times New Roman"/>
        </w:rPr>
        <w:t xml:space="preserve"> only promise programs </w:t>
      </w:r>
      <w:r w:rsidR="008D7977">
        <w:rPr>
          <w:rFonts w:ascii="Times New Roman" w:hAnsi="Times New Roman" w:cs="Times New Roman"/>
        </w:rPr>
        <w:t>(</w:t>
      </w:r>
      <w:r w:rsidR="00C74757" w:rsidRPr="00C74757">
        <w:rPr>
          <w:rFonts w:ascii="Times New Roman" w:hAnsi="Times New Roman" w:cs="Times New Roman"/>
        </w:rPr>
        <w:t>Carruthers &amp; Fox, 2016</w:t>
      </w:r>
      <w:r w:rsidR="00C74757">
        <w:rPr>
          <w:rFonts w:ascii="Times New Roman" w:hAnsi="Times New Roman" w:cs="Times New Roman"/>
        </w:rPr>
        <w:t xml:space="preserve">; </w:t>
      </w:r>
      <w:r w:rsidR="007320E0">
        <w:rPr>
          <w:rFonts w:ascii="Times New Roman" w:hAnsi="Times New Roman" w:cs="Times New Roman"/>
        </w:rPr>
        <w:t xml:space="preserve">House &amp; Dell, 2020; </w:t>
      </w:r>
      <w:r w:rsidR="00C74757">
        <w:rPr>
          <w:rFonts w:ascii="Times New Roman" w:hAnsi="Times New Roman" w:cs="Times New Roman"/>
        </w:rPr>
        <w:t xml:space="preserve">Nguyen, </w:t>
      </w:r>
      <w:r w:rsidR="008D7977">
        <w:rPr>
          <w:rFonts w:ascii="Times New Roman" w:hAnsi="Times New Roman" w:cs="Times New Roman"/>
        </w:rPr>
        <w:t>20</w:t>
      </w:r>
      <w:r w:rsidR="00C74757">
        <w:rPr>
          <w:rFonts w:ascii="Times New Roman" w:hAnsi="Times New Roman" w:cs="Times New Roman"/>
        </w:rPr>
        <w:t>19</w:t>
      </w:r>
      <w:r w:rsidR="008D7977">
        <w:rPr>
          <w:rFonts w:ascii="Times New Roman" w:hAnsi="Times New Roman" w:cs="Times New Roman"/>
        </w:rPr>
        <w:t>)</w:t>
      </w:r>
      <w:r w:rsidR="005D621D">
        <w:rPr>
          <w:rFonts w:ascii="Times New Roman" w:hAnsi="Times New Roman" w:cs="Times New Roman"/>
        </w:rPr>
        <w:t>.</w:t>
      </w:r>
      <w:r w:rsidR="00700B49">
        <w:rPr>
          <w:rFonts w:ascii="Times New Roman" w:hAnsi="Times New Roman" w:cs="Times New Roman"/>
        </w:rPr>
        <w:t xml:space="preserve"> </w:t>
      </w:r>
      <w:r w:rsidR="00C226BE">
        <w:rPr>
          <w:rFonts w:ascii="Times New Roman" w:hAnsi="Times New Roman" w:cs="Times New Roman"/>
        </w:rPr>
        <w:t>However, my design still offers utility despite this limitation</w:t>
      </w:r>
      <w:r w:rsidR="007320E0">
        <w:rPr>
          <w:rFonts w:ascii="Times New Roman" w:hAnsi="Times New Roman" w:cs="Times New Roman"/>
        </w:rPr>
        <w:t>.</w:t>
      </w:r>
      <w:r w:rsidR="004F0436">
        <w:rPr>
          <w:rFonts w:ascii="Times New Roman" w:hAnsi="Times New Roman" w:cs="Times New Roman"/>
        </w:rPr>
        <w:t xml:space="preserve"> </w:t>
      </w:r>
      <w:r w:rsidR="007320E0">
        <w:rPr>
          <w:rFonts w:ascii="Times New Roman" w:hAnsi="Times New Roman" w:cs="Times New Roman"/>
        </w:rPr>
        <w:t xml:space="preserve">My study </w:t>
      </w:r>
      <w:r w:rsidR="000061D0">
        <w:rPr>
          <w:rFonts w:ascii="Times New Roman" w:hAnsi="Times New Roman" w:cs="Times New Roman"/>
        </w:rPr>
        <w:t>adds to the body of knowledge</w:t>
      </w:r>
      <w:r w:rsidR="00153DD4">
        <w:rPr>
          <w:rFonts w:ascii="Times New Roman" w:hAnsi="Times New Roman" w:cs="Times New Roman"/>
        </w:rPr>
        <w:t xml:space="preserve"> on college affordability, student outcomes, and promise </w:t>
      </w:r>
      <w:r w:rsidR="00153DD4">
        <w:rPr>
          <w:rFonts w:ascii="Times New Roman" w:hAnsi="Times New Roman" w:cs="Times New Roman"/>
        </w:rPr>
        <w:lastRenderedPageBreak/>
        <w:t>programs</w:t>
      </w:r>
      <w:r w:rsidR="000061D0">
        <w:rPr>
          <w:rFonts w:ascii="Times New Roman" w:hAnsi="Times New Roman" w:cs="Times New Roman"/>
        </w:rPr>
        <w:t xml:space="preserve"> </w:t>
      </w:r>
      <w:r w:rsidR="004F0436">
        <w:rPr>
          <w:rFonts w:ascii="Times New Roman" w:hAnsi="Times New Roman" w:cs="Times New Roman"/>
        </w:rPr>
        <w:t>while</w:t>
      </w:r>
      <w:r w:rsidR="000061D0">
        <w:rPr>
          <w:rFonts w:ascii="Times New Roman" w:hAnsi="Times New Roman" w:cs="Times New Roman"/>
        </w:rPr>
        <w:t xml:space="preserve"> highlight</w:t>
      </w:r>
      <w:r w:rsidR="004F0436">
        <w:rPr>
          <w:rFonts w:ascii="Times New Roman" w:hAnsi="Times New Roman" w:cs="Times New Roman"/>
        </w:rPr>
        <w:t>ing</w:t>
      </w:r>
      <w:r w:rsidR="000061D0">
        <w:rPr>
          <w:rFonts w:ascii="Times New Roman" w:hAnsi="Times New Roman" w:cs="Times New Roman"/>
        </w:rPr>
        <w:t xml:space="preserve"> a need for future work to </w:t>
      </w:r>
      <w:r w:rsidR="00817A46">
        <w:rPr>
          <w:rFonts w:ascii="Times New Roman" w:hAnsi="Times New Roman" w:cs="Times New Roman"/>
        </w:rPr>
        <w:t xml:space="preserve">address </w:t>
      </w:r>
      <w:r w:rsidR="00DD1A8B">
        <w:rPr>
          <w:rFonts w:ascii="Times New Roman" w:hAnsi="Times New Roman" w:cs="Times New Roman"/>
        </w:rPr>
        <w:t xml:space="preserve">these enrollment substitution </w:t>
      </w:r>
      <w:r w:rsidR="00817A46">
        <w:rPr>
          <w:rFonts w:ascii="Times New Roman" w:hAnsi="Times New Roman" w:cs="Times New Roman"/>
        </w:rPr>
        <w:t xml:space="preserve">issues </w:t>
      </w:r>
      <w:r w:rsidR="00DD1A8B">
        <w:rPr>
          <w:rFonts w:ascii="Times New Roman" w:hAnsi="Times New Roman" w:cs="Times New Roman"/>
        </w:rPr>
        <w:t>that are due to</w:t>
      </w:r>
      <w:r w:rsidR="00817A46">
        <w:rPr>
          <w:rFonts w:ascii="Times New Roman" w:hAnsi="Times New Roman" w:cs="Times New Roman"/>
        </w:rPr>
        <w:t xml:space="preserve"> student choice as</w:t>
      </w:r>
      <w:r w:rsidR="00153DD4">
        <w:rPr>
          <w:rFonts w:ascii="Times New Roman" w:hAnsi="Times New Roman" w:cs="Times New Roman"/>
        </w:rPr>
        <w:t xml:space="preserve"> a behavior</w:t>
      </w:r>
      <w:r w:rsidR="00817A46">
        <w:rPr>
          <w:rFonts w:ascii="Times New Roman" w:hAnsi="Times New Roman" w:cs="Times New Roman"/>
        </w:rPr>
        <w:t xml:space="preserve"> </w:t>
      </w:r>
      <w:r w:rsidR="00153DD4">
        <w:rPr>
          <w:rFonts w:ascii="Times New Roman" w:hAnsi="Times New Roman" w:cs="Times New Roman"/>
        </w:rPr>
        <w:t>influenced</w:t>
      </w:r>
      <w:r w:rsidR="00817A46">
        <w:rPr>
          <w:rFonts w:ascii="Times New Roman" w:hAnsi="Times New Roman" w:cs="Times New Roman"/>
        </w:rPr>
        <w:t xml:space="preserve"> by free college programs</w:t>
      </w:r>
      <w:r w:rsidR="00AE21FD">
        <w:rPr>
          <w:rFonts w:ascii="Times New Roman" w:hAnsi="Times New Roman" w:cs="Times New Roman"/>
        </w:rPr>
        <w:t>.</w:t>
      </w:r>
    </w:p>
    <w:p w14:paraId="452C0447" w14:textId="1E8F2819" w:rsidR="002E752C" w:rsidRPr="0036471E" w:rsidRDefault="002E752C" w:rsidP="004F2800">
      <w:pPr>
        <w:pStyle w:val="Heading1"/>
      </w:pPr>
      <w:r w:rsidRPr="00C63272">
        <w:br w:type="page"/>
      </w:r>
      <w:bookmarkStart w:id="107" w:name="_Toc420995908"/>
      <w:bookmarkStart w:id="108" w:name="_Toc422997495"/>
      <w:bookmarkStart w:id="109" w:name="_Toc427156478"/>
      <w:bookmarkStart w:id="110" w:name="_Toc183282282"/>
      <w:r w:rsidR="0036471E">
        <w:lastRenderedPageBreak/>
        <w:t>Chapter 4</w:t>
      </w:r>
      <w:bookmarkEnd w:id="107"/>
      <w:bookmarkEnd w:id="108"/>
      <w:bookmarkEnd w:id="109"/>
      <w:bookmarkEnd w:id="110"/>
    </w:p>
    <w:p w14:paraId="42244394" w14:textId="7E12B343" w:rsidR="00A40DCD" w:rsidRPr="007F46E3" w:rsidRDefault="0032471E" w:rsidP="004F2800">
      <w:pPr>
        <w:spacing w:line="480" w:lineRule="auto"/>
        <w:ind w:firstLine="720"/>
        <w:rPr>
          <w:rFonts w:ascii="Times New Roman" w:hAnsi="Times New Roman" w:cs="Times New Roman"/>
        </w:rPr>
      </w:pPr>
      <w:bookmarkStart w:id="111" w:name="_Toc420995909"/>
      <w:bookmarkStart w:id="112" w:name="_Toc422997496"/>
      <w:bookmarkStart w:id="113" w:name="_Toc427156479"/>
      <w:r w:rsidRPr="007F46E3">
        <w:rPr>
          <w:rFonts w:ascii="Times New Roman" w:hAnsi="Times New Roman" w:cs="Times New Roman"/>
        </w:rPr>
        <w:t xml:space="preserve">In this </w:t>
      </w:r>
      <w:r w:rsidRPr="00666BFD">
        <w:rPr>
          <w:rFonts w:ascii="Times New Roman" w:hAnsi="Times New Roman" w:cs="Times New Roman"/>
        </w:rPr>
        <w:t>chapter</w:t>
      </w:r>
      <w:r w:rsidRPr="007F46E3">
        <w:rPr>
          <w:rFonts w:ascii="Times New Roman" w:hAnsi="Times New Roman" w:cs="Times New Roman"/>
        </w:rPr>
        <w:t xml:space="preserve"> I present findings from my staggered difference-in-difference analysis</w:t>
      </w:r>
      <w:r w:rsidR="00A40DCD" w:rsidRPr="007F46E3">
        <w:rPr>
          <w:rFonts w:ascii="Times New Roman" w:hAnsi="Times New Roman" w:cs="Times New Roman"/>
        </w:rPr>
        <w:t>.</w:t>
      </w:r>
      <w:r w:rsidRPr="007F46E3">
        <w:rPr>
          <w:rFonts w:ascii="Times New Roman" w:hAnsi="Times New Roman" w:cs="Times New Roman"/>
        </w:rPr>
        <w:t xml:space="preserve"> I focus my </w:t>
      </w:r>
      <w:r w:rsidR="004A5C06">
        <w:rPr>
          <w:rFonts w:ascii="Times New Roman" w:hAnsi="Times New Roman" w:cs="Times New Roman"/>
        </w:rPr>
        <w:t xml:space="preserve">presentation of results </w:t>
      </w:r>
      <w:r w:rsidR="009C103C" w:rsidRPr="007F46E3">
        <w:rPr>
          <w:rFonts w:ascii="Times New Roman" w:hAnsi="Times New Roman" w:cs="Times New Roman"/>
        </w:rPr>
        <w:t xml:space="preserve">on my preferred sample of public sub-baccalaureate granting institutions using Sun and Abraham’s </w:t>
      </w:r>
      <w:r w:rsidR="00083AD2">
        <w:rPr>
          <w:rFonts w:ascii="Times New Roman" w:hAnsi="Times New Roman" w:cs="Times New Roman"/>
        </w:rPr>
        <w:t>(</w:t>
      </w:r>
      <w:r w:rsidR="00B07A16">
        <w:rPr>
          <w:rFonts w:ascii="Times New Roman" w:hAnsi="Times New Roman" w:cs="Times New Roman"/>
        </w:rPr>
        <w:t>2021</w:t>
      </w:r>
      <w:r w:rsidR="00083AD2">
        <w:rPr>
          <w:rFonts w:ascii="Times New Roman" w:hAnsi="Times New Roman" w:cs="Times New Roman"/>
        </w:rPr>
        <w:t xml:space="preserve">) </w:t>
      </w:r>
      <w:r w:rsidR="009C103C" w:rsidRPr="007F46E3">
        <w:rPr>
          <w:rFonts w:ascii="Times New Roman" w:hAnsi="Times New Roman" w:cs="Times New Roman"/>
        </w:rPr>
        <w:t>event study estimator</w:t>
      </w:r>
      <w:r w:rsidR="00E7384B">
        <w:rPr>
          <w:rFonts w:ascii="Times New Roman" w:hAnsi="Times New Roman" w:cs="Times New Roman"/>
        </w:rPr>
        <w:t xml:space="preserve"> and </w:t>
      </w:r>
      <w:r w:rsidR="004527B3">
        <w:rPr>
          <w:rFonts w:ascii="Times New Roman" w:hAnsi="Times New Roman" w:cs="Times New Roman"/>
        </w:rPr>
        <w:t>present</w:t>
      </w:r>
      <w:r w:rsidR="009C103C" w:rsidRPr="007F46E3">
        <w:rPr>
          <w:rFonts w:ascii="Times New Roman" w:hAnsi="Times New Roman" w:cs="Times New Roman"/>
        </w:rPr>
        <w:t xml:space="preserve"> findings for each of my research questions. </w:t>
      </w:r>
      <w:r w:rsidR="00007C4C">
        <w:rPr>
          <w:rFonts w:ascii="Times New Roman" w:hAnsi="Times New Roman" w:cs="Times New Roman"/>
        </w:rPr>
        <w:t xml:space="preserve">I close the chapter with </w:t>
      </w:r>
      <w:r w:rsidR="00FB2B47">
        <w:rPr>
          <w:rFonts w:ascii="Times New Roman" w:hAnsi="Times New Roman" w:cs="Times New Roman"/>
        </w:rPr>
        <w:t xml:space="preserve">findings from </w:t>
      </w:r>
      <w:r w:rsidR="002316FD">
        <w:rPr>
          <w:rFonts w:ascii="Times New Roman" w:hAnsi="Times New Roman" w:cs="Times New Roman"/>
        </w:rPr>
        <w:t xml:space="preserve">robustness tests that </w:t>
      </w:r>
      <w:r w:rsidR="002A4D97">
        <w:rPr>
          <w:rFonts w:ascii="Times New Roman" w:hAnsi="Times New Roman" w:cs="Times New Roman"/>
        </w:rPr>
        <w:t>utilize</w:t>
      </w:r>
      <w:r w:rsidR="002316FD">
        <w:rPr>
          <w:rFonts w:ascii="Times New Roman" w:hAnsi="Times New Roman" w:cs="Times New Roman"/>
        </w:rPr>
        <w:t xml:space="preserve"> </w:t>
      </w:r>
      <w:r w:rsidR="0076700B">
        <w:rPr>
          <w:rFonts w:ascii="Times New Roman" w:hAnsi="Times New Roman" w:cs="Times New Roman"/>
        </w:rPr>
        <w:t xml:space="preserve">the </w:t>
      </w:r>
      <w:r w:rsidR="00AB2BFA">
        <w:rPr>
          <w:rFonts w:ascii="Times New Roman" w:hAnsi="Times New Roman" w:cs="Times New Roman"/>
        </w:rPr>
        <w:t>imputation-based</w:t>
      </w:r>
      <w:r w:rsidR="0076700B">
        <w:rPr>
          <w:rFonts w:ascii="Times New Roman" w:hAnsi="Times New Roman" w:cs="Times New Roman"/>
        </w:rPr>
        <w:t xml:space="preserve"> estimator and </w:t>
      </w:r>
      <w:r w:rsidR="00394C8E">
        <w:rPr>
          <w:rFonts w:ascii="Times New Roman" w:hAnsi="Times New Roman" w:cs="Times New Roman"/>
        </w:rPr>
        <w:t xml:space="preserve">a </w:t>
      </w:r>
      <w:r w:rsidR="0049665B">
        <w:rPr>
          <w:rFonts w:ascii="Times New Roman" w:hAnsi="Times New Roman" w:cs="Times New Roman"/>
        </w:rPr>
        <w:t>decomposition-based</w:t>
      </w:r>
      <w:r w:rsidR="00394C8E">
        <w:rPr>
          <w:rFonts w:ascii="Times New Roman" w:hAnsi="Times New Roman" w:cs="Times New Roman"/>
        </w:rPr>
        <w:t xml:space="preserve"> approach. </w:t>
      </w:r>
      <w:r w:rsidR="00470C7A">
        <w:rPr>
          <w:rFonts w:ascii="Times New Roman" w:hAnsi="Times New Roman" w:cs="Times New Roman"/>
        </w:rPr>
        <w:t>My</w:t>
      </w:r>
      <w:r w:rsidR="009C103C" w:rsidRPr="007F46E3">
        <w:rPr>
          <w:rFonts w:ascii="Times New Roman" w:hAnsi="Times New Roman" w:cs="Times New Roman"/>
        </w:rPr>
        <w:t xml:space="preserve"> research questions</w:t>
      </w:r>
      <w:r w:rsidR="00470C7A">
        <w:rPr>
          <w:rFonts w:ascii="Times New Roman" w:hAnsi="Times New Roman" w:cs="Times New Roman"/>
        </w:rPr>
        <w:t xml:space="preserve"> for this study</w:t>
      </w:r>
      <w:r w:rsidR="009C103C" w:rsidRPr="007F46E3">
        <w:rPr>
          <w:rFonts w:ascii="Times New Roman" w:hAnsi="Times New Roman" w:cs="Times New Roman"/>
        </w:rPr>
        <w:t xml:space="preserve"> are: </w:t>
      </w:r>
    </w:p>
    <w:p w14:paraId="29581156" w14:textId="77777777" w:rsidR="00B25728" w:rsidRPr="00F62BA8" w:rsidRDefault="00B25728" w:rsidP="004F2800">
      <w:pPr>
        <w:pStyle w:val="ListParagraph"/>
        <w:numPr>
          <w:ilvl w:val="0"/>
          <w:numId w:val="32"/>
        </w:numPr>
        <w:rPr>
          <w:rFonts w:ascii="Times New Roman" w:hAnsi="Times New Roman" w:cs="Times New Roman"/>
        </w:rPr>
      </w:pPr>
      <w:r w:rsidRPr="00F62BA8">
        <w:rPr>
          <w:rFonts w:ascii="Times New Roman" w:eastAsiaTheme="minorEastAsia" w:hAnsi="Times New Roman" w:cs="Times New Roman"/>
        </w:rPr>
        <w:t xml:space="preserve">What effect does the adoption of a free college program have on postsecondary program completions by program length (less than 1 year, 1 year to 2 years, and 2 years)? </w:t>
      </w:r>
    </w:p>
    <w:p w14:paraId="299DD9A0" w14:textId="091E5667" w:rsidR="007550E3" w:rsidRPr="00F62BA8" w:rsidRDefault="00B25728" w:rsidP="004F2800">
      <w:pPr>
        <w:pStyle w:val="ListParagraph"/>
        <w:numPr>
          <w:ilvl w:val="0"/>
          <w:numId w:val="32"/>
        </w:numPr>
        <w:rPr>
          <w:rFonts w:ascii="Times New Roman" w:hAnsi="Times New Roman" w:cs="Times New Roman"/>
        </w:rPr>
      </w:pPr>
      <w:r w:rsidRPr="00F62BA8">
        <w:rPr>
          <w:rFonts w:ascii="Times New Roman" w:eastAsiaTheme="minorEastAsia" w:hAnsi="Times New Roman" w:cs="Times New Roman"/>
        </w:rPr>
        <w:t>What effect does the adoption of a free college program have on postsecondary program completions by program’s academic focus?</w:t>
      </w:r>
    </w:p>
    <w:p w14:paraId="0C9E0783" w14:textId="220D2396" w:rsidR="0008563D" w:rsidRPr="005E186A" w:rsidRDefault="00B4348B" w:rsidP="004F2800">
      <w:pPr>
        <w:spacing w:line="480" w:lineRule="auto"/>
        <w:ind w:firstLine="720"/>
        <w:rPr>
          <w:rFonts w:ascii="Times New Roman" w:hAnsi="Times New Roman" w:cs="Times New Roman"/>
        </w:rPr>
      </w:pPr>
      <w:r w:rsidRPr="00F62BA8">
        <w:rPr>
          <w:rFonts w:ascii="Times New Roman" w:hAnsi="Times New Roman" w:cs="Times New Roman"/>
        </w:rPr>
        <w:t>To answer these</w:t>
      </w:r>
      <w:r w:rsidR="007550E3" w:rsidRPr="00F62BA8">
        <w:rPr>
          <w:rFonts w:ascii="Times New Roman" w:hAnsi="Times New Roman" w:cs="Times New Roman"/>
        </w:rPr>
        <w:t xml:space="preserve"> research questions</w:t>
      </w:r>
      <w:r w:rsidRPr="00F62BA8">
        <w:rPr>
          <w:rFonts w:ascii="Times New Roman" w:hAnsi="Times New Roman" w:cs="Times New Roman"/>
        </w:rPr>
        <w:t xml:space="preserve">, I examined the number of degrees </w:t>
      </w:r>
      <w:r w:rsidR="00621CED" w:rsidRPr="00F62BA8">
        <w:rPr>
          <w:rFonts w:ascii="Times New Roman" w:hAnsi="Times New Roman" w:cs="Times New Roman"/>
        </w:rPr>
        <w:t>a college produced (dependent variable) before and after promise program adoption (treatment</w:t>
      </w:r>
      <w:r w:rsidR="00621CED">
        <w:rPr>
          <w:rFonts w:ascii="Times New Roman" w:hAnsi="Times New Roman" w:cs="Times New Roman"/>
        </w:rPr>
        <w:t>).</w:t>
      </w:r>
      <w:r w:rsidR="00F957EF">
        <w:rPr>
          <w:rFonts w:ascii="Times New Roman" w:hAnsi="Times New Roman" w:cs="Times New Roman"/>
        </w:rPr>
        <w:t xml:space="preserve"> This was done across </w:t>
      </w:r>
      <w:r w:rsidR="00CC1A63">
        <w:rPr>
          <w:rFonts w:ascii="Times New Roman" w:hAnsi="Times New Roman" w:cs="Times New Roman"/>
        </w:rPr>
        <w:t>all awards produced and</w:t>
      </w:r>
      <w:r w:rsidR="00C71A1D">
        <w:rPr>
          <w:rFonts w:ascii="Times New Roman" w:hAnsi="Times New Roman" w:cs="Times New Roman"/>
        </w:rPr>
        <w:t xml:space="preserve"> nine</w:t>
      </w:r>
      <w:r w:rsidR="00F957EF">
        <w:rPr>
          <w:rFonts w:ascii="Times New Roman" w:hAnsi="Times New Roman" w:cs="Times New Roman"/>
        </w:rPr>
        <w:t xml:space="preserve"> sub-</w:t>
      </w:r>
      <w:r w:rsidR="00193233">
        <w:rPr>
          <w:rFonts w:ascii="Times New Roman" w:hAnsi="Times New Roman" w:cs="Times New Roman"/>
        </w:rPr>
        <w:t>groupings</w:t>
      </w:r>
      <w:r w:rsidR="00F957EF">
        <w:rPr>
          <w:rFonts w:ascii="Times New Roman" w:hAnsi="Times New Roman" w:cs="Times New Roman"/>
        </w:rPr>
        <w:t xml:space="preserve"> of the outcome variable of interest</w:t>
      </w:r>
      <w:r w:rsidR="0004094A">
        <w:rPr>
          <w:rFonts w:ascii="Times New Roman" w:hAnsi="Times New Roman" w:cs="Times New Roman"/>
        </w:rPr>
        <w:t xml:space="preserve"> </w:t>
      </w:r>
      <w:r w:rsidR="00C71A1D">
        <w:rPr>
          <w:rFonts w:ascii="Times New Roman" w:hAnsi="Times New Roman" w:cs="Times New Roman"/>
        </w:rPr>
        <w:t>that meet the pretreatment parallel trends assumption</w:t>
      </w:r>
      <w:r w:rsidR="00193233">
        <w:rPr>
          <w:rFonts w:ascii="Times New Roman" w:hAnsi="Times New Roman" w:cs="Times New Roman"/>
        </w:rPr>
        <w:t>. The sub-grouping</w:t>
      </w:r>
      <w:r w:rsidR="007F1421">
        <w:rPr>
          <w:rFonts w:ascii="Times New Roman" w:hAnsi="Times New Roman" w:cs="Times New Roman"/>
        </w:rPr>
        <w:t>s</w:t>
      </w:r>
      <w:r w:rsidR="00193233">
        <w:rPr>
          <w:rFonts w:ascii="Times New Roman" w:hAnsi="Times New Roman" w:cs="Times New Roman"/>
        </w:rPr>
        <w:t xml:space="preserve"> by program length were </w:t>
      </w:r>
      <w:r w:rsidR="003B3193">
        <w:rPr>
          <w:rFonts w:ascii="Times New Roman" w:hAnsi="Times New Roman" w:cs="Times New Roman"/>
        </w:rPr>
        <w:t>the total of</w:t>
      </w:r>
      <w:r w:rsidR="00193233">
        <w:rPr>
          <w:rFonts w:ascii="Times New Roman" w:hAnsi="Times New Roman" w:cs="Times New Roman"/>
        </w:rPr>
        <w:t xml:space="preserve"> sub-</w:t>
      </w:r>
      <w:r w:rsidR="007F1421">
        <w:rPr>
          <w:rFonts w:ascii="Times New Roman" w:hAnsi="Times New Roman" w:cs="Times New Roman"/>
        </w:rPr>
        <w:t>baccalaureate</w:t>
      </w:r>
      <w:r w:rsidR="00193233">
        <w:rPr>
          <w:rFonts w:ascii="Times New Roman" w:hAnsi="Times New Roman" w:cs="Times New Roman"/>
        </w:rPr>
        <w:t xml:space="preserve"> awards, associates degrees, all credentials under 2 years in length, credentials that take between </w:t>
      </w:r>
      <w:r w:rsidR="00275D9D">
        <w:rPr>
          <w:rFonts w:ascii="Times New Roman" w:hAnsi="Times New Roman" w:cs="Times New Roman"/>
        </w:rPr>
        <w:t>One</w:t>
      </w:r>
      <w:r w:rsidR="002C3000">
        <w:rPr>
          <w:rFonts w:ascii="Times New Roman" w:hAnsi="Times New Roman" w:cs="Times New Roman"/>
        </w:rPr>
        <w:t>-to-t</w:t>
      </w:r>
      <w:r w:rsidR="00275D9D">
        <w:rPr>
          <w:rFonts w:ascii="Times New Roman" w:hAnsi="Times New Roman" w:cs="Times New Roman"/>
        </w:rPr>
        <w:t>wo</w:t>
      </w:r>
      <w:r w:rsidR="00193233">
        <w:rPr>
          <w:rFonts w:ascii="Times New Roman" w:hAnsi="Times New Roman" w:cs="Times New Roman"/>
        </w:rPr>
        <w:t xml:space="preserve"> years to complete, </w:t>
      </w:r>
      <w:r w:rsidR="007F1421">
        <w:rPr>
          <w:rFonts w:ascii="Times New Roman" w:hAnsi="Times New Roman" w:cs="Times New Roman"/>
        </w:rPr>
        <w:t>credentials</w:t>
      </w:r>
      <w:r w:rsidR="00193233">
        <w:rPr>
          <w:rFonts w:ascii="Times New Roman" w:hAnsi="Times New Roman" w:cs="Times New Roman"/>
        </w:rPr>
        <w:t xml:space="preserve"> that take less than a year to complete. </w:t>
      </w:r>
      <w:r w:rsidR="007F1421">
        <w:rPr>
          <w:rFonts w:ascii="Times New Roman" w:hAnsi="Times New Roman" w:cs="Times New Roman"/>
        </w:rPr>
        <w:t xml:space="preserve">The sub-groupings by program academic focus followed the </w:t>
      </w:r>
      <w:r w:rsidR="00AF6678">
        <w:rPr>
          <w:rFonts w:ascii="Times New Roman" w:hAnsi="Times New Roman" w:cs="Times New Roman"/>
        </w:rPr>
        <w:t>five</w:t>
      </w:r>
      <w:r w:rsidR="00827C3C">
        <w:rPr>
          <w:rFonts w:ascii="Times New Roman" w:hAnsi="Times New Roman" w:cs="Times New Roman"/>
        </w:rPr>
        <w:t xml:space="preserve"> CIP codes displayed in </w:t>
      </w:r>
      <w:r w:rsidR="00EC0FCD" w:rsidRPr="00504669">
        <w:rPr>
          <w:rFonts w:ascii="Times New Roman" w:hAnsi="Times New Roman" w:cs="Times New Roman"/>
          <w:b/>
          <w:bCs/>
        </w:rPr>
        <w:t>T</w:t>
      </w:r>
      <w:r w:rsidR="00827C3C" w:rsidRPr="00504669">
        <w:rPr>
          <w:rFonts w:ascii="Times New Roman" w:hAnsi="Times New Roman" w:cs="Times New Roman"/>
          <w:b/>
          <w:bCs/>
        </w:rPr>
        <w:t>able</w:t>
      </w:r>
      <w:r w:rsidR="00EC0FCD" w:rsidRPr="00504669">
        <w:rPr>
          <w:rFonts w:ascii="Times New Roman" w:hAnsi="Times New Roman" w:cs="Times New Roman"/>
          <w:b/>
          <w:bCs/>
        </w:rPr>
        <w:t xml:space="preserve"> </w:t>
      </w:r>
      <w:r w:rsidR="00BD3BFB" w:rsidRPr="00504669">
        <w:rPr>
          <w:rFonts w:ascii="Times New Roman" w:hAnsi="Times New Roman" w:cs="Times New Roman"/>
          <w:b/>
          <w:bCs/>
        </w:rPr>
        <w:t>2</w:t>
      </w:r>
      <w:r w:rsidR="00AF6678">
        <w:rPr>
          <w:rFonts w:ascii="Times New Roman" w:hAnsi="Times New Roman" w:cs="Times New Roman"/>
        </w:rPr>
        <w:t xml:space="preserve">. </w:t>
      </w:r>
      <w:r w:rsidR="0049665B">
        <w:rPr>
          <w:rFonts w:ascii="Times New Roman" w:hAnsi="Times New Roman" w:cs="Times New Roman"/>
        </w:rPr>
        <w:t>These sub-groupings</w:t>
      </w:r>
      <w:r w:rsidR="00AF6678">
        <w:rPr>
          <w:rFonts w:ascii="Times New Roman" w:hAnsi="Times New Roman" w:cs="Times New Roman"/>
        </w:rPr>
        <w:t xml:space="preserve"> are</w:t>
      </w:r>
      <w:r w:rsidR="00EC0FCD">
        <w:rPr>
          <w:rFonts w:ascii="Times New Roman" w:hAnsi="Times New Roman" w:cs="Times New Roman"/>
        </w:rPr>
        <w:t xml:space="preserve"> </w:t>
      </w:r>
      <w:r w:rsidR="00020112">
        <w:rPr>
          <w:rFonts w:ascii="Times New Roman" w:hAnsi="Times New Roman" w:cs="Times New Roman"/>
        </w:rPr>
        <w:t>s</w:t>
      </w:r>
      <w:r w:rsidR="00EC0FCD">
        <w:rPr>
          <w:rFonts w:ascii="Times New Roman" w:hAnsi="Times New Roman" w:cs="Times New Roman"/>
        </w:rPr>
        <w:t xml:space="preserve">cience, </w:t>
      </w:r>
      <w:r w:rsidR="00020112">
        <w:rPr>
          <w:rFonts w:ascii="Times New Roman" w:hAnsi="Times New Roman" w:cs="Times New Roman"/>
        </w:rPr>
        <w:t>technology</w:t>
      </w:r>
      <w:r w:rsidR="00EC0FCD">
        <w:rPr>
          <w:rFonts w:ascii="Times New Roman" w:hAnsi="Times New Roman" w:cs="Times New Roman"/>
        </w:rPr>
        <w:t xml:space="preserve">, </w:t>
      </w:r>
      <w:r w:rsidR="00020112">
        <w:rPr>
          <w:rFonts w:ascii="Times New Roman" w:hAnsi="Times New Roman" w:cs="Times New Roman"/>
        </w:rPr>
        <w:t>engineering</w:t>
      </w:r>
      <w:r w:rsidR="00EC0FCD">
        <w:rPr>
          <w:rFonts w:ascii="Times New Roman" w:hAnsi="Times New Roman" w:cs="Times New Roman"/>
        </w:rPr>
        <w:t xml:space="preserve">, and </w:t>
      </w:r>
      <w:r w:rsidR="00020112">
        <w:rPr>
          <w:rFonts w:ascii="Times New Roman" w:hAnsi="Times New Roman" w:cs="Times New Roman"/>
        </w:rPr>
        <w:t>m</w:t>
      </w:r>
      <w:r w:rsidR="00EC0FCD">
        <w:rPr>
          <w:rFonts w:ascii="Times New Roman" w:hAnsi="Times New Roman" w:cs="Times New Roman"/>
        </w:rPr>
        <w:t xml:space="preserve">ath (STEM); </w:t>
      </w:r>
      <w:r w:rsidR="00020112">
        <w:rPr>
          <w:rFonts w:ascii="Times New Roman" w:hAnsi="Times New Roman" w:cs="Times New Roman"/>
        </w:rPr>
        <w:t>t</w:t>
      </w:r>
      <w:r w:rsidR="00EC0FCD">
        <w:rPr>
          <w:rFonts w:ascii="Times New Roman" w:hAnsi="Times New Roman" w:cs="Times New Roman"/>
        </w:rPr>
        <w:t>rades</w:t>
      </w:r>
      <w:r w:rsidR="00FD21DD">
        <w:rPr>
          <w:rFonts w:ascii="Times New Roman" w:hAnsi="Times New Roman" w:cs="Times New Roman"/>
        </w:rPr>
        <w:t>;</w:t>
      </w:r>
      <w:r w:rsidR="00EC0FCD">
        <w:rPr>
          <w:rFonts w:ascii="Times New Roman" w:hAnsi="Times New Roman" w:cs="Times New Roman"/>
        </w:rPr>
        <w:t xml:space="preserve"> </w:t>
      </w:r>
      <w:r w:rsidR="00020112">
        <w:rPr>
          <w:rFonts w:ascii="Times New Roman" w:hAnsi="Times New Roman" w:cs="Times New Roman"/>
        </w:rPr>
        <w:t>liberal arts</w:t>
      </w:r>
      <w:r w:rsidR="00FD21DD">
        <w:rPr>
          <w:rFonts w:ascii="Times New Roman" w:hAnsi="Times New Roman" w:cs="Times New Roman"/>
        </w:rPr>
        <w:t xml:space="preserve">; </w:t>
      </w:r>
      <w:r w:rsidR="00020112">
        <w:rPr>
          <w:rFonts w:ascii="Times New Roman" w:hAnsi="Times New Roman" w:cs="Times New Roman"/>
        </w:rPr>
        <w:t xml:space="preserve">and human services programs. </w:t>
      </w:r>
      <w:r w:rsidR="004120E5">
        <w:rPr>
          <w:rFonts w:ascii="Times New Roman" w:hAnsi="Times New Roman" w:cs="Times New Roman"/>
        </w:rPr>
        <w:t xml:space="preserve">To answer these research questions, I utilized a nationwide </w:t>
      </w:r>
      <w:r w:rsidR="004120E5">
        <w:rPr>
          <w:rFonts w:ascii="Times New Roman" w:hAnsi="Times New Roman" w:cs="Times New Roman"/>
        </w:rPr>
        <w:lastRenderedPageBreak/>
        <w:t xml:space="preserve">sample from 2000-2022 of institutional sub-baccalaureate program completions from IPEDS as my outcome variable and assigned treatment from a promise program using the CollegePromise.org’s inventory of promise programs. </w:t>
      </w:r>
      <w:r w:rsidR="00C71A1D">
        <w:rPr>
          <w:rFonts w:ascii="Times New Roman" w:hAnsi="Times New Roman" w:cs="Times New Roman"/>
        </w:rPr>
        <w:t xml:space="preserve">As a reminder, the professional services sub-group did not meet the parallel pretreatment trends assumption and thus will not be discussed here. </w:t>
      </w:r>
      <w:r w:rsidR="00020112">
        <w:rPr>
          <w:rFonts w:ascii="Times New Roman" w:hAnsi="Times New Roman" w:cs="Times New Roman"/>
        </w:rPr>
        <w:t xml:space="preserve">Results for both sets of these sub-groups are presented in the relevant research question findings sections based on their examination of program length and </w:t>
      </w:r>
      <w:r w:rsidR="00B564C7">
        <w:rPr>
          <w:rFonts w:ascii="Times New Roman" w:hAnsi="Times New Roman" w:cs="Times New Roman"/>
        </w:rPr>
        <w:t xml:space="preserve">academic area of </w:t>
      </w:r>
      <w:r w:rsidR="00020112">
        <w:rPr>
          <w:rFonts w:ascii="Times New Roman" w:hAnsi="Times New Roman" w:cs="Times New Roman"/>
        </w:rPr>
        <w:t xml:space="preserve">focus respectively. </w:t>
      </w:r>
      <w:bookmarkEnd w:id="111"/>
      <w:bookmarkEnd w:id="112"/>
      <w:bookmarkEnd w:id="113"/>
    </w:p>
    <w:p w14:paraId="7559742C" w14:textId="1C39AE5F" w:rsidR="00776B20" w:rsidRPr="00695A18" w:rsidRDefault="00782182" w:rsidP="004F2800">
      <w:pPr>
        <w:pStyle w:val="Heading2"/>
        <w:spacing w:before="0" w:after="0"/>
      </w:pPr>
      <w:bookmarkStart w:id="114" w:name="_Toc183282283"/>
      <w:r w:rsidRPr="00695A18">
        <w:t>Findings Research Question #1</w:t>
      </w:r>
      <w:bookmarkEnd w:id="114"/>
    </w:p>
    <w:p w14:paraId="03CAAF15" w14:textId="4F2820C8" w:rsidR="00776B20" w:rsidRDefault="00E04A9B" w:rsidP="004F2800">
      <w:pPr>
        <w:spacing w:line="480" w:lineRule="auto"/>
        <w:ind w:firstLine="720"/>
        <w:rPr>
          <w:rFonts w:ascii="Times New Roman" w:hAnsi="Times New Roman" w:cs="Times New Roman"/>
        </w:rPr>
      </w:pPr>
      <w:r>
        <w:rPr>
          <w:rFonts w:ascii="Times New Roman" w:hAnsi="Times New Roman" w:cs="Times New Roman"/>
        </w:rPr>
        <w:t xml:space="preserve">Research question one </w:t>
      </w:r>
      <w:r w:rsidR="00ED4F89">
        <w:rPr>
          <w:rFonts w:ascii="Times New Roman" w:hAnsi="Times New Roman" w:cs="Times New Roman"/>
        </w:rPr>
        <w:t>examined</w:t>
      </w:r>
      <w:r>
        <w:rPr>
          <w:rFonts w:ascii="Times New Roman" w:hAnsi="Times New Roman" w:cs="Times New Roman"/>
        </w:rPr>
        <w:t xml:space="preserve"> the effect of promise program adoption </w:t>
      </w:r>
      <w:r w:rsidR="00164C1E">
        <w:rPr>
          <w:rFonts w:ascii="Times New Roman" w:hAnsi="Times New Roman" w:cs="Times New Roman"/>
        </w:rPr>
        <w:t xml:space="preserve">by program length. </w:t>
      </w:r>
      <w:r w:rsidR="000D2BB4">
        <w:rPr>
          <w:rFonts w:ascii="Times New Roman" w:hAnsi="Times New Roman" w:cs="Times New Roman"/>
        </w:rPr>
        <w:t xml:space="preserve">As a reminder the first research question of this study was: </w:t>
      </w:r>
      <w:r w:rsidR="000D2BB4" w:rsidRPr="000D2BB4">
        <w:rPr>
          <w:rFonts w:ascii="Times New Roman" w:hAnsi="Times New Roman" w:cs="Times New Roman"/>
          <w:i/>
          <w:iCs/>
        </w:rPr>
        <w:t>What effect does the adoption of a free college program have on postsecondary program completions by program length (less than 1 year, 1 year to 2 years, and 2 years)?</w:t>
      </w:r>
      <w:r w:rsidR="000D2BB4" w:rsidRPr="000D2BB4">
        <w:rPr>
          <w:rFonts w:ascii="Times New Roman" w:hAnsi="Times New Roman" w:cs="Times New Roman"/>
        </w:rPr>
        <w:t xml:space="preserve"> </w:t>
      </w:r>
      <w:r w:rsidR="00164C1E">
        <w:rPr>
          <w:rFonts w:ascii="Times New Roman" w:hAnsi="Times New Roman" w:cs="Times New Roman"/>
        </w:rPr>
        <w:t xml:space="preserve">Using available data from IPEDS for my sample period, I was able to </w:t>
      </w:r>
      <w:r w:rsidR="00E94709">
        <w:rPr>
          <w:rFonts w:ascii="Times New Roman" w:hAnsi="Times New Roman" w:cs="Times New Roman"/>
        </w:rPr>
        <w:t xml:space="preserve">separate sub-baccalaureate awards by program length into the following groups: associates degrees (programs that take a least two years to complete), </w:t>
      </w:r>
      <w:r w:rsidR="00CC7918">
        <w:rPr>
          <w:rFonts w:ascii="Times New Roman" w:hAnsi="Times New Roman" w:cs="Times New Roman"/>
        </w:rPr>
        <w:t>credentials that take between one</w:t>
      </w:r>
      <w:r w:rsidR="002C3000">
        <w:rPr>
          <w:rFonts w:ascii="Times New Roman" w:hAnsi="Times New Roman" w:cs="Times New Roman"/>
        </w:rPr>
        <w:t>-to-</w:t>
      </w:r>
      <w:r w:rsidR="00CC7918">
        <w:rPr>
          <w:rFonts w:ascii="Times New Roman" w:hAnsi="Times New Roman" w:cs="Times New Roman"/>
        </w:rPr>
        <w:t xml:space="preserve">two years to complete, and credentials that take less than one year to complete. I also included </w:t>
      </w:r>
      <w:r w:rsidR="0067199A">
        <w:rPr>
          <w:rFonts w:ascii="Times New Roman" w:hAnsi="Times New Roman" w:cs="Times New Roman"/>
        </w:rPr>
        <w:t>regressions that considered the total of all sub-baccalaureate awards produced and a measure that combined both sets of credentials</w:t>
      </w:r>
      <w:r w:rsidR="008269EC">
        <w:rPr>
          <w:rFonts w:ascii="Times New Roman" w:hAnsi="Times New Roman" w:cs="Times New Roman"/>
        </w:rPr>
        <w:t xml:space="preserve"> for a total of five models that examine award production by program length</w:t>
      </w:r>
      <w:r w:rsidR="0067199A">
        <w:rPr>
          <w:rFonts w:ascii="Times New Roman" w:hAnsi="Times New Roman" w:cs="Times New Roman"/>
        </w:rPr>
        <w:t xml:space="preserve">. </w:t>
      </w:r>
      <w:r w:rsidR="0033653D">
        <w:rPr>
          <w:rFonts w:ascii="Times New Roman" w:hAnsi="Times New Roman" w:cs="Times New Roman"/>
        </w:rPr>
        <w:t xml:space="preserve">The total sub-baccalaureate </w:t>
      </w:r>
      <w:r w:rsidR="004B3415">
        <w:rPr>
          <w:rFonts w:ascii="Times New Roman" w:hAnsi="Times New Roman" w:cs="Times New Roman"/>
        </w:rPr>
        <w:t>count include</w:t>
      </w:r>
      <w:r w:rsidR="00997DD4">
        <w:rPr>
          <w:rFonts w:ascii="Times New Roman" w:hAnsi="Times New Roman" w:cs="Times New Roman"/>
        </w:rPr>
        <w:t xml:space="preserve">d </w:t>
      </w:r>
      <w:r w:rsidR="004B3415">
        <w:rPr>
          <w:rFonts w:ascii="Times New Roman" w:hAnsi="Times New Roman" w:cs="Times New Roman"/>
        </w:rPr>
        <w:t xml:space="preserve">both associates degrees and all credentials that take less than two years to complete. The </w:t>
      </w:r>
      <w:r w:rsidR="00652476">
        <w:rPr>
          <w:rFonts w:ascii="Times New Roman" w:hAnsi="Times New Roman" w:cs="Times New Roman"/>
        </w:rPr>
        <w:t>total credentials count include</w:t>
      </w:r>
      <w:r w:rsidR="00997DD4">
        <w:rPr>
          <w:rFonts w:ascii="Times New Roman" w:hAnsi="Times New Roman" w:cs="Times New Roman"/>
        </w:rPr>
        <w:t xml:space="preserve">d </w:t>
      </w:r>
      <w:r w:rsidR="00652476">
        <w:rPr>
          <w:rFonts w:ascii="Times New Roman" w:hAnsi="Times New Roman" w:cs="Times New Roman"/>
        </w:rPr>
        <w:t xml:space="preserve">credentials that take between one-to-two years to complete and credentials </w:t>
      </w:r>
      <w:r w:rsidR="00652476">
        <w:rPr>
          <w:rFonts w:ascii="Times New Roman" w:hAnsi="Times New Roman" w:cs="Times New Roman"/>
        </w:rPr>
        <w:lastRenderedPageBreak/>
        <w:t xml:space="preserve">that take less than a year to complete. </w:t>
      </w:r>
      <w:r w:rsidR="009D391C">
        <w:rPr>
          <w:rFonts w:ascii="Times New Roman" w:hAnsi="Times New Roman" w:cs="Times New Roman"/>
        </w:rPr>
        <w:t>This</w:t>
      </w:r>
      <w:r w:rsidR="0067199A">
        <w:rPr>
          <w:rFonts w:ascii="Times New Roman" w:hAnsi="Times New Roman" w:cs="Times New Roman"/>
        </w:rPr>
        <w:t xml:space="preserve"> </w:t>
      </w:r>
      <w:r w:rsidR="008269EC">
        <w:rPr>
          <w:rFonts w:ascii="Times New Roman" w:hAnsi="Times New Roman" w:cs="Times New Roman"/>
        </w:rPr>
        <w:t>was</w:t>
      </w:r>
      <w:r w:rsidR="0067199A">
        <w:rPr>
          <w:rFonts w:ascii="Times New Roman" w:hAnsi="Times New Roman" w:cs="Times New Roman"/>
        </w:rPr>
        <w:t xml:space="preserve"> done to construct a more </w:t>
      </w:r>
      <w:r w:rsidR="00C96C22">
        <w:rPr>
          <w:rFonts w:ascii="Times New Roman" w:hAnsi="Times New Roman" w:cs="Times New Roman"/>
        </w:rPr>
        <w:t>holistic</w:t>
      </w:r>
      <w:r w:rsidR="0067199A">
        <w:rPr>
          <w:rFonts w:ascii="Times New Roman" w:hAnsi="Times New Roman" w:cs="Times New Roman"/>
        </w:rPr>
        <w:t xml:space="preserve"> view of </w:t>
      </w:r>
      <w:r w:rsidR="009D391C">
        <w:rPr>
          <w:rFonts w:ascii="Times New Roman" w:hAnsi="Times New Roman" w:cs="Times New Roman"/>
        </w:rPr>
        <w:t xml:space="preserve">how credentials </w:t>
      </w:r>
      <w:r w:rsidR="00494307">
        <w:rPr>
          <w:rFonts w:ascii="Times New Roman" w:hAnsi="Times New Roman" w:cs="Times New Roman"/>
        </w:rPr>
        <w:t>may</w:t>
      </w:r>
      <w:r w:rsidR="009D391C">
        <w:rPr>
          <w:rFonts w:ascii="Times New Roman" w:hAnsi="Times New Roman" w:cs="Times New Roman"/>
        </w:rPr>
        <w:t xml:space="preserve"> vary from </w:t>
      </w:r>
      <w:r w:rsidR="00494307">
        <w:rPr>
          <w:rFonts w:ascii="Times New Roman" w:hAnsi="Times New Roman" w:cs="Times New Roman"/>
        </w:rPr>
        <w:t>two-year</w:t>
      </w:r>
      <w:r w:rsidR="009D391C">
        <w:rPr>
          <w:rFonts w:ascii="Times New Roman" w:hAnsi="Times New Roman" w:cs="Times New Roman"/>
        </w:rPr>
        <w:t xml:space="preserve"> degrees. </w:t>
      </w:r>
    </w:p>
    <w:p w14:paraId="3D678BEF" w14:textId="75D57D1A" w:rsidR="00F77E78" w:rsidRDefault="009D391C" w:rsidP="004F2800">
      <w:pPr>
        <w:spacing w:line="480" w:lineRule="auto"/>
        <w:ind w:firstLine="720"/>
        <w:rPr>
          <w:rFonts w:ascii="Times New Roman" w:hAnsi="Times New Roman" w:cs="Times New Roman"/>
        </w:rPr>
      </w:pPr>
      <w:r>
        <w:rPr>
          <w:rFonts w:ascii="Times New Roman" w:hAnsi="Times New Roman" w:cs="Times New Roman"/>
        </w:rPr>
        <w:t xml:space="preserve">I present my regression outputs for this research question in </w:t>
      </w:r>
      <w:r w:rsidRPr="004F2800">
        <w:rPr>
          <w:rFonts w:ascii="Times New Roman" w:hAnsi="Times New Roman" w:cs="Times New Roman"/>
          <w:b/>
          <w:bCs/>
        </w:rPr>
        <w:t xml:space="preserve">Table </w:t>
      </w:r>
      <w:r w:rsidR="00911155" w:rsidRPr="004F2800">
        <w:rPr>
          <w:rFonts w:ascii="Times New Roman" w:hAnsi="Times New Roman" w:cs="Times New Roman"/>
          <w:b/>
          <w:bCs/>
        </w:rPr>
        <w:t>7</w:t>
      </w:r>
      <w:r w:rsidR="00FB0994">
        <w:rPr>
          <w:rFonts w:ascii="Times New Roman" w:hAnsi="Times New Roman" w:cs="Times New Roman"/>
        </w:rPr>
        <w:t xml:space="preserve"> </w:t>
      </w:r>
      <w:r w:rsidR="008269EC">
        <w:rPr>
          <w:rFonts w:ascii="Times New Roman" w:hAnsi="Times New Roman" w:cs="Times New Roman"/>
        </w:rPr>
        <w:t>from the</w:t>
      </w:r>
      <w:r w:rsidR="00FB0994">
        <w:rPr>
          <w:rFonts w:ascii="Times New Roman" w:hAnsi="Times New Roman" w:cs="Times New Roman"/>
        </w:rPr>
        <w:t xml:space="preserve"> Sun </w:t>
      </w:r>
      <w:r w:rsidR="00F87A22">
        <w:rPr>
          <w:rFonts w:ascii="Times New Roman" w:hAnsi="Times New Roman" w:cs="Times New Roman"/>
        </w:rPr>
        <w:t>and</w:t>
      </w:r>
      <w:r w:rsidR="00FB0994">
        <w:rPr>
          <w:rFonts w:ascii="Times New Roman" w:hAnsi="Times New Roman" w:cs="Times New Roman"/>
        </w:rPr>
        <w:t xml:space="preserve"> </w:t>
      </w:r>
      <w:r w:rsidR="00652476">
        <w:rPr>
          <w:rFonts w:ascii="Times New Roman" w:hAnsi="Times New Roman" w:cs="Times New Roman"/>
        </w:rPr>
        <w:t>Abraham</w:t>
      </w:r>
      <w:r w:rsidR="00FB0994">
        <w:rPr>
          <w:rFonts w:ascii="Times New Roman" w:hAnsi="Times New Roman" w:cs="Times New Roman"/>
        </w:rPr>
        <w:t xml:space="preserve"> </w:t>
      </w:r>
      <w:r w:rsidR="00F87A22">
        <w:rPr>
          <w:rFonts w:ascii="Times New Roman" w:hAnsi="Times New Roman" w:cs="Times New Roman"/>
        </w:rPr>
        <w:t>(</w:t>
      </w:r>
      <w:r w:rsidR="004120E5">
        <w:rPr>
          <w:rFonts w:ascii="Times New Roman" w:hAnsi="Times New Roman" w:cs="Times New Roman"/>
        </w:rPr>
        <w:t>2021</w:t>
      </w:r>
      <w:r w:rsidR="00F87A22">
        <w:rPr>
          <w:rFonts w:ascii="Times New Roman" w:hAnsi="Times New Roman" w:cs="Times New Roman"/>
        </w:rPr>
        <w:t xml:space="preserve">) </w:t>
      </w:r>
      <w:r w:rsidR="00FB0994">
        <w:rPr>
          <w:rFonts w:ascii="Times New Roman" w:hAnsi="Times New Roman" w:cs="Times New Roman"/>
        </w:rPr>
        <w:t xml:space="preserve">event study interaction </w:t>
      </w:r>
      <w:r w:rsidR="008269EC">
        <w:rPr>
          <w:rFonts w:ascii="Times New Roman" w:hAnsi="Times New Roman" w:cs="Times New Roman"/>
        </w:rPr>
        <w:t>specification for each</w:t>
      </w:r>
      <w:r w:rsidR="004527B3">
        <w:rPr>
          <w:rFonts w:ascii="Times New Roman" w:hAnsi="Times New Roman" w:cs="Times New Roman"/>
        </w:rPr>
        <w:t xml:space="preserve"> of</w:t>
      </w:r>
      <w:r w:rsidR="008269EC">
        <w:rPr>
          <w:rFonts w:ascii="Times New Roman" w:hAnsi="Times New Roman" w:cs="Times New Roman"/>
        </w:rPr>
        <w:t xml:space="preserve"> </w:t>
      </w:r>
      <w:r w:rsidR="00AC6138">
        <w:rPr>
          <w:rFonts w:ascii="Times New Roman" w:hAnsi="Times New Roman" w:cs="Times New Roman"/>
        </w:rPr>
        <w:t>my five sets of program lengths</w:t>
      </w:r>
      <w:r>
        <w:rPr>
          <w:rFonts w:ascii="Times New Roman" w:hAnsi="Times New Roman" w:cs="Times New Roman"/>
        </w:rPr>
        <w:t xml:space="preserve">. </w:t>
      </w:r>
      <w:r w:rsidR="00E2789E">
        <w:rPr>
          <w:rFonts w:ascii="Times New Roman" w:hAnsi="Times New Roman" w:cs="Times New Roman"/>
        </w:rPr>
        <w:t xml:space="preserve">Following the evidence presented in </w:t>
      </w:r>
      <w:r w:rsidR="00290995">
        <w:rPr>
          <w:rFonts w:ascii="Times New Roman" w:hAnsi="Times New Roman" w:cs="Times New Roman"/>
        </w:rPr>
        <w:t xml:space="preserve">Chapter 4 regarding </w:t>
      </w:r>
      <w:r w:rsidR="00E2789E">
        <w:rPr>
          <w:rFonts w:ascii="Times New Roman" w:hAnsi="Times New Roman" w:cs="Times New Roman"/>
        </w:rPr>
        <w:t xml:space="preserve">the pre-treatment trends analysis, </w:t>
      </w:r>
      <w:r w:rsidR="0079784B">
        <w:rPr>
          <w:rFonts w:ascii="Times New Roman" w:hAnsi="Times New Roman" w:cs="Times New Roman"/>
        </w:rPr>
        <w:t>I</w:t>
      </w:r>
      <w:r w:rsidR="00E2789E">
        <w:rPr>
          <w:rFonts w:ascii="Times New Roman" w:hAnsi="Times New Roman" w:cs="Times New Roman"/>
        </w:rPr>
        <w:t xml:space="preserve"> know that </w:t>
      </w:r>
      <w:r w:rsidR="00E60940">
        <w:rPr>
          <w:rFonts w:ascii="Times New Roman" w:hAnsi="Times New Roman" w:cs="Times New Roman"/>
        </w:rPr>
        <w:t xml:space="preserve">all five of these outcome variables are appropriate for analysis. </w:t>
      </w:r>
      <w:r w:rsidR="00485870">
        <w:rPr>
          <w:rFonts w:ascii="Times New Roman" w:hAnsi="Times New Roman" w:cs="Times New Roman"/>
        </w:rPr>
        <w:t>T</w:t>
      </w:r>
      <w:r w:rsidR="00E60940">
        <w:rPr>
          <w:rFonts w:ascii="Times New Roman" w:hAnsi="Times New Roman" w:cs="Times New Roman"/>
        </w:rPr>
        <w:t xml:space="preserve">he outcomes for all awards, associates degrees, </w:t>
      </w:r>
      <w:r w:rsidR="00552F97">
        <w:rPr>
          <w:rFonts w:ascii="Times New Roman" w:hAnsi="Times New Roman" w:cs="Times New Roman"/>
        </w:rPr>
        <w:t xml:space="preserve">all credentials, and credentials that take less than one year to </w:t>
      </w:r>
      <w:r w:rsidR="00F77E78">
        <w:rPr>
          <w:rFonts w:ascii="Times New Roman" w:hAnsi="Times New Roman" w:cs="Times New Roman"/>
        </w:rPr>
        <w:t xml:space="preserve">complete show evidence of pretreatment trends that </w:t>
      </w:r>
      <w:r w:rsidR="00906947">
        <w:rPr>
          <w:rFonts w:ascii="Times New Roman" w:hAnsi="Times New Roman" w:cs="Times New Roman"/>
        </w:rPr>
        <w:t>were</w:t>
      </w:r>
      <w:r w:rsidR="00F77E78">
        <w:rPr>
          <w:rFonts w:ascii="Times New Roman" w:hAnsi="Times New Roman" w:cs="Times New Roman"/>
        </w:rPr>
        <w:t xml:space="preserve"> not significantly different from zero. </w:t>
      </w:r>
    </w:p>
    <w:p w14:paraId="3C9275A7" w14:textId="77777777" w:rsidR="004F2800" w:rsidRDefault="004F2800" w:rsidP="004F2800">
      <w:pPr>
        <w:spacing w:line="480" w:lineRule="auto"/>
        <w:ind w:firstLine="720"/>
        <w:rPr>
          <w:rFonts w:ascii="Times New Roman" w:hAnsi="Times New Roman" w:cs="Times New Roman"/>
        </w:rPr>
      </w:pPr>
      <w:r>
        <w:rPr>
          <w:rFonts w:ascii="Times New Roman" w:hAnsi="Times New Roman" w:cs="Times New Roman"/>
        </w:rPr>
        <w:t xml:space="preserve">For the three outcome variables where analysis using staggered difference-in-difference was not supported by evidence that the parallel trends assumption was met, I utilized the </w:t>
      </w:r>
      <w:proofErr w:type="spellStart"/>
      <w:r>
        <w:rPr>
          <w:rFonts w:ascii="Times New Roman" w:hAnsi="Times New Roman" w:cs="Times New Roman"/>
          <w:i/>
          <w:iCs/>
        </w:rPr>
        <w:t>honestdid</w:t>
      </w:r>
      <w:proofErr w:type="spellEnd"/>
      <w:r>
        <w:rPr>
          <w:rFonts w:ascii="Times New Roman" w:hAnsi="Times New Roman" w:cs="Times New Roman"/>
        </w:rPr>
        <w:t xml:space="preserve"> package to further examine these outcome variables. Using a sensitivity analysis of smoothness restriction, I was able to compare the slope of my sample within the pre-treatment period and compare that the slope of my sample within the post-treatment period. I then examined the robust confidence intervals which examine what degree of non-linearity my model’s pre-treatment trends can accommodate before pre-treatment trends become significant.  </w:t>
      </w:r>
    </w:p>
    <w:p w14:paraId="2C0C806D" w14:textId="2853DCB3" w:rsidR="004F2800" w:rsidRDefault="004F2800" w:rsidP="004F2800">
      <w:pPr>
        <w:spacing w:line="480" w:lineRule="auto"/>
        <w:ind w:firstLine="720"/>
        <w:rPr>
          <w:rFonts w:ascii="Times New Roman" w:hAnsi="Times New Roman" w:cs="Times New Roman"/>
        </w:rPr>
      </w:pPr>
      <w:r>
        <w:rPr>
          <w:rFonts w:ascii="Times New Roman" w:hAnsi="Times New Roman" w:cs="Times New Roman"/>
        </w:rPr>
        <w:t xml:space="preserve">As for one-to-two year credentials, a smoothness restriction analysis of the robust confidence intervals using the </w:t>
      </w:r>
      <w:proofErr w:type="spellStart"/>
      <w:r>
        <w:rPr>
          <w:rFonts w:ascii="Times New Roman" w:hAnsi="Times New Roman" w:cs="Times New Roman"/>
        </w:rPr>
        <w:t>honestdid</w:t>
      </w:r>
      <w:proofErr w:type="spellEnd"/>
      <w:r>
        <w:rPr>
          <w:rFonts w:ascii="Times New Roman" w:hAnsi="Times New Roman" w:cs="Times New Roman"/>
        </w:rPr>
        <w:t xml:space="preserve"> package as described by Rambachan and Roth (2023) indicated that a regression examining this is robust up to and beyond M=0.1 suggesting that my results are able to hold even when allowing for the deviations for parallel trends suggested by the joint and individual coefficient tests of significance. As a </w:t>
      </w:r>
    </w:p>
    <w:p w14:paraId="17872376" w14:textId="77777777" w:rsidR="00A34FF0" w:rsidRPr="00DC75C1" w:rsidRDefault="00A34FF0" w:rsidP="004F2800">
      <w:pPr>
        <w:pStyle w:val="Caption"/>
        <w:spacing w:before="0" w:after="0" w:line="240" w:lineRule="auto"/>
      </w:pPr>
      <w:bookmarkStart w:id="115" w:name="_Toc179135218"/>
      <w:bookmarkStart w:id="116" w:name="_Toc179136137"/>
      <w:bookmarkStart w:id="117" w:name="_Toc179888482"/>
      <w:bookmarkStart w:id="118" w:name="_Toc181297763"/>
      <w:bookmarkStart w:id="119" w:name="_Toc180144570"/>
      <w:r w:rsidRPr="00DC75C1">
        <w:lastRenderedPageBreak/>
        <w:t>Table 7</w:t>
      </w:r>
      <w:bookmarkEnd w:id="115"/>
      <w:bookmarkEnd w:id="116"/>
      <w:bookmarkEnd w:id="117"/>
      <w:bookmarkEnd w:id="118"/>
      <w:bookmarkEnd w:id="119"/>
    </w:p>
    <w:p w14:paraId="366835F7" w14:textId="77777777" w:rsidR="00A34FF0" w:rsidRPr="00DC75C1" w:rsidRDefault="00A34FF0" w:rsidP="004F2800">
      <w:pPr>
        <w:rPr>
          <w:rFonts w:ascii="Times New Roman" w:hAnsi="Times New Roman" w:cs="Times New Roman"/>
        </w:rPr>
      </w:pPr>
      <w:r w:rsidRPr="00DC75C1">
        <w:rPr>
          <w:rFonts w:ascii="Times New Roman" w:hAnsi="Times New Roman" w:cs="Times New Roman"/>
        </w:rPr>
        <w:t xml:space="preserve">Regression of Outputs for Awards by Program Length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1530"/>
        <w:gridCol w:w="1620"/>
        <w:gridCol w:w="1440"/>
        <w:gridCol w:w="1530"/>
        <w:gridCol w:w="1530"/>
      </w:tblGrid>
      <w:tr w:rsidR="00A34FF0" w14:paraId="35B07240" w14:textId="77777777" w:rsidTr="00D91B35">
        <w:tc>
          <w:tcPr>
            <w:tcW w:w="990" w:type="dxa"/>
            <w:tcBorders>
              <w:bottom w:val="single" w:sz="4" w:space="0" w:color="auto"/>
            </w:tcBorders>
          </w:tcPr>
          <w:p w14:paraId="56EB253D" w14:textId="77777777" w:rsidR="00A34FF0" w:rsidRDefault="00A34FF0" w:rsidP="00D91B35">
            <w:pPr>
              <w:rPr>
                <w:rFonts w:ascii="Times New Roman" w:hAnsi="Times New Roman" w:cs="Times New Roman"/>
              </w:rPr>
            </w:pPr>
          </w:p>
        </w:tc>
        <w:tc>
          <w:tcPr>
            <w:tcW w:w="1530" w:type="dxa"/>
            <w:tcBorders>
              <w:bottom w:val="single" w:sz="4" w:space="0" w:color="auto"/>
            </w:tcBorders>
          </w:tcPr>
          <w:p w14:paraId="16006D34" w14:textId="77777777" w:rsidR="00A34FF0" w:rsidRDefault="00A34FF0" w:rsidP="00D91B35">
            <w:pPr>
              <w:rPr>
                <w:rFonts w:ascii="Times New Roman" w:hAnsi="Times New Roman" w:cs="Times New Roman"/>
              </w:rPr>
            </w:pPr>
            <w:r>
              <w:rPr>
                <w:rFonts w:ascii="Times New Roman" w:hAnsi="Times New Roman" w:cs="Times New Roman"/>
              </w:rPr>
              <w:t>All Awards</w:t>
            </w:r>
          </w:p>
        </w:tc>
        <w:tc>
          <w:tcPr>
            <w:tcW w:w="1620" w:type="dxa"/>
            <w:tcBorders>
              <w:bottom w:val="single" w:sz="4" w:space="0" w:color="auto"/>
            </w:tcBorders>
          </w:tcPr>
          <w:p w14:paraId="296A27C7" w14:textId="3007C553" w:rsidR="00A34FF0" w:rsidRDefault="00AE21FD" w:rsidP="00D91B35">
            <w:pPr>
              <w:rPr>
                <w:rFonts w:ascii="Times New Roman" w:hAnsi="Times New Roman" w:cs="Times New Roman"/>
              </w:rPr>
            </w:pPr>
            <w:r>
              <w:rPr>
                <w:rFonts w:ascii="Times New Roman" w:hAnsi="Times New Roman" w:cs="Times New Roman"/>
              </w:rPr>
              <w:t>Associate’s degrees</w:t>
            </w:r>
          </w:p>
        </w:tc>
        <w:tc>
          <w:tcPr>
            <w:tcW w:w="1440" w:type="dxa"/>
            <w:tcBorders>
              <w:bottom w:val="single" w:sz="4" w:space="0" w:color="auto"/>
            </w:tcBorders>
          </w:tcPr>
          <w:p w14:paraId="6884C67F" w14:textId="77777777" w:rsidR="00A34FF0" w:rsidRDefault="00A34FF0" w:rsidP="00D91B35">
            <w:pPr>
              <w:rPr>
                <w:rFonts w:ascii="Times New Roman" w:hAnsi="Times New Roman" w:cs="Times New Roman"/>
              </w:rPr>
            </w:pPr>
            <w:r>
              <w:rPr>
                <w:rFonts w:ascii="Times New Roman" w:hAnsi="Times New Roman" w:cs="Times New Roman"/>
              </w:rPr>
              <w:t xml:space="preserve">All Credentials </w:t>
            </w:r>
          </w:p>
        </w:tc>
        <w:tc>
          <w:tcPr>
            <w:tcW w:w="1530" w:type="dxa"/>
            <w:tcBorders>
              <w:bottom w:val="single" w:sz="4" w:space="0" w:color="auto"/>
            </w:tcBorders>
          </w:tcPr>
          <w:p w14:paraId="48BFE1BC" w14:textId="77777777" w:rsidR="00A34FF0" w:rsidRDefault="00A34FF0" w:rsidP="00D91B35">
            <w:pPr>
              <w:rPr>
                <w:rFonts w:ascii="Times New Roman" w:hAnsi="Times New Roman" w:cs="Times New Roman"/>
              </w:rPr>
            </w:pPr>
            <w:r>
              <w:rPr>
                <w:rFonts w:ascii="Times New Roman" w:hAnsi="Times New Roman" w:cs="Times New Roman"/>
              </w:rPr>
              <w:t>One-to-Two Year Cred.</w:t>
            </w:r>
          </w:p>
        </w:tc>
        <w:tc>
          <w:tcPr>
            <w:tcW w:w="1530" w:type="dxa"/>
            <w:tcBorders>
              <w:bottom w:val="single" w:sz="4" w:space="0" w:color="auto"/>
            </w:tcBorders>
          </w:tcPr>
          <w:p w14:paraId="0443BCD9" w14:textId="77777777" w:rsidR="00A34FF0" w:rsidRDefault="00A34FF0" w:rsidP="00D91B35">
            <w:pPr>
              <w:rPr>
                <w:rFonts w:ascii="Times New Roman" w:hAnsi="Times New Roman" w:cs="Times New Roman"/>
              </w:rPr>
            </w:pPr>
            <w:r>
              <w:rPr>
                <w:rFonts w:ascii="Times New Roman" w:hAnsi="Times New Roman" w:cs="Times New Roman"/>
              </w:rPr>
              <w:t>Less than 1 Year Cred.</w:t>
            </w:r>
          </w:p>
        </w:tc>
      </w:tr>
      <w:tr w:rsidR="00A34FF0" w14:paraId="3B618FED" w14:textId="77777777" w:rsidTr="00D91B35">
        <w:trPr>
          <w:trHeight w:val="719"/>
        </w:trPr>
        <w:tc>
          <w:tcPr>
            <w:tcW w:w="990" w:type="dxa"/>
            <w:tcBorders>
              <w:top w:val="single" w:sz="4" w:space="0" w:color="auto"/>
            </w:tcBorders>
          </w:tcPr>
          <w:p w14:paraId="4D1BDB8A" w14:textId="77777777" w:rsidR="00A34FF0" w:rsidRDefault="00A34FF0" w:rsidP="00D91B35">
            <w:pPr>
              <w:rPr>
                <w:rFonts w:ascii="Times New Roman" w:hAnsi="Times New Roman" w:cs="Times New Roman"/>
              </w:rPr>
            </w:pPr>
            <w:r>
              <w:rPr>
                <w:rFonts w:ascii="Times New Roman" w:hAnsi="Times New Roman" w:cs="Times New Roman"/>
              </w:rPr>
              <w:t>Pre-5</w:t>
            </w:r>
          </w:p>
        </w:tc>
        <w:tc>
          <w:tcPr>
            <w:tcW w:w="1530" w:type="dxa"/>
            <w:tcBorders>
              <w:top w:val="single" w:sz="4" w:space="0" w:color="auto"/>
            </w:tcBorders>
          </w:tcPr>
          <w:p w14:paraId="40C21240" w14:textId="77777777" w:rsidR="00A34FF0" w:rsidRDefault="00A34FF0" w:rsidP="00D91B35">
            <w:pPr>
              <w:rPr>
                <w:rFonts w:ascii="Times New Roman" w:hAnsi="Times New Roman" w:cs="Times New Roman"/>
              </w:rPr>
            </w:pPr>
            <w:r w:rsidRPr="00EB5454">
              <w:rPr>
                <w:rFonts w:ascii="Times New Roman" w:hAnsi="Times New Roman" w:cs="Times New Roman"/>
              </w:rPr>
              <w:t>-.001</w:t>
            </w:r>
            <w:r>
              <w:rPr>
                <w:rFonts w:ascii="Times New Roman" w:hAnsi="Times New Roman" w:cs="Times New Roman"/>
              </w:rPr>
              <w:t>5</w:t>
            </w:r>
            <w:r w:rsidRPr="00EB5454">
              <w:rPr>
                <w:rFonts w:ascii="Times New Roman" w:hAnsi="Times New Roman" w:cs="Times New Roman"/>
              </w:rPr>
              <w:t xml:space="preserve">   </w:t>
            </w:r>
            <w:r>
              <w:rPr>
                <w:rFonts w:ascii="Times New Roman" w:hAnsi="Times New Roman" w:cs="Times New Roman"/>
              </w:rPr>
              <w:t xml:space="preserve">  </w:t>
            </w:r>
          </w:p>
          <w:p w14:paraId="70430846"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.012</w:t>
            </w:r>
            <w:r>
              <w:rPr>
                <w:rFonts w:ascii="Times New Roman" w:hAnsi="Times New Roman" w:cs="Times New Roman"/>
              </w:rPr>
              <w:t>)</w:t>
            </w:r>
          </w:p>
        </w:tc>
        <w:tc>
          <w:tcPr>
            <w:tcW w:w="1620" w:type="dxa"/>
            <w:tcBorders>
              <w:top w:val="single" w:sz="4" w:space="0" w:color="auto"/>
            </w:tcBorders>
          </w:tcPr>
          <w:p w14:paraId="56A15C44" w14:textId="77777777" w:rsidR="00A34FF0" w:rsidRDefault="00A34FF0" w:rsidP="00D91B35">
            <w:pPr>
              <w:rPr>
                <w:rFonts w:ascii="Times New Roman" w:hAnsi="Times New Roman" w:cs="Times New Roman"/>
              </w:rPr>
            </w:pPr>
            <w:r w:rsidRPr="006B1710">
              <w:rPr>
                <w:rFonts w:ascii="Times New Roman" w:hAnsi="Times New Roman" w:cs="Times New Roman"/>
              </w:rPr>
              <w:t>-.017</w:t>
            </w:r>
            <w:r>
              <w:rPr>
                <w:rFonts w:ascii="Times New Roman" w:hAnsi="Times New Roman" w:cs="Times New Roman"/>
              </w:rPr>
              <w:t>1</w:t>
            </w:r>
            <w:r w:rsidRPr="006B1710">
              <w:rPr>
                <w:rFonts w:ascii="Times New Roman" w:hAnsi="Times New Roman" w:cs="Times New Roman"/>
              </w:rPr>
              <w:t xml:space="preserve"> </w:t>
            </w:r>
          </w:p>
          <w:p w14:paraId="075D79D8"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.010</w:t>
            </w:r>
            <w:r>
              <w:rPr>
                <w:rFonts w:ascii="Times New Roman" w:hAnsi="Times New Roman" w:cs="Times New Roman"/>
              </w:rPr>
              <w:t>2)</w:t>
            </w:r>
          </w:p>
        </w:tc>
        <w:tc>
          <w:tcPr>
            <w:tcW w:w="1440" w:type="dxa"/>
            <w:tcBorders>
              <w:top w:val="single" w:sz="4" w:space="0" w:color="auto"/>
            </w:tcBorders>
          </w:tcPr>
          <w:p w14:paraId="2817FE7B" w14:textId="77777777" w:rsidR="00A34FF0" w:rsidRDefault="00A34FF0" w:rsidP="00D91B35">
            <w:pPr>
              <w:rPr>
                <w:rFonts w:ascii="Times New Roman" w:hAnsi="Times New Roman" w:cs="Times New Roman"/>
              </w:rPr>
            </w:pPr>
            <w:r w:rsidRPr="006B1710">
              <w:rPr>
                <w:rFonts w:ascii="Times New Roman" w:hAnsi="Times New Roman" w:cs="Times New Roman"/>
              </w:rPr>
              <w:t xml:space="preserve">.0474   </w:t>
            </w:r>
          </w:p>
          <w:p w14:paraId="3B8A7233"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.0346</w:t>
            </w:r>
            <w:r>
              <w:rPr>
                <w:rFonts w:ascii="Times New Roman" w:hAnsi="Times New Roman" w:cs="Times New Roman"/>
              </w:rPr>
              <w:t>)</w:t>
            </w:r>
          </w:p>
        </w:tc>
        <w:tc>
          <w:tcPr>
            <w:tcW w:w="1530" w:type="dxa"/>
            <w:tcBorders>
              <w:top w:val="single" w:sz="4" w:space="0" w:color="auto"/>
            </w:tcBorders>
          </w:tcPr>
          <w:p w14:paraId="494BED3D" w14:textId="77777777" w:rsidR="00A34FF0" w:rsidRDefault="00A34FF0" w:rsidP="00D91B35">
            <w:pPr>
              <w:rPr>
                <w:rFonts w:ascii="Times New Roman" w:hAnsi="Times New Roman" w:cs="Times New Roman"/>
              </w:rPr>
            </w:pPr>
            <w:r w:rsidRPr="006B1710">
              <w:rPr>
                <w:rFonts w:ascii="Times New Roman" w:hAnsi="Times New Roman" w:cs="Times New Roman"/>
              </w:rPr>
              <w:t>.09</w:t>
            </w:r>
            <w:r>
              <w:rPr>
                <w:rFonts w:ascii="Times New Roman" w:hAnsi="Times New Roman" w:cs="Times New Roman"/>
              </w:rPr>
              <w:t>10</w:t>
            </w:r>
            <w:r w:rsidRPr="006B1710">
              <w:rPr>
                <w:rFonts w:ascii="Times New Roman" w:hAnsi="Times New Roman" w:cs="Times New Roman"/>
              </w:rPr>
              <w:t xml:space="preserve">   </w:t>
            </w:r>
          </w:p>
          <w:p w14:paraId="00D9076B"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.0467</w:t>
            </w:r>
            <w:r>
              <w:rPr>
                <w:rFonts w:ascii="Times New Roman" w:hAnsi="Times New Roman" w:cs="Times New Roman"/>
              </w:rPr>
              <w:t>)</w:t>
            </w:r>
          </w:p>
        </w:tc>
        <w:tc>
          <w:tcPr>
            <w:tcW w:w="1530" w:type="dxa"/>
            <w:tcBorders>
              <w:top w:val="single" w:sz="4" w:space="0" w:color="auto"/>
            </w:tcBorders>
          </w:tcPr>
          <w:p w14:paraId="20FE4793" w14:textId="77777777" w:rsidR="00A34FF0" w:rsidRDefault="00A34FF0" w:rsidP="00D91B35">
            <w:pPr>
              <w:rPr>
                <w:rFonts w:ascii="Times New Roman" w:hAnsi="Times New Roman" w:cs="Times New Roman"/>
              </w:rPr>
            </w:pPr>
            <w:r w:rsidRPr="006B1710">
              <w:rPr>
                <w:rFonts w:ascii="Times New Roman" w:hAnsi="Times New Roman" w:cs="Times New Roman"/>
              </w:rPr>
              <w:t xml:space="preserve">.0266  </w:t>
            </w:r>
          </w:p>
          <w:p w14:paraId="560C929E"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.0221</w:t>
            </w:r>
            <w:r>
              <w:rPr>
                <w:rFonts w:ascii="Times New Roman" w:hAnsi="Times New Roman" w:cs="Times New Roman"/>
              </w:rPr>
              <w:t>)</w:t>
            </w:r>
          </w:p>
        </w:tc>
      </w:tr>
      <w:tr w:rsidR="00A34FF0" w14:paraId="39B3DFA3" w14:textId="77777777" w:rsidTr="00D91B35">
        <w:tc>
          <w:tcPr>
            <w:tcW w:w="990" w:type="dxa"/>
          </w:tcPr>
          <w:p w14:paraId="28DB550F" w14:textId="77777777" w:rsidR="00A34FF0" w:rsidRDefault="00A34FF0" w:rsidP="00D91B35">
            <w:pPr>
              <w:rPr>
                <w:rFonts w:ascii="Times New Roman" w:hAnsi="Times New Roman" w:cs="Times New Roman"/>
              </w:rPr>
            </w:pPr>
            <w:r>
              <w:rPr>
                <w:rFonts w:ascii="Times New Roman" w:hAnsi="Times New Roman" w:cs="Times New Roman"/>
              </w:rPr>
              <w:t>Pre-4</w:t>
            </w:r>
          </w:p>
        </w:tc>
        <w:tc>
          <w:tcPr>
            <w:tcW w:w="1530" w:type="dxa"/>
          </w:tcPr>
          <w:p w14:paraId="015AF1C0" w14:textId="77777777" w:rsidR="00A34FF0" w:rsidRDefault="00A34FF0" w:rsidP="00D91B35">
            <w:pPr>
              <w:rPr>
                <w:rFonts w:ascii="Times New Roman" w:hAnsi="Times New Roman" w:cs="Times New Roman"/>
              </w:rPr>
            </w:pPr>
            <w:r w:rsidRPr="00EB5454">
              <w:rPr>
                <w:rFonts w:ascii="Times New Roman" w:hAnsi="Times New Roman" w:cs="Times New Roman"/>
              </w:rPr>
              <w:t>.014</w:t>
            </w:r>
            <w:r>
              <w:rPr>
                <w:rFonts w:ascii="Times New Roman" w:hAnsi="Times New Roman" w:cs="Times New Roman"/>
              </w:rPr>
              <w:t>7</w:t>
            </w:r>
            <w:r w:rsidRPr="00EB5454">
              <w:rPr>
                <w:rFonts w:ascii="Times New Roman" w:hAnsi="Times New Roman" w:cs="Times New Roman"/>
              </w:rPr>
              <w:t xml:space="preserve">   </w:t>
            </w:r>
          </w:p>
          <w:p w14:paraId="18F9094D"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.013</w:t>
            </w:r>
            <w:r>
              <w:rPr>
                <w:rFonts w:ascii="Times New Roman" w:hAnsi="Times New Roman" w:cs="Times New Roman"/>
              </w:rPr>
              <w:t>1)</w:t>
            </w:r>
          </w:p>
        </w:tc>
        <w:tc>
          <w:tcPr>
            <w:tcW w:w="1620" w:type="dxa"/>
          </w:tcPr>
          <w:p w14:paraId="24E68B71" w14:textId="77777777" w:rsidR="00A34FF0" w:rsidRDefault="00A34FF0" w:rsidP="00D91B35">
            <w:pPr>
              <w:rPr>
                <w:rFonts w:ascii="Times New Roman" w:hAnsi="Times New Roman" w:cs="Times New Roman"/>
              </w:rPr>
            </w:pPr>
            <w:r w:rsidRPr="006B1710">
              <w:rPr>
                <w:rFonts w:ascii="Times New Roman" w:hAnsi="Times New Roman" w:cs="Times New Roman"/>
              </w:rPr>
              <w:t>-.011</w:t>
            </w:r>
            <w:r>
              <w:rPr>
                <w:rFonts w:ascii="Times New Roman" w:hAnsi="Times New Roman" w:cs="Times New Roman"/>
              </w:rPr>
              <w:t>1</w:t>
            </w:r>
            <w:r w:rsidRPr="006B1710">
              <w:rPr>
                <w:rFonts w:ascii="Times New Roman" w:hAnsi="Times New Roman" w:cs="Times New Roman"/>
              </w:rPr>
              <w:t xml:space="preserve">   </w:t>
            </w:r>
          </w:p>
          <w:p w14:paraId="3B80436F"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.010</w:t>
            </w:r>
            <w:r>
              <w:rPr>
                <w:rFonts w:ascii="Times New Roman" w:hAnsi="Times New Roman" w:cs="Times New Roman"/>
              </w:rPr>
              <w:t>7)</w:t>
            </w:r>
          </w:p>
        </w:tc>
        <w:tc>
          <w:tcPr>
            <w:tcW w:w="1440" w:type="dxa"/>
          </w:tcPr>
          <w:p w14:paraId="42A7BF32" w14:textId="77777777" w:rsidR="00A34FF0" w:rsidRDefault="00A34FF0" w:rsidP="00D91B35">
            <w:pPr>
              <w:rPr>
                <w:rFonts w:ascii="Times New Roman" w:hAnsi="Times New Roman" w:cs="Times New Roman"/>
              </w:rPr>
            </w:pPr>
            <w:r w:rsidRPr="006B1710">
              <w:rPr>
                <w:rFonts w:ascii="Times New Roman" w:hAnsi="Times New Roman" w:cs="Times New Roman"/>
              </w:rPr>
              <w:t>.082</w:t>
            </w:r>
            <w:r>
              <w:rPr>
                <w:rFonts w:ascii="Times New Roman" w:hAnsi="Times New Roman" w:cs="Times New Roman"/>
              </w:rPr>
              <w:t>2*</w:t>
            </w:r>
            <w:r w:rsidRPr="006B1710">
              <w:rPr>
                <w:rFonts w:ascii="Times New Roman" w:hAnsi="Times New Roman" w:cs="Times New Roman"/>
              </w:rPr>
              <w:t xml:space="preserve">   </w:t>
            </w:r>
          </w:p>
          <w:p w14:paraId="385EB66F"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.033</w:t>
            </w:r>
            <w:r>
              <w:rPr>
                <w:rFonts w:ascii="Times New Roman" w:hAnsi="Times New Roman" w:cs="Times New Roman"/>
              </w:rPr>
              <w:t>3)</w:t>
            </w:r>
          </w:p>
        </w:tc>
        <w:tc>
          <w:tcPr>
            <w:tcW w:w="1530" w:type="dxa"/>
          </w:tcPr>
          <w:p w14:paraId="24898EED" w14:textId="77777777" w:rsidR="00A34FF0" w:rsidRDefault="00A34FF0" w:rsidP="00D91B35">
            <w:pPr>
              <w:rPr>
                <w:rFonts w:ascii="Times New Roman" w:hAnsi="Times New Roman" w:cs="Times New Roman"/>
              </w:rPr>
            </w:pPr>
            <w:r w:rsidRPr="006B1710">
              <w:rPr>
                <w:rFonts w:ascii="Times New Roman" w:hAnsi="Times New Roman" w:cs="Times New Roman"/>
              </w:rPr>
              <w:t>.18</w:t>
            </w:r>
            <w:r>
              <w:rPr>
                <w:rFonts w:ascii="Times New Roman" w:hAnsi="Times New Roman" w:cs="Times New Roman"/>
              </w:rPr>
              <w:t>30**</w:t>
            </w:r>
            <w:r w:rsidRPr="006B1710">
              <w:rPr>
                <w:rFonts w:ascii="Times New Roman" w:hAnsi="Times New Roman" w:cs="Times New Roman"/>
              </w:rPr>
              <w:t xml:space="preserve">   </w:t>
            </w:r>
          </w:p>
          <w:p w14:paraId="4C3CE254"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.054</w:t>
            </w:r>
            <w:r>
              <w:rPr>
                <w:rFonts w:ascii="Times New Roman" w:hAnsi="Times New Roman" w:cs="Times New Roman"/>
              </w:rPr>
              <w:t>8)</w:t>
            </w:r>
          </w:p>
        </w:tc>
        <w:tc>
          <w:tcPr>
            <w:tcW w:w="1530" w:type="dxa"/>
          </w:tcPr>
          <w:p w14:paraId="56C38E40" w14:textId="77777777" w:rsidR="00A34FF0" w:rsidRDefault="00A34FF0" w:rsidP="00D91B35">
            <w:pPr>
              <w:rPr>
                <w:rFonts w:ascii="Times New Roman" w:hAnsi="Times New Roman" w:cs="Times New Roman"/>
              </w:rPr>
            </w:pPr>
            <w:r>
              <w:rPr>
                <w:rFonts w:ascii="Times New Roman" w:hAnsi="Times New Roman" w:cs="Times New Roman"/>
              </w:rPr>
              <w:t>.</w:t>
            </w:r>
            <w:r>
              <w:t xml:space="preserve"> </w:t>
            </w:r>
            <w:r w:rsidRPr="006B1710">
              <w:rPr>
                <w:rFonts w:ascii="Times New Roman" w:hAnsi="Times New Roman" w:cs="Times New Roman"/>
              </w:rPr>
              <w:t>048</w:t>
            </w:r>
            <w:r>
              <w:rPr>
                <w:rFonts w:ascii="Times New Roman" w:hAnsi="Times New Roman" w:cs="Times New Roman"/>
              </w:rPr>
              <w:t>7</w:t>
            </w:r>
            <w:r w:rsidRPr="006B1710">
              <w:rPr>
                <w:rFonts w:ascii="Times New Roman" w:hAnsi="Times New Roman" w:cs="Times New Roman"/>
              </w:rPr>
              <w:t xml:space="preserve">  </w:t>
            </w:r>
          </w:p>
          <w:p w14:paraId="27351002"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.0268</w:t>
            </w:r>
            <w:r>
              <w:rPr>
                <w:rFonts w:ascii="Times New Roman" w:hAnsi="Times New Roman" w:cs="Times New Roman"/>
              </w:rPr>
              <w:t>)</w:t>
            </w:r>
          </w:p>
        </w:tc>
      </w:tr>
      <w:tr w:rsidR="00A34FF0" w14:paraId="0202E7CC" w14:textId="77777777" w:rsidTr="00D91B35">
        <w:trPr>
          <w:trHeight w:val="720"/>
        </w:trPr>
        <w:tc>
          <w:tcPr>
            <w:tcW w:w="990" w:type="dxa"/>
          </w:tcPr>
          <w:p w14:paraId="449751EC" w14:textId="77777777" w:rsidR="00A34FF0" w:rsidRDefault="00A34FF0" w:rsidP="00D91B35">
            <w:pPr>
              <w:rPr>
                <w:rFonts w:ascii="Times New Roman" w:hAnsi="Times New Roman" w:cs="Times New Roman"/>
              </w:rPr>
            </w:pPr>
            <w:r>
              <w:rPr>
                <w:rFonts w:ascii="Times New Roman" w:hAnsi="Times New Roman" w:cs="Times New Roman"/>
              </w:rPr>
              <w:t>Pre-3</w:t>
            </w:r>
          </w:p>
        </w:tc>
        <w:tc>
          <w:tcPr>
            <w:tcW w:w="1530" w:type="dxa"/>
          </w:tcPr>
          <w:p w14:paraId="7C2E9F2D" w14:textId="77777777" w:rsidR="00A34FF0" w:rsidRDefault="00A34FF0" w:rsidP="00D91B35">
            <w:pPr>
              <w:rPr>
                <w:rFonts w:ascii="Times New Roman" w:hAnsi="Times New Roman" w:cs="Times New Roman"/>
              </w:rPr>
            </w:pPr>
            <w:r w:rsidRPr="00EB5454">
              <w:rPr>
                <w:rFonts w:ascii="Times New Roman" w:hAnsi="Times New Roman" w:cs="Times New Roman"/>
              </w:rPr>
              <w:t>.024</w:t>
            </w:r>
            <w:r>
              <w:rPr>
                <w:rFonts w:ascii="Times New Roman" w:hAnsi="Times New Roman" w:cs="Times New Roman"/>
              </w:rPr>
              <w:t>2</w:t>
            </w:r>
            <w:r w:rsidRPr="00EB5454">
              <w:rPr>
                <w:rFonts w:ascii="Times New Roman" w:hAnsi="Times New Roman" w:cs="Times New Roman"/>
              </w:rPr>
              <w:t xml:space="preserve">   </w:t>
            </w:r>
          </w:p>
          <w:p w14:paraId="239D7663"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.0128</w:t>
            </w:r>
            <w:r>
              <w:rPr>
                <w:rFonts w:ascii="Times New Roman" w:hAnsi="Times New Roman" w:cs="Times New Roman"/>
              </w:rPr>
              <w:t>)</w:t>
            </w:r>
          </w:p>
        </w:tc>
        <w:tc>
          <w:tcPr>
            <w:tcW w:w="1620" w:type="dxa"/>
          </w:tcPr>
          <w:p w14:paraId="6AD38350" w14:textId="77777777" w:rsidR="00A34FF0" w:rsidRDefault="00A34FF0" w:rsidP="00D91B35">
            <w:pPr>
              <w:rPr>
                <w:rFonts w:ascii="Times New Roman" w:hAnsi="Times New Roman" w:cs="Times New Roman"/>
              </w:rPr>
            </w:pPr>
            <w:r w:rsidRPr="006B1710">
              <w:rPr>
                <w:rFonts w:ascii="Times New Roman" w:hAnsi="Times New Roman" w:cs="Times New Roman"/>
              </w:rPr>
              <w:t>.000</w:t>
            </w:r>
            <w:r>
              <w:rPr>
                <w:rFonts w:ascii="Times New Roman" w:hAnsi="Times New Roman" w:cs="Times New Roman"/>
              </w:rPr>
              <w:t>8</w:t>
            </w:r>
            <w:r w:rsidRPr="006B1710">
              <w:rPr>
                <w:rFonts w:ascii="Times New Roman" w:hAnsi="Times New Roman" w:cs="Times New Roman"/>
              </w:rPr>
              <w:t xml:space="preserve"> </w:t>
            </w:r>
          </w:p>
          <w:p w14:paraId="4F617B9D"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.010</w:t>
            </w:r>
            <w:r>
              <w:rPr>
                <w:rFonts w:ascii="Times New Roman" w:hAnsi="Times New Roman" w:cs="Times New Roman"/>
              </w:rPr>
              <w:t>9)</w:t>
            </w:r>
          </w:p>
        </w:tc>
        <w:tc>
          <w:tcPr>
            <w:tcW w:w="1440" w:type="dxa"/>
          </w:tcPr>
          <w:p w14:paraId="69D01112" w14:textId="77777777" w:rsidR="00A34FF0" w:rsidRDefault="00A34FF0" w:rsidP="00D91B35">
            <w:pPr>
              <w:rPr>
                <w:rFonts w:ascii="Times New Roman" w:hAnsi="Times New Roman" w:cs="Times New Roman"/>
              </w:rPr>
            </w:pPr>
            <w:r w:rsidRPr="006B1710">
              <w:rPr>
                <w:rFonts w:ascii="Times New Roman" w:hAnsi="Times New Roman" w:cs="Times New Roman"/>
              </w:rPr>
              <w:t>.090</w:t>
            </w:r>
            <w:r>
              <w:rPr>
                <w:rFonts w:ascii="Times New Roman" w:hAnsi="Times New Roman" w:cs="Times New Roman"/>
              </w:rPr>
              <w:t>9**</w:t>
            </w:r>
            <w:r w:rsidRPr="006B1710">
              <w:rPr>
                <w:rFonts w:ascii="Times New Roman" w:hAnsi="Times New Roman" w:cs="Times New Roman"/>
              </w:rPr>
              <w:t xml:space="preserve">   </w:t>
            </w:r>
          </w:p>
          <w:p w14:paraId="6E2BD3FA"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.0337</w:t>
            </w:r>
            <w:r>
              <w:rPr>
                <w:rFonts w:ascii="Times New Roman" w:hAnsi="Times New Roman" w:cs="Times New Roman"/>
              </w:rPr>
              <w:t>)</w:t>
            </w:r>
          </w:p>
        </w:tc>
        <w:tc>
          <w:tcPr>
            <w:tcW w:w="1530" w:type="dxa"/>
          </w:tcPr>
          <w:p w14:paraId="22700200" w14:textId="77777777" w:rsidR="00A34FF0" w:rsidRDefault="00A34FF0" w:rsidP="00D91B35">
            <w:pPr>
              <w:rPr>
                <w:rFonts w:ascii="Times New Roman" w:hAnsi="Times New Roman" w:cs="Times New Roman"/>
              </w:rPr>
            </w:pPr>
            <w:r w:rsidRPr="006B1710">
              <w:rPr>
                <w:rFonts w:ascii="Times New Roman" w:hAnsi="Times New Roman" w:cs="Times New Roman"/>
              </w:rPr>
              <w:t>.2122</w:t>
            </w:r>
            <w:r>
              <w:rPr>
                <w:rFonts w:ascii="Times New Roman" w:hAnsi="Times New Roman" w:cs="Times New Roman"/>
              </w:rPr>
              <w:t>***</w:t>
            </w:r>
            <w:r w:rsidRPr="006B1710">
              <w:rPr>
                <w:rFonts w:ascii="Times New Roman" w:hAnsi="Times New Roman" w:cs="Times New Roman"/>
              </w:rPr>
              <w:t xml:space="preserve">    </w:t>
            </w:r>
          </w:p>
          <w:p w14:paraId="3E098E4B"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.052</w:t>
            </w:r>
            <w:r>
              <w:rPr>
                <w:rFonts w:ascii="Times New Roman" w:hAnsi="Times New Roman" w:cs="Times New Roman"/>
              </w:rPr>
              <w:t>9)</w:t>
            </w:r>
          </w:p>
        </w:tc>
        <w:tc>
          <w:tcPr>
            <w:tcW w:w="1530" w:type="dxa"/>
          </w:tcPr>
          <w:p w14:paraId="0FA4BA5A" w14:textId="77777777" w:rsidR="00A34FF0" w:rsidRDefault="00A34FF0" w:rsidP="00D91B35">
            <w:pPr>
              <w:rPr>
                <w:rFonts w:ascii="Times New Roman" w:hAnsi="Times New Roman" w:cs="Times New Roman"/>
              </w:rPr>
            </w:pPr>
            <w:r w:rsidRPr="006B1710">
              <w:rPr>
                <w:rFonts w:ascii="Times New Roman" w:hAnsi="Times New Roman" w:cs="Times New Roman"/>
              </w:rPr>
              <w:t>.075</w:t>
            </w:r>
            <w:r>
              <w:rPr>
                <w:rFonts w:ascii="Times New Roman" w:hAnsi="Times New Roman" w:cs="Times New Roman"/>
              </w:rPr>
              <w:t>1**</w:t>
            </w:r>
            <w:r w:rsidRPr="006B1710">
              <w:rPr>
                <w:rFonts w:ascii="Times New Roman" w:hAnsi="Times New Roman" w:cs="Times New Roman"/>
              </w:rPr>
              <w:t xml:space="preserve">   </w:t>
            </w:r>
          </w:p>
          <w:p w14:paraId="3D8DBFC6"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.025</w:t>
            </w:r>
            <w:r>
              <w:rPr>
                <w:rFonts w:ascii="Times New Roman" w:hAnsi="Times New Roman" w:cs="Times New Roman"/>
              </w:rPr>
              <w:t>5)</w:t>
            </w:r>
          </w:p>
        </w:tc>
      </w:tr>
      <w:tr w:rsidR="00A34FF0" w14:paraId="00BD5841" w14:textId="77777777" w:rsidTr="00D91B35">
        <w:trPr>
          <w:trHeight w:val="711"/>
        </w:trPr>
        <w:tc>
          <w:tcPr>
            <w:tcW w:w="990" w:type="dxa"/>
            <w:tcBorders>
              <w:bottom w:val="single" w:sz="4" w:space="0" w:color="auto"/>
            </w:tcBorders>
          </w:tcPr>
          <w:p w14:paraId="448340EB" w14:textId="77777777" w:rsidR="00A34FF0" w:rsidRDefault="00A34FF0" w:rsidP="00D91B35">
            <w:pPr>
              <w:rPr>
                <w:rFonts w:ascii="Times New Roman" w:hAnsi="Times New Roman" w:cs="Times New Roman"/>
              </w:rPr>
            </w:pPr>
            <w:r>
              <w:rPr>
                <w:rFonts w:ascii="Times New Roman" w:hAnsi="Times New Roman" w:cs="Times New Roman"/>
              </w:rPr>
              <w:t>Pre-2</w:t>
            </w:r>
          </w:p>
        </w:tc>
        <w:tc>
          <w:tcPr>
            <w:tcW w:w="1530" w:type="dxa"/>
            <w:tcBorders>
              <w:bottom w:val="single" w:sz="4" w:space="0" w:color="auto"/>
            </w:tcBorders>
          </w:tcPr>
          <w:p w14:paraId="7A5E5FF8" w14:textId="77777777" w:rsidR="00A34FF0" w:rsidRDefault="00A34FF0" w:rsidP="00D91B35">
            <w:pPr>
              <w:rPr>
                <w:rFonts w:ascii="Times New Roman" w:hAnsi="Times New Roman" w:cs="Times New Roman"/>
              </w:rPr>
            </w:pPr>
            <w:r w:rsidRPr="00EB5454">
              <w:rPr>
                <w:rFonts w:ascii="Times New Roman" w:hAnsi="Times New Roman" w:cs="Times New Roman"/>
              </w:rPr>
              <w:t>.01</w:t>
            </w:r>
            <w:r>
              <w:rPr>
                <w:rFonts w:ascii="Times New Roman" w:hAnsi="Times New Roman" w:cs="Times New Roman"/>
              </w:rPr>
              <w:t>50</w:t>
            </w:r>
            <w:r w:rsidRPr="00EB5454">
              <w:rPr>
                <w:rFonts w:ascii="Times New Roman" w:hAnsi="Times New Roman" w:cs="Times New Roman"/>
              </w:rPr>
              <w:t xml:space="preserve">   </w:t>
            </w:r>
          </w:p>
          <w:p w14:paraId="1194B3D1"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.0140</w:t>
            </w:r>
            <w:r>
              <w:rPr>
                <w:rFonts w:ascii="Times New Roman" w:hAnsi="Times New Roman" w:cs="Times New Roman"/>
              </w:rPr>
              <w:t>)</w:t>
            </w:r>
          </w:p>
        </w:tc>
        <w:tc>
          <w:tcPr>
            <w:tcW w:w="1620" w:type="dxa"/>
            <w:tcBorders>
              <w:bottom w:val="single" w:sz="4" w:space="0" w:color="auto"/>
            </w:tcBorders>
          </w:tcPr>
          <w:p w14:paraId="10C3232F" w14:textId="77777777" w:rsidR="00A34FF0" w:rsidRDefault="00A34FF0" w:rsidP="00D91B35">
            <w:pPr>
              <w:rPr>
                <w:rFonts w:ascii="Times New Roman" w:hAnsi="Times New Roman" w:cs="Times New Roman"/>
              </w:rPr>
            </w:pPr>
            <w:r w:rsidRPr="006B1710">
              <w:rPr>
                <w:rFonts w:ascii="Times New Roman" w:hAnsi="Times New Roman" w:cs="Times New Roman"/>
              </w:rPr>
              <w:t xml:space="preserve">-.0072   </w:t>
            </w:r>
          </w:p>
          <w:p w14:paraId="292975C7"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.011</w:t>
            </w:r>
            <w:r>
              <w:rPr>
                <w:rFonts w:ascii="Times New Roman" w:hAnsi="Times New Roman" w:cs="Times New Roman"/>
              </w:rPr>
              <w:t>9)</w:t>
            </w:r>
          </w:p>
        </w:tc>
        <w:tc>
          <w:tcPr>
            <w:tcW w:w="1440" w:type="dxa"/>
            <w:tcBorders>
              <w:bottom w:val="single" w:sz="4" w:space="0" w:color="auto"/>
            </w:tcBorders>
          </w:tcPr>
          <w:p w14:paraId="36981382" w14:textId="77777777" w:rsidR="00A34FF0" w:rsidRDefault="00A34FF0" w:rsidP="00D91B35">
            <w:pPr>
              <w:rPr>
                <w:rFonts w:ascii="Times New Roman" w:hAnsi="Times New Roman" w:cs="Times New Roman"/>
              </w:rPr>
            </w:pPr>
            <w:r w:rsidRPr="006B1710">
              <w:rPr>
                <w:rFonts w:ascii="Times New Roman" w:hAnsi="Times New Roman" w:cs="Times New Roman"/>
              </w:rPr>
              <w:t xml:space="preserve">.0647   </w:t>
            </w:r>
          </w:p>
          <w:p w14:paraId="03312F42"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.0370</w:t>
            </w:r>
            <w:r>
              <w:rPr>
                <w:rFonts w:ascii="Times New Roman" w:hAnsi="Times New Roman" w:cs="Times New Roman"/>
              </w:rPr>
              <w:t>)</w:t>
            </w:r>
          </w:p>
        </w:tc>
        <w:tc>
          <w:tcPr>
            <w:tcW w:w="1530" w:type="dxa"/>
            <w:tcBorders>
              <w:bottom w:val="single" w:sz="4" w:space="0" w:color="auto"/>
            </w:tcBorders>
          </w:tcPr>
          <w:p w14:paraId="10EE9FF7" w14:textId="77777777" w:rsidR="00A34FF0" w:rsidRDefault="00A34FF0" w:rsidP="00D91B35">
            <w:pPr>
              <w:rPr>
                <w:rFonts w:ascii="Times New Roman" w:hAnsi="Times New Roman" w:cs="Times New Roman"/>
              </w:rPr>
            </w:pPr>
            <w:r w:rsidRPr="006B1710">
              <w:rPr>
                <w:rFonts w:ascii="Times New Roman" w:hAnsi="Times New Roman" w:cs="Times New Roman"/>
              </w:rPr>
              <w:t>.1870</w:t>
            </w:r>
            <w:r>
              <w:rPr>
                <w:rFonts w:ascii="Times New Roman" w:hAnsi="Times New Roman" w:cs="Times New Roman"/>
              </w:rPr>
              <w:t>***</w:t>
            </w:r>
            <w:r w:rsidRPr="006B1710">
              <w:rPr>
                <w:rFonts w:ascii="Times New Roman" w:hAnsi="Times New Roman" w:cs="Times New Roman"/>
              </w:rPr>
              <w:t xml:space="preserve">   </w:t>
            </w:r>
          </w:p>
          <w:p w14:paraId="2D7B87EC"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.052</w:t>
            </w:r>
            <w:r>
              <w:rPr>
                <w:rFonts w:ascii="Times New Roman" w:hAnsi="Times New Roman" w:cs="Times New Roman"/>
              </w:rPr>
              <w:t>4)</w:t>
            </w:r>
          </w:p>
        </w:tc>
        <w:tc>
          <w:tcPr>
            <w:tcW w:w="1530" w:type="dxa"/>
            <w:tcBorders>
              <w:bottom w:val="single" w:sz="4" w:space="0" w:color="auto"/>
            </w:tcBorders>
          </w:tcPr>
          <w:p w14:paraId="771A3442" w14:textId="77777777" w:rsidR="00A34FF0" w:rsidRDefault="00A34FF0" w:rsidP="00D91B35">
            <w:pPr>
              <w:rPr>
                <w:rFonts w:ascii="Times New Roman" w:hAnsi="Times New Roman" w:cs="Times New Roman"/>
              </w:rPr>
            </w:pPr>
            <w:r w:rsidRPr="006B1710">
              <w:rPr>
                <w:rFonts w:ascii="Times New Roman" w:hAnsi="Times New Roman" w:cs="Times New Roman"/>
              </w:rPr>
              <w:t>.0561</w:t>
            </w:r>
            <w:r>
              <w:rPr>
                <w:rFonts w:ascii="Times New Roman" w:hAnsi="Times New Roman" w:cs="Times New Roman"/>
              </w:rPr>
              <w:t>*</w:t>
            </w:r>
            <w:r w:rsidRPr="006B1710">
              <w:rPr>
                <w:rFonts w:ascii="Times New Roman" w:hAnsi="Times New Roman" w:cs="Times New Roman"/>
              </w:rPr>
              <w:t xml:space="preserve">   </w:t>
            </w:r>
          </w:p>
          <w:p w14:paraId="4353CBC7"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.0266</w:t>
            </w:r>
            <w:r>
              <w:rPr>
                <w:rFonts w:ascii="Times New Roman" w:hAnsi="Times New Roman" w:cs="Times New Roman"/>
              </w:rPr>
              <w:t>)</w:t>
            </w:r>
          </w:p>
        </w:tc>
      </w:tr>
      <w:tr w:rsidR="00A34FF0" w14:paraId="12D7D353" w14:textId="77777777" w:rsidTr="00D91B35">
        <w:trPr>
          <w:trHeight w:val="738"/>
        </w:trPr>
        <w:tc>
          <w:tcPr>
            <w:tcW w:w="990" w:type="dxa"/>
            <w:tcBorders>
              <w:top w:val="single" w:sz="4" w:space="0" w:color="auto"/>
            </w:tcBorders>
          </w:tcPr>
          <w:p w14:paraId="7AEF699C" w14:textId="77777777" w:rsidR="00A34FF0" w:rsidRDefault="00A34FF0" w:rsidP="00D91B35">
            <w:pPr>
              <w:rPr>
                <w:rFonts w:ascii="Times New Roman" w:hAnsi="Times New Roman" w:cs="Times New Roman"/>
              </w:rPr>
            </w:pPr>
            <w:r>
              <w:rPr>
                <w:rFonts w:ascii="Times New Roman" w:hAnsi="Times New Roman" w:cs="Times New Roman"/>
              </w:rPr>
              <w:t>Post-0</w:t>
            </w:r>
          </w:p>
        </w:tc>
        <w:tc>
          <w:tcPr>
            <w:tcW w:w="1530" w:type="dxa"/>
            <w:tcBorders>
              <w:top w:val="single" w:sz="4" w:space="0" w:color="auto"/>
            </w:tcBorders>
          </w:tcPr>
          <w:p w14:paraId="4DB3881F" w14:textId="77777777" w:rsidR="00A34FF0" w:rsidRDefault="00A34FF0" w:rsidP="00D91B35">
            <w:pPr>
              <w:rPr>
                <w:rFonts w:ascii="Times New Roman" w:hAnsi="Times New Roman" w:cs="Times New Roman"/>
              </w:rPr>
            </w:pPr>
            <w:r w:rsidRPr="00EB5454">
              <w:rPr>
                <w:rFonts w:ascii="Times New Roman" w:hAnsi="Times New Roman" w:cs="Times New Roman"/>
              </w:rPr>
              <w:t xml:space="preserve">.0210   </w:t>
            </w:r>
          </w:p>
          <w:p w14:paraId="7B79FBC7"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.016</w:t>
            </w:r>
            <w:r>
              <w:rPr>
                <w:rFonts w:ascii="Times New Roman" w:hAnsi="Times New Roman" w:cs="Times New Roman"/>
              </w:rPr>
              <w:t>7)</w:t>
            </w:r>
          </w:p>
        </w:tc>
        <w:tc>
          <w:tcPr>
            <w:tcW w:w="1620" w:type="dxa"/>
            <w:tcBorders>
              <w:top w:val="single" w:sz="4" w:space="0" w:color="auto"/>
            </w:tcBorders>
          </w:tcPr>
          <w:p w14:paraId="11BCFE6D" w14:textId="77777777" w:rsidR="00A34FF0" w:rsidRDefault="00A34FF0" w:rsidP="00D91B35">
            <w:pPr>
              <w:rPr>
                <w:rFonts w:ascii="Times New Roman" w:hAnsi="Times New Roman" w:cs="Times New Roman"/>
              </w:rPr>
            </w:pPr>
            <w:r w:rsidRPr="006B1710">
              <w:rPr>
                <w:rFonts w:ascii="Times New Roman" w:hAnsi="Times New Roman" w:cs="Times New Roman"/>
              </w:rPr>
              <w:t>-.008</w:t>
            </w:r>
            <w:r>
              <w:rPr>
                <w:rFonts w:ascii="Times New Roman" w:hAnsi="Times New Roman" w:cs="Times New Roman"/>
              </w:rPr>
              <w:t>4</w:t>
            </w:r>
            <w:r w:rsidRPr="006B1710">
              <w:rPr>
                <w:rFonts w:ascii="Times New Roman" w:hAnsi="Times New Roman" w:cs="Times New Roman"/>
              </w:rPr>
              <w:t xml:space="preserve"> </w:t>
            </w:r>
          </w:p>
          <w:p w14:paraId="1A795C43"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.014</w:t>
            </w:r>
            <w:r>
              <w:rPr>
                <w:rFonts w:ascii="Times New Roman" w:hAnsi="Times New Roman" w:cs="Times New Roman"/>
              </w:rPr>
              <w:t>6)</w:t>
            </w:r>
          </w:p>
        </w:tc>
        <w:tc>
          <w:tcPr>
            <w:tcW w:w="1440" w:type="dxa"/>
            <w:tcBorders>
              <w:top w:val="single" w:sz="4" w:space="0" w:color="auto"/>
            </w:tcBorders>
          </w:tcPr>
          <w:p w14:paraId="3CD546D0" w14:textId="77777777" w:rsidR="00A34FF0" w:rsidRDefault="00A34FF0" w:rsidP="00D91B35">
            <w:pPr>
              <w:rPr>
                <w:rFonts w:ascii="Times New Roman" w:hAnsi="Times New Roman" w:cs="Times New Roman"/>
              </w:rPr>
            </w:pPr>
            <w:r w:rsidRPr="006B1710">
              <w:rPr>
                <w:rFonts w:ascii="Times New Roman" w:hAnsi="Times New Roman" w:cs="Times New Roman"/>
              </w:rPr>
              <w:t xml:space="preserve">.0778  </w:t>
            </w:r>
          </w:p>
          <w:p w14:paraId="5D0A768C"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.042</w:t>
            </w:r>
            <w:r>
              <w:rPr>
                <w:rFonts w:ascii="Times New Roman" w:hAnsi="Times New Roman" w:cs="Times New Roman"/>
              </w:rPr>
              <w:t>5)</w:t>
            </w:r>
          </w:p>
        </w:tc>
        <w:tc>
          <w:tcPr>
            <w:tcW w:w="1530" w:type="dxa"/>
            <w:tcBorders>
              <w:top w:val="single" w:sz="4" w:space="0" w:color="auto"/>
            </w:tcBorders>
          </w:tcPr>
          <w:p w14:paraId="7572C2A8" w14:textId="77777777" w:rsidR="00A34FF0" w:rsidRDefault="00A34FF0" w:rsidP="00D91B35">
            <w:pPr>
              <w:rPr>
                <w:rFonts w:ascii="Times New Roman" w:hAnsi="Times New Roman" w:cs="Times New Roman"/>
              </w:rPr>
            </w:pPr>
            <w:r w:rsidRPr="006B1710">
              <w:rPr>
                <w:rFonts w:ascii="Times New Roman" w:hAnsi="Times New Roman" w:cs="Times New Roman"/>
              </w:rPr>
              <w:t>.2013</w:t>
            </w:r>
            <w:r>
              <w:rPr>
                <w:rFonts w:ascii="Times New Roman" w:hAnsi="Times New Roman" w:cs="Times New Roman"/>
              </w:rPr>
              <w:t>***</w:t>
            </w:r>
            <w:r w:rsidRPr="006B1710">
              <w:rPr>
                <w:rFonts w:ascii="Times New Roman" w:hAnsi="Times New Roman" w:cs="Times New Roman"/>
              </w:rPr>
              <w:t xml:space="preserve">   </w:t>
            </w:r>
          </w:p>
          <w:p w14:paraId="4EA29327"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.057</w:t>
            </w:r>
            <w:r>
              <w:rPr>
                <w:rFonts w:ascii="Times New Roman" w:hAnsi="Times New Roman" w:cs="Times New Roman"/>
              </w:rPr>
              <w:t>6)</w:t>
            </w:r>
          </w:p>
        </w:tc>
        <w:tc>
          <w:tcPr>
            <w:tcW w:w="1530" w:type="dxa"/>
            <w:tcBorders>
              <w:top w:val="single" w:sz="4" w:space="0" w:color="auto"/>
            </w:tcBorders>
          </w:tcPr>
          <w:p w14:paraId="4DF41D34" w14:textId="77777777" w:rsidR="00A34FF0" w:rsidRDefault="00A34FF0" w:rsidP="00D91B35">
            <w:pPr>
              <w:rPr>
                <w:rFonts w:ascii="Times New Roman" w:hAnsi="Times New Roman" w:cs="Times New Roman"/>
              </w:rPr>
            </w:pPr>
            <w:r w:rsidRPr="006B1710">
              <w:rPr>
                <w:rFonts w:ascii="Times New Roman" w:hAnsi="Times New Roman" w:cs="Times New Roman"/>
              </w:rPr>
              <w:t>.081</w:t>
            </w:r>
            <w:r>
              <w:rPr>
                <w:rFonts w:ascii="Times New Roman" w:hAnsi="Times New Roman" w:cs="Times New Roman"/>
              </w:rPr>
              <w:t>3**</w:t>
            </w:r>
            <w:r w:rsidRPr="006B1710">
              <w:rPr>
                <w:rFonts w:ascii="Times New Roman" w:hAnsi="Times New Roman" w:cs="Times New Roman"/>
              </w:rPr>
              <w:t xml:space="preserve">   </w:t>
            </w:r>
          </w:p>
          <w:p w14:paraId="29112C28"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.0305</w:t>
            </w:r>
            <w:r>
              <w:rPr>
                <w:rFonts w:ascii="Times New Roman" w:hAnsi="Times New Roman" w:cs="Times New Roman"/>
              </w:rPr>
              <w:t>)</w:t>
            </w:r>
          </w:p>
        </w:tc>
      </w:tr>
      <w:tr w:rsidR="00A34FF0" w14:paraId="084FC0C2" w14:textId="77777777" w:rsidTr="00D91B35">
        <w:trPr>
          <w:trHeight w:val="711"/>
        </w:trPr>
        <w:tc>
          <w:tcPr>
            <w:tcW w:w="990" w:type="dxa"/>
          </w:tcPr>
          <w:p w14:paraId="7CD2D3FE" w14:textId="77777777" w:rsidR="00A34FF0" w:rsidRDefault="00A34FF0" w:rsidP="00D91B35">
            <w:pPr>
              <w:rPr>
                <w:rFonts w:ascii="Times New Roman" w:hAnsi="Times New Roman" w:cs="Times New Roman"/>
              </w:rPr>
            </w:pPr>
            <w:r>
              <w:rPr>
                <w:rFonts w:ascii="Times New Roman" w:hAnsi="Times New Roman" w:cs="Times New Roman"/>
              </w:rPr>
              <w:t>Post-1</w:t>
            </w:r>
          </w:p>
        </w:tc>
        <w:tc>
          <w:tcPr>
            <w:tcW w:w="1530" w:type="dxa"/>
          </w:tcPr>
          <w:p w14:paraId="3F1BA3FF" w14:textId="77777777" w:rsidR="00A34FF0" w:rsidRDefault="00A34FF0" w:rsidP="00D91B35">
            <w:pPr>
              <w:rPr>
                <w:rFonts w:ascii="Times New Roman" w:hAnsi="Times New Roman" w:cs="Times New Roman"/>
              </w:rPr>
            </w:pPr>
            <w:r w:rsidRPr="00EB5454">
              <w:rPr>
                <w:rFonts w:ascii="Times New Roman" w:hAnsi="Times New Roman" w:cs="Times New Roman"/>
              </w:rPr>
              <w:t xml:space="preserve">.0231   </w:t>
            </w:r>
          </w:p>
          <w:p w14:paraId="226F36B2"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.018</w:t>
            </w:r>
            <w:r>
              <w:rPr>
                <w:rFonts w:ascii="Times New Roman" w:hAnsi="Times New Roman" w:cs="Times New Roman"/>
              </w:rPr>
              <w:t>1)</w:t>
            </w:r>
          </w:p>
        </w:tc>
        <w:tc>
          <w:tcPr>
            <w:tcW w:w="1620" w:type="dxa"/>
          </w:tcPr>
          <w:p w14:paraId="1F9201F7" w14:textId="77777777" w:rsidR="00A34FF0" w:rsidRDefault="00A34FF0" w:rsidP="00D91B35">
            <w:pPr>
              <w:rPr>
                <w:rFonts w:ascii="Times New Roman" w:hAnsi="Times New Roman" w:cs="Times New Roman"/>
              </w:rPr>
            </w:pPr>
            <w:r w:rsidRPr="006B1710">
              <w:rPr>
                <w:rFonts w:ascii="Times New Roman" w:hAnsi="Times New Roman" w:cs="Times New Roman"/>
              </w:rPr>
              <w:t>-.009</w:t>
            </w:r>
            <w:r>
              <w:rPr>
                <w:rFonts w:ascii="Times New Roman" w:hAnsi="Times New Roman" w:cs="Times New Roman"/>
              </w:rPr>
              <w:t>8</w:t>
            </w:r>
            <w:r w:rsidRPr="006B1710">
              <w:rPr>
                <w:rFonts w:ascii="Times New Roman" w:hAnsi="Times New Roman" w:cs="Times New Roman"/>
              </w:rPr>
              <w:t xml:space="preserve">   </w:t>
            </w:r>
          </w:p>
          <w:p w14:paraId="3F621628"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.0168</w:t>
            </w:r>
            <w:r>
              <w:rPr>
                <w:rFonts w:ascii="Times New Roman" w:hAnsi="Times New Roman" w:cs="Times New Roman"/>
              </w:rPr>
              <w:t>)</w:t>
            </w:r>
          </w:p>
        </w:tc>
        <w:tc>
          <w:tcPr>
            <w:tcW w:w="1440" w:type="dxa"/>
          </w:tcPr>
          <w:p w14:paraId="30F8C391" w14:textId="77777777" w:rsidR="00A34FF0" w:rsidRDefault="00A34FF0" w:rsidP="00D91B35">
            <w:pPr>
              <w:rPr>
                <w:rFonts w:ascii="Times New Roman" w:hAnsi="Times New Roman" w:cs="Times New Roman"/>
              </w:rPr>
            </w:pPr>
            <w:r w:rsidRPr="006B1710">
              <w:rPr>
                <w:rFonts w:ascii="Times New Roman" w:hAnsi="Times New Roman" w:cs="Times New Roman"/>
              </w:rPr>
              <w:t xml:space="preserve">.0800   </w:t>
            </w:r>
          </w:p>
          <w:p w14:paraId="52734CA5"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.0480</w:t>
            </w:r>
            <w:r>
              <w:rPr>
                <w:rFonts w:ascii="Times New Roman" w:hAnsi="Times New Roman" w:cs="Times New Roman"/>
              </w:rPr>
              <w:t>)</w:t>
            </w:r>
          </w:p>
        </w:tc>
        <w:tc>
          <w:tcPr>
            <w:tcW w:w="1530" w:type="dxa"/>
          </w:tcPr>
          <w:p w14:paraId="2C502DE9" w14:textId="77777777" w:rsidR="00A34FF0" w:rsidRDefault="00A34FF0" w:rsidP="00D91B35">
            <w:pPr>
              <w:rPr>
                <w:rFonts w:ascii="Times New Roman" w:hAnsi="Times New Roman" w:cs="Times New Roman"/>
              </w:rPr>
            </w:pPr>
            <w:r w:rsidRPr="006B1710">
              <w:rPr>
                <w:rFonts w:ascii="Times New Roman" w:hAnsi="Times New Roman" w:cs="Times New Roman"/>
              </w:rPr>
              <w:t>.12</w:t>
            </w:r>
            <w:r>
              <w:rPr>
                <w:rFonts w:ascii="Times New Roman" w:hAnsi="Times New Roman" w:cs="Times New Roman"/>
              </w:rPr>
              <w:t>80*</w:t>
            </w:r>
            <w:r w:rsidRPr="006B1710">
              <w:rPr>
                <w:rFonts w:ascii="Times New Roman" w:hAnsi="Times New Roman" w:cs="Times New Roman"/>
              </w:rPr>
              <w:t xml:space="preserve">   </w:t>
            </w:r>
          </w:p>
          <w:p w14:paraId="1AFE0090"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.0631</w:t>
            </w:r>
            <w:r>
              <w:rPr>
                <w:rFonts w:ascii="Times New Roman" w:hAnsi="Times New Roman" w:cs="Times New Roman"/>
              </w:rPr>
              <w:t>)</w:t>
            </w:r>
          </w:p>
        </w:tc>
        <w:tc>
          <w:tcPr>
            <w:tcW w:w="1530" w:type="dxa"/>
          </w:tcPr>
          <w:p w14:paraId="1D6861A4" w14:textId="77777777" w:rsidR="00A34FF0" w:rsidRDefault="00A34FF0" w:rsidP="00D91B35">
            <w:pPr>
              <w:rPr>
                <w:rFonts w:ascii="Times New Roman" w:hAnsi="Times New Roman" w:cs="Times New Roman"/>
              </w:rPr>
            </w:pPr>
            <w:r w:rsidRPr="006B1710">
              <w:rPr>
                <w:rFonts w:ascii="Times New Roman" w:hAnsi="Times New Roman" w:cs="Times New Roman"/>
              </w:rPr>
              <w:t>.0830</w:t>
            </w:r>
            <w:r>
              <w:rPr>
                <w:rFonts w:ascii="Times New Roman" w:hAnsi="Times New Roman" w:cs="Times New Roman"/>
              </w:rPr>
              <w:t>*</w:t>
            </w:r>
            <w:r w:rsidRPr="006B1710">
              <w:rPr>
                <w:rFonts w:ascii="Times New Roman" w:hAnsi="Times New Roman" w:cs="Times New Roman"/>
              </w:rPr>
              <w:t xml:space="preserve">   </w:t>
            </w:r>
          </w:p>
          <w:p w14:paraId="48769570"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.0323</w:t>
            </w:r>
            <w:r>
              <w:rPr>
                <w:rFonts w:ascii="Times New Roman" w:hAnsi="Times New Roman" w:cs="Times New Roman"/>
              </w:rPr>
              <w:t>)</w:t>
            </w:r>
          </w:p>
        </w:tc>
      </w:tr>
      <w:tr w:rsidR="00A34FF0" w14:paraId="3D9F5867" w14:textId="77777777" w:rsidTr="00D91B35">
        <w:trPr>
          <w:trHeight w:val="720"/>
        </w:trPr>
        <w:tc>
          <w:tcPr>
            <w:tcW w:w="990" w:type="dxa"/>
          </w:tcPr>
          <w:p w14:paraId="76A2887F" w14:textId="77777777" w:rsidR="00A34FF0" w:rsidRDefault="00A34FF0" w:rsidP="00D91B35">
            <w:pPr>
              <w:rPr>
                <w:rFonts w:ascii="Times New Roman" w:hAnsi="Times New Roman" w:cs="Times New Roman"/>
              </w:rPr>
            </w:pPr>
            <w:r>
              <w:rPr>
                <w:rFonts w:ascii="Times New Roman" w:hAnsi="Times New Roman" w:cs="Times New Roman"/>
              </w:rPr>
              <w:t>Post-2</w:t>
            </w:r>
          </w:p>
        </w:tc>
        <w:tc>
          <w:tcPr>
            <w:tcW w:w="1530" w:type="dxa"/>
          </w:tcPr>
          <w:p w14:paraId="545B6EEA" w14:textId="77777777" w:rsidR="00A34FF0" w:rsidRDefault="00A34FF0" w:rsidP="00D91B35">
            <w:pPr>
              <w:rPr>
                <w:rFonts w:ascii="Times New Roman" w:hAnsi="Times New Roman" w:cs="Times New Roman"/>
              </w:rPr>
            </w:pPr>
            <w:r w:rsidRPr="006B1710">
              <w:rPr>
                <w:rFonts w:ascii="Times New Roman" w:hAnsi="Times New Roman" w:cs="Times New Roman"/>
              </w:rPr>
              <w:t>.0423</w:t>
            </w:r>
            <w:r>
              <w:rPr>
                <w:rFonts w:ascii="Times New Roman" w:hAnsi="Times New Roman" w:cs="Times New Roman"/>
              </w:rPr>
              <w:t>*</w:t>
            </w:r>
            <w:r w:rsidRPr="006B1710">
              <w:rPr>
                <w:rFonts w:ascii="Times New Roman" w:hAnsi="Times New Roman" w:cs="Times New Roman"/>
              </w:rPr>
              <w:t xml:space="preserve">   </w:t>
            </w:r>
          </w:p>
          <w:p w14:paraId="52BAEDBC"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.021</w:t>
            </w:r>
            <w:r>
              <w:rPr>
                <w:rFonts w:ascii="Times New Roman" w:hAnsi="Times New Roman" w:cs="Times New Roman"/>
              </w:rPr>
              <w:t>2)</w:t>
            </w:r>
          </w:p>
        </w:tc>
        <w:tc>
          <w:tcPr>
            <w:tcW w:w="1620" w:type="dxa"/>
          </w:tcPr>
          <w:p w14:paraId="683F2042" w14:textId="77777777" w:rsidR="00A34FF0" w:rsidRDefault="00A34FF0" w:rsidP="00D91B35">
            <w:pPr>
              <w:rPr>
                <w:rFonts w:ascii="Times New Roman" w:hAnsi="Times New Roman" w:cs="Times New Roman"/>
              </w:rPr>
            </w:pPr>
            <w:r w:rsidRPr="006B1710">
              <w:rPr>
                <w:rFonts w:ascii="Times New Roman" w:hAnsi="Times New Roman" w:cs="Times New Roman"/>
              </w:rPr>
              <w:t>.0</w:t>
            </w:r>
            <w:r>
              <w:rPr>
                <w:rFonts w:ascii="Times New Roman" w:hAnsi="Times New Roman" w:cs="Times New Roman"/>
              </w:rPr>
              <w:t>100</w:t>
            </w:r>
            <w:r w:rsidRPr="006B1710">
              <w:rPr>
                <w:rFonts w:ascii="Times New Roman" w:hAnsi="Times New Roman" w:cs="Times New Roman"/>
              </w:rPr>
              <w:t xml:space="preserve">   </w:t>
            </w:r>
          </w:p>
          <w:p w14:paraId="58C57172"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.019</w:t>
            </w:r>
            <w:r>
              <w:rPr>
                <w:rFonts w:ascii="Times New Roman" w:hAnsi="Times New Roman" w:cs="Times New Roman"/>
              </w:rPr>
              <w:t>7)</w:t>
            </w:r>
          </w:p>
        </w:tc>
        <w:tc>
          <w:tcPr>
            <w:tcW w:w="1440" w:type="dxa"/>
          </w:tcPr>
          <w:p w14:paraId="299E0AB7" w14:textId="77777777" w:rsidR="00A34FF0" w:rsidRDefault="00A34FF0" w:rsidP="00D91B35">
            <w:pPr>
              <w:rPr>
                <w:rFonts w:ascii="Times New Roman" w:hAnsi="Times New Roman" w:cs="Times New Roman"/>
              </w:rPr>
            </w:pPr>
            <w:r w:rsidRPr="006B1710">
              <w:rPr>
                <w:rFonts w:ascii="Times New Roman" w:hAnsi="Times New Roman" w:cs="Times New Roman"/>
              </w:rPr>
              <w:t>.211</w:t>
            </w:r>
            <w:r>
              <w:rPr>
                <w:rFonts w:ascii="Times New Roman" w:hAnsi="Times New Roman" w:cs="Times New Roman"/>
              </w:rPr>
              <w:t>3**</w:t>
            </w:r>
            <w:r w:rsidRPr="006B1710">
              <w:rPr>
                <w:rFonts w:ascii="Times New Roman" w:hAnsi="Times New Roman" w:cs="Times New Roman"/>
              </w:rPr>
              <w:t xml:space="preserve">   </w:t>
            </w:r>
          </w:p>
          <w:p w14:paraId="2F0DE254"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.0620</w:t>
            </w:r>
            <w:r>
              <w:rPr>
                <w:rFonts w:ascii="Times New Roman" w:hAnsi="Times New Roman" w:cs="Times New Roman"/>
              </w:rPr>
              <w:t>)</w:t>
            </w:r>
          </w:p>
        </w:tc>
        <w:tc>
          <w:tcPr>
            <w:tcW w:w="1530" w:type="dxa"/>
          </w:tcPr>
          <w:p w14:paraId="42B06DCF" w14:textId="77777777" w:rsidR="00A34FF0" w:rsidRDefault="00A34FF0" w:rsidP="00D91B35">
            <w:pPr>
              <w:rPr>
                <w:rFonts w:ascii="Times New Roman" w:hAnsi="Times New Roman" w:cs="Times New Roman"/>
              </w:rPr>
            </w:pPr>
            <w:r w:rsidRPr="006B1710">
              <w:rPr>
                <w:rFonts w:ascii="Times New Roman" w:hAnsi="Times New Roman" w:cs="Times New Roman"/>
              </w:rPr>
              <w:t>.083</w:t>
            </w:r>
            <w:r>
              <w:rPr>
                <w:rFonts w:ascii="Times New Roman" w:hAnsi="Times New Roman" w:cs="Times New Roman"/>
              </w:rPr>
              <w:t>4</w:t>
            </w:r>
            <w:r w:rsidRPr="006B1710">
              <w:rPr>
                <w:rFonts w:ascii="Times New Roman" w:hAnsi="Times New Roman" w:cs="Times New Roman"/>
              </w:rPr>
              <w:t xml:space="preserve">  </w:t>
            </w:r>
          </w:p>
          <w:p w14:paraId="05716802"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.074</w:t>
            </w:r>
            <w:r>
              <w:rPr>
                <w:rFonts w:ascii="Times New Roman" w:hAnsi="Times New Roman" w:cs="Times New Roman"/>
              </w:rPr>
              <w:t>2)</w:t>
            </w:r>
          </w:p>
        </w:tc>
        <w:tc>
          <w:tcPr>
            <w:tcW w:w="1530" w:type="dxa"/>
          </w:tcPr>
          <w:p w14:paraId="6AAFC4FA" w14:textId="77777777" w:rsidR="00A34FF0" w:rsidRDefault="00A34FF0" w:rsidP="00D91B35">
            <w:pPr>
              <w:rPr>
                <w:rFonts w:ascii="Times New Roman" w:hAnsi="Times New Roman" w:cs="Times New Roman"/>
              </w:rPr>
            </w:pPr>
            <w:r w:rsidRPr="006B1710">
              <w:rPr>
                <w:rFonts w:ascii="Times New Roman" w:hAnsi="Times New Roman" w:cs="Times New Roman"/>
              </w:rPr>
              <w:t>.110</w:t>
            </w:r>
            <w:r>
              <w:rPr>
                <w:rFonts w:ascii="Times New Roman" w:hAnsi="Times New Roman" w:cs="Times New Roman"/>
              </w:rPr>
              <w:t>6**</w:t>
            </w:r>
            <w:r w:rsidRPr="006B1710">
              <w:rPr>
                <w:rFonts w:ascii="Times New Roman" w:hAnsi="Times New Roman" w:cs="Times New Roman"/>
              </w:rPr>
              <w:t xml:space="preserve">   </w:t>
            </w:r>
          </w:p>
          <w:p w14:paraId="7424AA1F"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.038</w:t>
            </w:r>
            <w:r>
              <w:rPr>
                <w:rFonts w:ascii="Times New Roman" w:hAnsi="Times New Roman" w:cs="Times New Roman"/>
              </w:rPr>
              <w:t>5)</w:t>
            </w:r>
          </w:p>
        </w:tc>
      </w:tr>
      <w:tr w:rsidR="00A34FF0" w14:paraId="70FE8564" w14:textId="77777777" w:rsidTr="00D91B35">
        <w:trPr>
          <w:trHeight w:val="711"/>
        </w:trPr>
        <w:tc>
          <w:tcPr>
            <w:tcW w:w="990" w:type="dxa"/>
          </w:tcPr>
          <w:p w14:paraId="250F4C0C" w14:textId="77777777" w:rsidR="00A34FF0" w:rsidRDefault="00A34FF0" w:rsidP="00D91B35">
            <w:pPr>
              <w:rPr>
                <w:rFonts w:ascii="Times New Roman" w:hAnsi="Times New Roman" w:cs="Times New Roman"/>
              </w:rPr>
            </w:pPr>
            <w:r>
              <w:rPr>
                <w:rFonts w:ascii="Times New Roman" w:hAnsi="Times New Roman" w:cs="Times New Roman"/>
              </w:rPr>
              <w:t>Post-3</w:t>
            </w:r>
          </w:p>
        </w:tc>
        <w:tc>
          <w:tcPr>
            <w:tcW w:w="1530" w:type="dxa"/>
          </w:tcPr>
          <w:p w14:paraId="56E54006" w14:textId="77777777" w:rsidR="00A34FF0" w:rsidRDefault="00A34FF0" w:rsidP="00D91B35">
            <w:pPr>
              <w:rPr>
                <w:rFonts w:ascii="Times New Roman" w:hAnsi="Times New Roman" w:cs="Times New Roman"/>
              </w:rPr>
            </w:pPr>
            <w:r w:rsidRPr="006B1710">
              <w:rPr>
                <w:rFonts w:ascii="Times New Roman" w:hAnsi="Times New Roman" w:cs="Times New Roman"/>
              </w:rPr>
              <w:t>.05</w:t>
            </w:r>
            <w:r>
              <w:rPr>
                <w:rFonts w:ascii="Times New Roman" w:hAnsi="Times New Roman" w:cs="Times New Roman"/>
              </w:rPr>
              <w:t>40*</w:t>
            </w:r>
            <w:r w:rsidRPr="006B1710">
              <w:rPr>
                <w:rFonts w:ascii="Times New Roman" w:hAnsi="Times New Roman" w:cs="Times New Roman"/>
              </w:rPr>
              <w:t xml:space="preserve">   </w:t>
            </w:r>
          </w:p>
          <w:p w14:paraId="33D613F3"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.022</w:t>
            </w:r>
            <w:r>
              <w:rPr>
                <w:rFonts w:ascii="Times New Roman" w:hAnsi="Times New Roman" w:cs="Times New Roman"/>
              </w:rPr>
              <w:t>7)</w:t>
            </w:r>
          </w:p>
        </w:tc>
        <w:tc>
          <w:tcPr>
            <w:tcW w:w="1620" w:type="dxa"/>
          </w:tcPr>
          <w:p w14:paraId="36C82F17" w14:textId="77777777" w:rsidR="00A34FF0" w:rsidRDefault="00A34FF0" w:rsidP="00D91B35">
            <w:pPr>
              <w:rPr>
                <w:rFonts w:ascii="Times New Roman" w:hAnsi="Times New Roman" w:cs="Times New Roman"/>
              </w:rPr>
            </w:pPr>
            <w:r w:rsidRPr="006B1710">
              <w:rPr>
                <w:rFonts w:ascii="Times New Roman" w:hAnsi="Times New Roman" w:cs="Times New Roman"/>
              </w:rPr>
              <w:t xml:space="preserve">.0257   </w:t>
            </w:r>
          </w:p>
          <w:p w14:paraId="38C348B7"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.021</w:t>
            </w:r>
            <w:r>
              <w:rPr>
                <w:rFonts w:ascii="Times New Roman" w:hAnsi="Times New Roman" w:cs="Times New Roman"/>
              </w:rPr>
              <w:t>5)</w:t>
            </w:r>
          </w:p>
        </w:tc>
        <w:tc>
          <w:tcPr>
            <w:tcW w:w="1440" w:type="dxa"/>
          </w:tcPr>
          <w:p w14:paraId="36C979A2" w14:textId="77777777" w:rsidR="00A34FF0" w:rsidRDefault="00A34FF0" w:rsidP="00D91B35">
            <w:pPr>
              <w:rPr>
                <w:rFonts w:ascii="Times New Roman" w:hAnsi="Times New Roman" w:cs="Times New Roman"/>
              </w:rPr>
            </w:pPr>
            <w:r w:rsidRPr="006B1710">
              <w:rPr>
                <w:rFonts w:ascii="Times New Roman" w:hAnsi="Times New Roman" w:cs="Times New Roman"/>
              </w:rPr>
              <w:t>.101</w:t>
            </w:r>
            <w:r>
              <w:rPr>
                <w:rFonts w:ascii="Times New Roman" w:hAnsi="Times New Roman" w:cs="Times New Roman"/>
              </w:rPr>
              <w:t>1</w:t>
            </w:r>
            <w:r w:rsidRPr="006B1710">
              <w:rPr>
                <w:rFonts w:ascii="Times New Roman" w:hAnsi="Times New Roman" w:cs="Times New Roman"/>
              </w:rPr>
              <w:t xml:space="preserve">   </w:t>
            </w:r>
          </w:p>
          <w:p w14:paraId="6A4C1DEE"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.072</w:t>
            </w:r>
            <w:r>
              <w:rPr>
                <w:rFonts w:ascii="Times New Roman" w:hAnsi="Times New Roman" w:cs="Times New Roman"/>
              </w:rPr>
              <w:t>3)</w:t>
            </w:r>
          </w:p>
        </w:tc>
        <w:tc>
          <w:tcPr>
            <w:tcW w:w="1530" w:type="dxa"/>
          </w:tcPr>
          <w:p w14:paraId="05252AC0" w14:textId="77777777" w:rsidR="00A34FF0" w:rsidRDefault="00A34FF0" w:rsidP="00D91B35">
            <w:pPr>
              <w:rPr>
                <w:rFonts w:ascii="Times New Roman" w:hAnsi="Times New Roman" w:cs="Times New Roman"/>
              </w:rPr>
            </w:pPr>
            <w:r w:rsidRPr="006B1710">
              <w:rPr>
                <w:rFonts w:ascii="Times New Roman" w:hAnsi="Times New Roman" w:cs="Times New Roman"/>
              </w:rPr>
              <w:t>.049</w:t>
            </w:r>
            <w:r>
              <w:rPr>
                <w:rFonts w:ascii="Times New Roman" w:hAnsi="Times New Roman" w:cs="Times New Roman"/>
              </w:rPr>
              <w:t>8</w:t>
            </w:r>
            <w:r w:rsidRPr="006B1710">
              <w:rPr>
                <w:rFonts w:ascii="Times New Roman" w:hAnsi="Times New Roman" w:cs="Times New Roman"/>
              </w:rPr>
              <w:t xml:space="preserve">   </w:t>
            </w:r>
          </w:p>
          <w:p w14:paraId="7DE5C1D1"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.081</w:t>
            </w:r>
            <w:r>
              <w:rPr>
                <w:rFonts w:ascii="Times New Roman" w:hAnsi="Times New Roman" w:cs="Times New Roman"/>
              </w:rPr>
              <w:t>9)</w:t>
            </w:r>
          </w:p>
        </w:tc>
        <w:tc>
          <w:tcPr>
            <w:tcW w:w="1530" w:type="dxa"/>
          </w:tcPr>
          <w:p w14:paraId="7249665C" w14:textId="77777777" w:rsidR="00A34FF0" w:rsidRDefault="00A34FF0" w:rsidP="00D91B35">
            <w:pPr>
              <w:rPr>
                <w:rFonts w:ascii="Times New Roman" w:hAnsi="Times New Roman" w:cs="Times New Roman"/>
              </w:rPr>
            </w:pPr>
            <w:r w:rsidRPr="006B1710">
              <w:rPr>
                <w:rFonts w:ascii="Times New Roman" w:hAnsi="Times New Roman" w:cs="Times New Roman"/>
              </w:rPr>
              <w:t>.10</w:t>
            </w:r>
            <w:r>
              <w:rPr>
                <w:rFonts w:ascii="Times New Roman" w:hAnsi="Times New Roman" w:cs="Times New Roman"/>
              </w:rPr>
              <w:t>20*</w:t>
            </w:r>
            <w:r w:rsidRPr="006B1710">
              <w:rPr>
                <w:rFonts w:ascii="Times New Roman" w:hAnsi="Times New Roman" w:cs="Times New Roman"/>
              </w:rPr>
              <w:t xml:space="preserve">    </w:t>
            </w:r>
          </w:p>
          <w:p w14:paraId="04E8C5F2"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.041</w:t>
            </w:r>
            <w:r>
              <w:rPr>
                <w:rFonts w:ascii="Times New Roman" w:hAnsi="Times New Roman" w:cs="Times New Roman"/>
              </w:rPr>
              <w:t>6)</w:t>
            </w:r>
          </w:p>
        </w:tc>
      </w:tr>
      <w:tr w:rsidR="00A34FF0" w14:paraId="15319E7D" w14:textId="77777777" w:rsidTr="00D91B35">
        <w:tc>
          <w:tcPr>
            <w:tcW w:w="990" w:type="dxa"/>
            <w:tcBorders>
              <w:bottom w:val="single" w:sz="4" w:space="0" w:color="auto"/>
            </w:tcBorders>
          </w:tcPr>
          <w:p w14:paraId="6F503B2C" w14:textId="77777777" w:rsidR="00A34FF0" w:rsidRDefault="00A34FF0" w:rsidP="00D91B35">
            <w:pPr>
              <w:rPr>
                <w:rFonts w:ascii="Times New Roman" w:hAnsi="Times New Roman" w:cs="Times New Roman"/>
              </w:rPr>
            </w:pPr>
            <w:r>
              <w:rPr>
                <w:rFonts w:ascii="Times New Roman" w:hAnsi="Times New Roman" w:cs="Times New Roman"/>
              </w:rPr>
              <w:t>Post-4</w:t>
            </w:r>
          </w:p>
        </w:tc>
        <w:tc>
          <w:tcPr>
            <w:tcW w:w="1530" w:type="dxa"/>
            <w:tcBorders>
              <w:bottom w:val="single" w:sz="4" w:space="0" w:color="auto"/>
            </w:tcBorders>
          </w:tcPr>
          <w:p w14:paraId="73FAEBE9" w14:textId="77777777" w:rsidR="00A34FF0" w:rsidRDefault="00A34FF0" w:rsidP="00D91B35">
            <w:pPr>
              <w:rPr>
                <w:rFonts w:ascii="Times New Roman" w:hAnsi="Times New Roman" w:cs="Times New Roman"/>
              </w:rPr>
            </w:pPr>
            <w:r w:rsidRPr="006B1710">
              <w:rPr>
                <w:rFonts w:ascii="Times New Roman" w:hAnsi="Times New Roman" w:cs="Times New Roman"/>
              </w:rPr>
              <w:t>.086</w:t>
            </w:r>
            <w:r>
              <w:rPr>
                <w:rFonts w:ascii="Times New Roman" w:hAnsi="Times New Roman" w:cs="Times New Roman"/>
              </w:rPr>
              <w:t>2**</w:t>
            </w:r>
            <w:r w:rsidRPr="006B1710">
              <w:rPr>
                <w:rFonts w:ascii="Times New Roman" w:hAnsi="Times New Roman" w:cs="Times New Roman"/>
              </w:rPr>
              <w:t xml:space="preserve">   </w:t>
            </w:r>
          </w:p>
          <w:p w14:paraId="7C393D41"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w:t>
            </w:r>
            <w:r>
              <w:rPr>
                <w:rFonts w:ascii="Times New Roman" w:hAnsi="Times New Roman" w:cs="Times New Roman"/>
              </w:rPr>
              <w:t>50)</w:t>
            </w:r>
          </w:p>
        </w:tc>
        <w:tc>
          <w:tcPr>
            <w:tcW w:w="1620" w:type="dxa"/>
            <w:tcBorders>
              <w:bottom w:val="single" w:sz="4" w:space="0" w:color="auto"/>
            </w:tcBorders>
          </w:tcPr>
          <w:p w14:paraId="3AEFF14E" w14:textId="77777777" w:rsidR="00A34FF0" w:rsidRDefault="00A34FF0" w:rsidP="00D91B35">
            <w:pPr>
              <w:rPr>
                <w:rFonts w:ascii="Times New Roman" w:hAnsi="Times New Roman" w:cs="Times New Roman"/>
              </w:rPr>
            </w:pPr>
            <w:r w:rsidRPr="006B1710">
              <w:rPr>
                <w:rFonts w:ascii="Times New Roman" w:hAnsi="Times New Roman" w:cs="Times New Roman"/>
              </w:rPr>
              <w:t>.072</w:t>
            </w:r>
            <w:r>
              <w:rPr>
                <w:rFonts w:ascii="Times New Roman" w:hAnsi="Times New Roman" w:cs="Times New Roman"/>
              </w:rPr>
              <w:t>4*</w:t>
            </w:r>
            <w:r w:rsidRPr="006B1710">
              <w:rPr>
                <w:rFonts w:ascii="Times New Roman" w:hAnsi="Times New Roman" w:cs="Times New Roman"/>
              </w:rPr>
              <w:t xml:space="preserve">   </w:t>
            </w:r>
          </w:p>
          <w:p w14:paraId="22091F92"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.022</w:t>
            </w:r>
            <w:r>
              <w:rPr>
                <w:rFonts w:ascii="Times New Roman" w:hAnsi="Times New Roman" w:cs="Times New Roman"/>
              </w:rPr>
              <w:t>8)</w:t>
            </w:r>
          </w:p>
        </w:tc>
        <w:tc>
          <w:tcPr>
            <w:tcW w:w="1440" w:type="dxa"/>
            <w:tcBorders>
              <w:bottom w:val="single" w:sz="4" w:space="0" w:color="auto"/>
            </w:tcBorders>
          </w:tcPr>
          <w:p w14:paraId="530CDC89" w14:textId="77777777" w:rsidR="00A34FF0" w:rsidRDefault="00A34FF0" w:rsidP="00D91B35">
            <w:pPr>
              <w:rPr>
                <w:rFonts w:ascii="Times New Roman" w:hAnsi="Times New Roman" w:cs="Times New Roman"/>
              </w:rPr>
            </w:pPr>
            <w:r w:rsidRPr="006B1710">
              <w:rPr>
                <w:rFonts w:ascii="Times New Roman" w:hAnsi="Times New Roman" w:cs="Times New Roman"/>
              </w:rPr>
              <w:t xml:space="preserve">.1070   </w:t>
            </w:r>
          </w:p>
          <w:p w14:paraId="2F754BF6"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.0756</w:t>
            </w:r>
            <w:r>
              <w:rPr>
                <w:rFonts w:ascii="Times New Roman" w:hAnsi="Times New Roman" w:cs="Times New Roman"/>
              </w:rPr>
              <w:t>)</w:t>
            </w:r>
          </w:p>
        </w:tc>
        <w:tc>
          <w:tcPr>
            <w:tcW w:w="1530" w:type="dxa"/>
            <w:tcBorders>
              <w:bottom w:val="single" w:sz="4" w:space="0" w:color="auto"/>
            </w:tcBorders>
          </w:tcPr>
          <w:p w14:paraId="41EFEE30" w14:textId="77777777" w:rsidR="00A34FF0" w:rsidRDefault="00A34FF0" w:rsidP="00D91B35">
            <w:pPr>
              <w:rPr>
                <w:rFonts w:ascii="Times New Roman" w:hAnsi="Times New Roman" w:cs="Times New Roman"/>
              </w:rPr>
            </w:pPr>
            <w:r w:rsidRPr="006B1710">
              <w:rPr>
                <w:rFonts w:ascii="Times New Roman" w:hAnsi="Times New Roman" w:cs="Times New Roman"/>
              </w:rPr>
              <w:t>.0177</w:t>
            </w:r>
            <w:r>
              <w:rPr>
                <w:rFonts w:ascii="Times New Roman" w:hAnsi="Times New Roman" w:cs="Times New Roman"/>
              </w:rPr>
              <w:t>2</w:t>
            </w:r>
            <w:r w:rsidRPr="006B1710">
              <w:rPr>
                <w:rFonts w:ascii="Times New Roman" w:hAnsi="Times New Roman" w:cs="Times New Roman"/>
              </w:rPr>
              <w:t xml:space="preserve">   </w:t>
            </w:r>
          </w:p>
          <w:p w14:paraId="2C918EC4"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.0813</w:t>
            </w:r>
            <w:r>
              <w:rPr>
                <w:rFonts w:ascii="Times New Roman" w:hAnsi="Times New Roman" w:cs="Times New Roman"/>
              </w:rPr>
              <w:t>)</w:t>
            </w:r>
          </w:p>
        </w:tc>
        <w:tc>
          <w:tcPr>
            <w:tcW w:w="1530" w:type="dxa"/>
            <w:tcBorders>
              <w:bottom w:val="single" w:sz="4" w:space="0" w:color="auto"/>
            </w:tcBorders>
          </w:tcPr>
          <w:p w14:paraId="671EBB2F" w14:textId="77777777" w:rsidR="00A34FF0" w:rsidRDefault="00A34FF0" w:rsidP="00D91B35">
            <w:pPr>
              <w:rPr>
                <w:rFonts w:ascii="Times New Roman" w:hAnsi="Times New Roman" w:cs="Times New Roman"/>
              </w:rPr>
            </w:pPr>
            <w:r w:rsidRPr="006B1710">
              <w:rPr>
                <w:rFonts w:ascii="Times New Roman" w:hAnsi="Times New Roman" w:cs="Times New Roman"/>
              </w:rPr>
              <w:t>.09</w:t>
            </w:r>
            <w:r>
              <w:rPr>
                <w:rFonts w:ascii="Times New Roman" w:hAnsi="Times New Roman" w:cs="Times New Roman"/>
              </w:rPr>
              <w:t>40*</w:t>
            </w:r>
            <w:r w:rsidRPr="006B1710">
              <w:rPr>
                <w:rFonts w:ascii="Times New Roman" w:hAnsi="Times New Roman" w:cs="Times New Roman"/>
              </w:rPr>
              <w:t xml:space="preserve">   </w:t>
            </w:r>
          </w:p>
          <w:p w14:paraId="20FFECF1" w14:textId="77777777" w:rsidR="00A34FF0" w:rsidRDefault="00A34FF0" w:rsidP="00D91B35">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.041</w:t>
            </w:r>
            <w:r>
              <w:rPr>
                <w:rFonts w:ascii="Times New Roman" w:hAnsi="Times New Roman" w:cs="Times New Roman"/>
              </w:rPr>
              <w:t>4)</w:t>
            </w:r>
          </w:p>
        </w:tc>
      </w:tr>
    </w:tbl>
    <w:p w14:paraId="2B99D915" w14:textId="77777777" w:rsidR="00A34FF0" w:rsidRDefault="00A34FF0" w:rsidP="00A34FF0">
      <w:pPr>
        <w:spacing w:line="480" w:lineRule="auto"/>
        <w:rPr>
          <w:rFonts w:ascii="Times New Roman" w:hAnsi="Times New Roman" w:cs="Times New Roman"/>
        </w:rPr>
      </w:pPr>
      <w:r>
        <w:rPr>
          <w:rFonts w:ascii="Times New Roman" w:hAnsi="Times New Roman" w:cs="Times New Roman"/>
        </w:rPr>
        <w:t>* p&lt;0.05, **p&lt;0.01, ***p&lt;0.001</w:t>
      </w:r>
    </w:p>
    <w:p w14:paraId="0A70C5E4" w14:textId="77777777" w:rsidR="00A34FF0" w:rsidRDefault="00A34FF0" w:rsidP="00082B27">
      <w:pPr>
        <w:spacing w:line="480" w:lineRule="auto"/>
        <w:ind w:firstLine="720"/>
        <w:rPr>
          <w:rFonts w:ascii="Times New Roman" w:hAnsi="Times New Roman" w:cs="Times New Roman"/>
        </w:rPr>
      </w:pPr>
    </w:p>
    <w:p w14:paraId="39B1C973" w14:textId="77777777" w:rsidR="004F2800" w:rsidRDefault="004F2800" w:rsidP="00082B27">
      <w:pPr>
        <w:spacing w:line="480" w:lineRule="auto"/>
        <w:ind w:firstLine="720"/>
        <w:rPr>
          <w:rFonts w:ascii="Times New Roman" w:hAnsi="Times New Roman" w:cs="Times New Roman"/>
        </w:rPr>
      </w:pPr>
    </w:p>
    <w:p w14:paraId="1314F536" w14:textId="77777777" w:rsidR="004F2800" w:rsidRDefault="004F2800" w:rsidP="00082B27">
      <w:pPr>
        <w:spacing w:line="480" w:lineRule="auto"/>
        <w:ind w:firstLine="720"/>
        <w:rPr>
          <w:rFonts w:ascii="Times New Roman" w:hAnsi="Times New Roman" w:cs="Times New Roman"/>
        </w:rPr>
      </w:pPr>
    </w:p>
    <w:p w14:paraId="46F8D60D" w14:textId="77777777" w:rsidR="004F2800" w:rsidRDefault="004F2800" w:rsidP="00082B27">
      <w:pPr>
        <w:spacing w:line="480" w:lineRule="auto"/>
        <w:ind w:firstLine="720"/>
        <w:rPr>
          <w:rFonts w:ascii="Times New Roman" w:hAnsi="Times New Roman" w:cs="Times New Roman"/>
        </w:rPr>
      </w:pPr>
    </w:p>
    <w:p w14:paraId="3BFA5E8B" w14:textId="77777777" w:rsidR="004F2800" w:rsidRDefault="004F2800" w:rsidP="00082B27">
      <w:pPr>
        <w:spacing w:line="480" w:lineRule="auto"/>
        <w:ind w:firstLine="720"/>
        <w:rPr>
          <w:rFonts w:ascii="Times New Roman" w:hAnsi="Times New Roman" w:cs="Times New Roman"/>
        </w:rPr>
      </w:pPr>
    </w:p>
    <w:p w14:paraId="07FB4F38" w14:textId="77777777" w:rsidR="004F2800" w:rsidRDefault="004F2800" w:rsidP="00082B27">
      <w:pPr>
        <w:spacing w:line="480" w:lineRule="auto"/>
        <w:ind w:firstLine="720"/>
        <w:rPr>
          <w:rFonts w:ascii="Times New Roman" w:hAnsi="Times New Roman" w:cs="Times New Roman"/>
        </w:rPr>
      </w:pPr>
    </w:p>
    <w:p w14:paraId="1789DB62" w14:textId="2E7DB9F6" w:rsidR="004F2800" w:rsidRDefault="004F2800" w:rsidP="00A44BD2">
      <w:pPr>
        <w:spacing w:line="480" w:lineRule="auto"/>
        <w:rPr>
          <w:rFonts w:ascii="Times New Roman" w:hAnsi="Times New Roman" w:cs="Times New Roman"/>
        </w:rPr>
      </w:pPr>
      <w:r>
        <w:rPr>
          <w:rFonts w:ascii="Times New Roman" w:hAnsi="Times New Roman" w:cs="Times New Roman"/>
        </w:rPr>
        <w:lastRenderedPageBreak/>
        <w:t>reminder, the Sun and Abraham (2021) estimator did not produce coefficient estimates for the pre-treatment period immediately prior (pre-1) to the first period after treatment (post-0).</w:t>
      </w:r>
    </w:p>
    <w:p w14:paraId="2926A45E" w14:textId="25E32EDF" w:rsidR="00636FD8" w:rsidRDefault="00A06687" w:rsidP="004F2800">
      <w:pPr>
        <w:spacing w:line="480" w:lineRule="auto"/>
        <w:ind w:firstLine="720"/>
        <w:rPr>
          <w:rFonts w:ascii="Times New Roman" w:hAnsi="Times New Roman" w:cs="Times New Roman"/>
        </w:rPr>
      </w:pPr>
      <w:r>
        <w:rPr>
          <w:rFonts w:ascii="Times New Roman" w:hAnsi="Times New Roman" w:cs="Times New Roman"/>
        </w:rPr>
        <w:t xml:space="preserve">Examining individual post-treatment period </w:t>
      </w:r>
      <w:r w:rsidR="00035F69">
        <w:rPr>
          <w:rFonts w:ascii="Times New Roman" w:hAnsi="Times New Roman" w:cs="Times New Roman"/>
        </w:rPr>
        <w:t xml:space="preserve">coefficients for each of the five outcome variables in this Sun and Abraham specification </w:t>
      </w:r>
      <w:r w:rsidR="00E272AA">
        <w:rPr>
          <w:rFonts w:ascii="Times New Roman" w:hAnsi="Times New Roman" w:cs="Times New Roman"/>
        </w:rPr>
        <w:t>offer</w:t>
      </w:r>
      <w:r w:rsidR="00C2010D">
        <w:rPr>
          <w:rFonts w:ascii="Times New Roman" w:hAnsi="Times New Roman" w:cs="Times New Roman"/>
        </w:rPr>
        <w:t>ed</w:t>
      </w:r>
      <w:r w:rsidR="00E272AA">
        <w:rPr>
          <w:rFonts w:ascii="Times New Roman" w:hAnsi="Times New Roman" w:cs="Times New Roman"/>
        </w:rPr>
        <w:t xml:space="preserve"> an inconclusive look at whether there is an actual effect on treated institutions. Therefore, I supplement</w:t>
      </w:r>
      <w:r w:rsidR="00C2010D">
        <w:rPr>
          <w:rFonts w:ascii="Times New Roman" w:hAnsi="Times New Roman" w:cs="Times New Roman"/>
        </w:rPr>
        <w:t>ed</w:t>
      </w:r>
      <w:r w:rsidR="00E272AA">
        <w:rPr>
          <w:rFonts w:ascii="Times New Roman" w:hAnsi="Times New Roman" w:cs="Times New Roman"/>
        </w:rPr>
        <w:t xml:space="preserve"> this analysis with a joint test of significance of the post-treatment coefficients to examine whether they significantly var</w:t>
      </w:r>
      <w:r w:rsidR="00C2010D">
        <w:rPr>
          <w:rFonts w:ascii="Times New Roman" w:hAnsi="Times New Roman" w:cs="Times New Roman"/>
        </w:rPr>
        <w:t>ied</w:t>
      </w:r>
      <w:r w:rsidR="00E272AA">
        <w:rPr>
          <w:rFonts w:ascii="Times New Roman" w:hAnsi="Times New Roman" w:cs="Times New Roman"/>
        </w:rPr>
        <w:t xml:space="preserve"> jointly from zero. I provide</w:t>
      </w:r>
      <w:r w:rsidR="00B4373A">
        <w:rPr>
          <w:rFonts w:ascii="Times New Roman" w:hAnsi="Times New Roman" w:cs="Times New Roman"/>
        </w:rPr>
        <w:t xml:space="preserve"> </w:t>
      </w:r>
      <w:r w:rsidR="00E272AA">
        <w:rPr>
          <w:rFonts w:ascii="Times New Roman" w:hAnsi="Times New Roman" w:cs="Times New Roman"/>
        </w:rPr>
        <w:t xml:space="preserve">this joint test in </w:t>
      </w:r>
      <w:r w:rsidR="00E272AA" w:rsidRPr="004F2800">
        <w:rPr>
          <w:rFonts w:ascii="Times New Roman" w:hAnsi="Times New Roman" w:cs="Times New Roman"/>
          <w:b/>
          <w:bCs/>
        </w:rPr>
        <w:t xml:space="preserve">Table </w:t>
      </w:r>
      <w:r w:rsidR="005E08E7" w:rsidRPr="004F2800">
        <w:rPr>
          <w:rFonts w:ascii="Times New Roman" w:hAnsi="Times New Roman" w:cs="Times New Roman"/>
          <w:b/>
          <w:bCs/>
        </w:rPr>
        <w:t>8</w:t>
      </w:r>
      <w:r w:rsidR="00AA0468">
        <w:rPr>
          <w:rFonts w:ascii="Times New Roman" w:hAnsi="Times New Roman" w:cs="Times New Roman"/>
        </w:rPr>
        <w:t xml:space="preserve"> where </w:t>
      </w:r>
      <w:r w:rsidR="003A07D1">
        <w:rPr>
          <w:rFonts w:ascii="Times New Roman" w:hAnsi="Times New Roman" w:cs="Times New Roman"/>
        </w:rPr>
        <w:t xml:space="preserve">I present joint test results for posttreatment coefficients with no lag, </w:t>
      </w:r>
      <w:r w:rsidR="00DD0D9B">
        <w:rPr>
          <w:rFonts w:ascii="Times New Roman" w:hAnsi="Times New Roman" w:cs="Times New Roman"/>
        </w:rPr>
        <w:t xml:space="preserve">a </w:t>
      </w:r>
      <w:r w:rsidR="009D1A1B">
        <w:rPr>
          <w:rFonts w:ascii="Times New Roman" w:hAnsi="Times New Roman" w:cs="Times New Roman"/>
        </w:rPr>
        <w:t>one-year</w:t>
      </w:r>
      <w:r w:rsidR="00DD0D9B">
        <w:rPr>
          <w:rFonts w:ascii="Times New Roman" w:hAnsi="Times New Roman" w:cs="Times New Roman"/>
        </w:rPr>
        <w:t xml:space="preserve"> lag for shorter term credentials, and </w:t>
      </w:r>
      <w:r w:rsidR="00243FB3">
        <w:rPr>
          <w:rFonts w:ascii="Times New Roman" w:hAnsi="Times New Roman" w:cs="Times New Roman"/>
        </w:rPr>
        <w:t>two-year</w:t>
      </w:r>
      <w:r w:rsidR="00DD0D9B">
        <w:rPr>
          <w:rFonts w:ascii="Times New Roman" w:hAnsi="Times New Roman" w:cs="Times New Roman"/>
        </w:rPr>
        <w:t xml:space="preserve"> lag for associates degrees</w:t>
      </w:r>
      <w:r w:rsidR="00E272AA">
        <w:rPr>
          <w:rFonts w:ascii="Times New Roman" w:hAnsi="Times New Roman" w:cs="Times New Roman"/>
        </w:rPr>
        <w:t xml:space="preserve">. </w:t>
      </w:r>
      <w:r w:rsidR="00361D7E">
        <w:rPr>
          <w:rFonts w:ascii="Times New Roman" w:hAnsi="Times New Roman" w:cs="Times New Roman"/>
        </w:rPr>
        <w:t xml:space="preserve">However, on-time completion is not </w:t>
      </w:r>
      <w:r w:rsidR="00471BE0">
        <w:rPr>
          <w:rFonts w:ascii="Times New Roman" w:hAnsi="Times New Roman" w:cs="Times New Roman"/>
        </w:rPr>
        <w:t>the norm for sub-baccalaureate students</w:t>
      </w:r>
      <w:r w:rsidR="00560169">
        <w:rPr>
          <w:rFonts w:ascii="Times New Roman" w:hAnsi="Times New Roman" w:cs="Times New Roman"/>
        </w:rPr>
        <w:t xml:space="preserve"> with only 35% of students from 2-year institutions graduating within 3-years and </w:t>
      </w:r>
      <w:r w:rsidR="007E735F">
        <w:rPr>
          <w:rFonts w:ascii="Times New Roman" w:hAnsi="Times New Roman" w:cs="Times New Roman"/>
        </w:rPr>
        <w:t>65</w:t>
      </w:r>
      <w:r w:rsidR="00785569">
        <w:rPr>
          <w:rFonts w:ascii="Times New Roman" w:hAnsi="Times New Roman" w:cs="Times New Roman"/>
        </w:rPr>
        <w:t xml:space="preserve">% of </w:t>
      </w:r>
      <w:r w:rsidR="008A7311">
        <w:rPr>
          <w:rFonts w:ascii="Times New Roman" w:hAnsi="Times New Roman" w:cs="Times New Roman"/>
        </w:rPr>
        <w:t xml:space="preserve">students graduating </w:t>
      </w:r>
      <w:r w:rsidR="00785569">
        <w:rPr>
          <w:rFonts w:ascii="Times New Roman" w:hAnsi="Times New Roman" w:cs="Times New Roman"/>
        </w:rPr>
        <w:t xml:space="preserve">from their less than 2-year programs </w:t>
      </w:r>
      <w:r w:rsidR="00A44BD2">
        <w:rPr>
          <w:rFonts w:ascii="Times New Roman" w:hAnsi="Times New Roman" w:cs="Times New Roman"/>
        </w:rPr>
        <w:t xml:space="preserve">within time-and-a-half of their program’s length </w:t>
      </w:r>
      <w:sdt>
        <w:sdtPr>
          <w:rPr>
            <w:rFonts w:ascii="Times New Roman" w:hAnsi="Times New Roman" w:cs="Times New Roman"/>
          </w:rPr>
          <w:id w:val="1882673295"/>
          <w:citation/>
        </w:sdtPr>
        <w:sdtContent>
          <w:r w:rsidR="00A44BD2">
            <w:rPr>
              <w:rFonts w:ascii="Times New Roman" w:hAnsi="Times New Roman" w:cs="Times New Roman"/>
            </w:rPr>
            <w:fldChar w:fldCharType="begin"/>
          </w:r>
          <w:r w:rsidR="00AB1986">
            <w:rPr>
              <w:rFonts w:ascii="Times New Roman" w:hAnsi="Times New Roman" w:cs="Times New Roman"/>
            </w:rPr>
            <w:instrText xml:space="preserve">CITATION Nat236 \l 1033 </w:instrText>
          </w:r>
          <w:r w:rsidR="00A44BD2">
            <w:rPr>
              <w:rFonts w:ascii="Times New Roman" w:hAnsi="Times New Roman" w:cs="Times New Roman"/>
            </w:rPr>
            <w:fldChar w:fldCharType="separate"/>
          </w:r>
          <w:r w:rsidR="00A10468" w:rsidRPr="00A10468">
            <w:rPr>
              <w:rFonts w:ascii="Times New Roman" w:hAnsi="Times New Roman" w:cs="Times New Roman"/>
              <w:noProof/>
            </w:rPr>
            <w:t>(National Center for Education Statistics, 2024d)</w:t>
          </w:r>
          <w:r w:rsidR="00A44BD2">
            <w:rPr>
              <w:rFonts w:ascii="Times New Roman" w:hAnsi="Times New Roman" w:cs="Times New Roman"/>
            </w:rPr>
            <w:fldChar w:fldCharType="end"/>
          </w:r>
        </w:sdtContent>
      </w:sdt>
      <w:r w:rsidR="00A44BD2">
        <w:rPr>
          <w:rFonts w:ascii="Times New Roman" w:hAnsi="Times New Roman" w:cs="Times New Roman"/>
        </w:rPr>
        <w:t xml:space="preserve">. </w:t>
      </w:r>
    </w:p>
    <w:p w14:paraId="780644E0" w14:textId="77777777" w:rsidR="004F2800" w:rsidRDefault="004F2800" w:rsidP="004F2800">
      <w:pPr>
        <w:spacing w:line="480" w:lineRule="auto"/>
        <w:ind w:firstLine="720"/>
        <w:rPr>
          <w:rFonts w:ascii="Times New Roman" w:hAnsi="Times New Roman" w:cs="Times New Roman"/>
        </w:rPr>
      </w:pPr>
      <w:r>
        <w:rPr>
          <w:rFonts w:ascii="Times New Roman" w:hAnsi="Times New Roman" w:cs="Times New Roman"/>
        </w:rPr>
        <w:t xml:space="preserve">Because of this, I utilized all three joint tests to shape my interpretation of findings for credential awards. As for associates degrees, I was limited by the recent adoption of many promise programs and was unable to include an adequate lag for these awards. Instead, a study that included potential late graduations for associates degree students will have to wait until a later time when these </w:t>
      </w:r>
      <w:proofErr w:type="gramStart"/>
      <w:r>
        <w:rPr>
          <w:rFonts w:ascii="Times New Roman" w:hAnsi="Times New Roman" w:cs="Times New Roman"/>
        </w:rPr>
        <w:t>promise</w:t>
      </w:r>
      <w:proofErr w:type="gramEnd"/>
      <w:r>
        <w:rPr>
          <w:rFonts w:ascii="Times New Roman" w:hAnsi="Times New Roman" w:cs="Times New Roman"/>
        </w:rPr>
        <w:t xml:space="preserve"> programs have been in operation for a longer </w:t>
      </w:r>
      <w:proofErr w:type="gramStart"/>
      <w:r>
        <w:rPr>
          <w:rFonts w:ascii="Times New Roman" w:hAnsi="Times New Roman" w:cs="Times New Roman"/>
        </w:rPr>
        <w:t>period of time</w:t>
      </w:r>
      <w:proofErr w:type="gramEnd"/>
      <w:r>
        <w:rPr>
          <w:rFonts w:ascii="Times New Roman" w:hAnsi="Times New Roman" w:cs="Times New Roman"/>
        </w:rPr>
        <w:t>.</w:t>
      </w:r>
    </w:p>
    <w:p w14:paraId="517F107D" w14:textId="77777777" w:rsidR="004F2800" w:rsidRDefault="004F2800" w:rsidP="004F2800">
      <w:pPr>
        <w:spacing w:line="480" w:lineRule="auto"/>
        <w:ind w:firstLine="720"/>
        <w:rPr>
          <w:rFonts w:ascii="Times New Roman" w:hAnsi="Times New Roman" w:cs="Times New Roman"/>
        </w:rPr>
      </w:pPr>
    </w:p>
    <w:p w14:paraId="2B7FB1D6" w14:textId="77777777" w:rsidR="004F2800" w:rsidRDefault="004F2800" w:rsidP="004F2800">
      <w:pPr>
        <w:spacing w:line="480" w:lineRule="auto"/>
        <w:rPr>
          <w:rFonts w:ascii="Times New Roman" w:hAnsi="Times New Roman" w:cs="Times New Roman"/>
        </w:rPr>
      </w:pPr>
    </w:p>
    <w:p w14:paraId="4A7C6890" w14:textId="77777777" w:rsidR="00636FD8" w:rsidRPr="004E17FC" w:rsidRDefault="00636FD8" w:rsidP="004F2800">
      <w:pPr>
        <w:pStyle w:val="Caption"/>
        <w:spacing w:before="0" w:after="0" w:line="240" w:lineRule="auto"/>
      </w:pPr>
      <w:bookmarkStart w:id="120" w:name="_Toc179135219"/>
      <w:bookmarkStart w:id="121" w:name="_Toc179136138"/>
      <w:bookmarkStart w:id="122" w:name="_Toc179888483"/>
      <w:bookmarkStart w:id="123" w:name="_Toc181297764"/>
      <w:bookmarkStart w:id="124" w:name="_Toc180144571"/>
      <w:r w:rsidRPr="004E17FC">
        <w:lastRenderedPageBreak/>
        <w:t>Table 8</w:t>
      </w:r>
      <w:bookmarkEnd w:id="120"/>
      <w:bookmarkEnd w:id="121"/>
      <w:bookmarkEnd w:id="122"/>
      <w:bookmarkEnd w:id="123"/>
      <w:bookmarkEnd w:id="124"/>
    </w:p>
    <w:p w14:paraId="21C441EB" w14:textId="77777777" w:rsidR="00636FD8" w:rsidRDefault="00636FD8" w:rsidP="004F2800">
      <w:pPr>
        <w:rPr>
          <w:rFonts w:ascii="Times New Roman" w:hAnsi="Times New Roman" w:cs="Times New Roman"/>
        </w:rPr>
      </w:pPr>
      <w:r w:rsidRPr="004E17FC">
        <w:rPr>
          <w:rFonts w:ascii="Times New Roman" w:hAnsi="Times New Roman" w:cs="Times New Roman"/>
        </w:rPr>
        <w:t>Joint Test of Post</w:t>
      </w:r>
      <w:r>
        <w:rPr>
          <w:rFonts w:ascii="Times New Roman" w:hAnsi="Times New Roman" w:cs="Times New Roman"/>
        </w:rPr>
        <w:t xml:space="preserve">-Treatment Outputs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1530"/>
        <w:gridCol w:w="1620"/>
        <w:gridCol w:w="1440"/>
        <w:gridCol w:w="1530"/>
        <w:gridCol w:w="1530"/>
      </w:tblGrid>
      <w:tr w:rsidR="00636FD8" w14:paraId="1843BC04" w14:textId="77777777" w:rsidTr="00F12F49">
        <w:tc>
          <w:tcPr>
            <w:tcW w:w="990" w:type="dxa"/>
            <w:tcBorders>
              <w:bottom w:val="single" w:sz="4" w:space="0" w:color="auto"/>
            </w:tcBorders>
          </w:tcPr>
          <w:p w14:paraId="0121938A" w14:textId="77777777" w:rsidR="00636FD8" w:rsidRDefault="00636FD8" w:rsidP="00F12F49">
            <w:pPr>
              <w:rPr>
                <w:rFonts w:ascii="Times New Roman" w:hAnsi="Times New Roman" w:cs="Times New Roman"/>
              </w:rPr>
            </w:pPr>
          </w:p>
        </w:tc>
        <w:tc>
          <w:tcPr>
            <w:tcW w:w="1530" w:type="dxa"/>
            <w:tcBorders>
              <w:bottom w:val="single" w:sz="4" w:space="0" w:color="auto"/>
            </w:tcBorders>
          </w:tcPr>
          <w:p w14:paraId="0025CD55" w14:textId="77777777" w:rsidR="00636FD8" w:rsidRDefault="00636FD8" w:rsidP="00F12F49">
            <w:pPr>
              <w:rPr>
                <w:rFonts w:ascii="Times New Roman" w:hAnsi="Times New Roman" w:cs="Times New Roman"/>
              </w:rPr>
            </w:pPr>
            <w:r>
              <w:rPr>
                <w:rFonts w:ascii="Times New Roman" w:hAnsi="Times New Roman" w:cs="Times New Roman"/>
              </w:rPr>
              <w:t>All Awards</w:t>
            </w:r>
          </w:p>
        </w:tc>
        <w:tc>
          <w:tcPr>
            <w:tcW w:w="1620" w:type="dxa"/>
            <w:tcBorders>
              <w:bottom w:val="single" w:sz="4" w:space="0" w:color="auto"/>
            </w:tcBorders>
          </w:tcPr>
          <w:p w14:paraId="4542F233" w14:textId="136A06B4" w:rsidR="00636FD8" w:rsidRDefault="00AE21FD" w:rsidP="00F12F49">
            <w:pPr>
              <w:rPr>
                <w:rFonts w:ascii="Times New Roman" w:hAnsi="Times New Roman" w:cs="Times New Roman"/>
              </w:rPr>
            </w:pPr>
            <w:r>
              <w:rPr>
                <w:rFonts w:ascii="Times New Roman" w:hAnsi="Times New Roman" w:cs="Times New Roman"/>
              </w:rPr>
              <w:t>Associate’s degrees</w:t>
            </w:r>
          </w:p>
        </w:tc>
        <w:tc>
          <w:tcPr>
            <w:tcW w:w="1440" w:type="dxa"/>
            <w:tcBorders>
              <w:bottom w:val="single" w:sz="4" w:space="0" w:color="auto"/>
            </w:tcBorders>
          </w:tcPr>
          <w:p w14:paraId="345255F8" w14:textId="77777777" w:rsidR="00636FD8" w:rsidRDefault="00636FD8" w:rsidP="00F12F49">
            <w:pPr>
              <w:rPr>
                <w:rFonts w:ascii="Times New Roman" w:hAnsi="Times New Roman" w:cs="Times New Roman"/>
              </w:rPr>
            </w:pPr>
            <w:r>
              <w:rPr>
                <w:rFonts w:ascii="Times New Roman" w:hAnsi="Times New Roman" w:cs="Times New Roman"/>
              </w:rPr>
              <w:t xml:space="preserve">All Credentials </w:t>
            </w:r>
          </w:p>
        </w:tc>
        <w:tc>
          <w:tcPr>
            <w:tcW w:w="1530" w:type="dxa"/>
            <w:tcBorders>
              <w:bottom w:val="single" w:sz="4" w:space="0" w:color="auto"/>
            </w:tcBorders>
          </w:tcPr>
          <w:p w14:paraId="55B8EB73" w14:textId="04053B7C" w:rsidR="00636FD8" w:rsidRDefault="00275D9D" w:rsidP="00F12F49">
            <w:pPr>
              <w:rPr>
                <w:rFonts w:ascii="Times New Roman" w:hAnsi="Times New Roman" w:cs="Times New Roman"/>
              </w:rPr>
            </w:pPr>
            <w:r>
              <w:rPr>
                <w:rFonts w:ascii="Times New Roman" w:hAnsi="Times New Roman" w:cs="Times New Roman"/>
              </w:rPr>
              <w:t>One</w:t>
            </w:r>
            <w:r w:rsidR="002C3000">
              <w:rPr>
                <w:rFonts w:ascii="Times New Roman" w:hAnsi="Times New Roman" w:cs="Times New Roman"/>
              </w:rPr>
              <w:t>-</w:t>
            </w:r>
            <w:r>
              <w:rPr>
                <w:rFonts w:ascii="Times New Roman" w:hAnsi="Times New Roman" w:cs="Times New Roman"/>
              </w:rPr>
              <w:t>to</w:t>
            </w:r>
            <w:r w:rsidR="002C3000">
              <w:rPr>
                <w:rFonts w:ascii="Times New Roman" w:hAnsi="Times New Roman" w:cs="Times New Roman"/>
              </w:rPr>
              <w:t>-</w:t>
            </w:r>
            <w:r>
              <w:rPr>
                <w:rFonts w:ascii="Times New Roman" w:hAnsi="Times New Roman" w:cs="Times New Roman"/>
              </w:rPr>
              <w:t>Two</w:t>
            </w:r>
            <w:r w:rsidR="00636FD8">
              <w:rPr>
                <w:rFonts w:ascii="Times New Roman" w:hAnsi="Times New Roman" w:cs="Times New Roman"/>
              </w:rPr>
              <w:t xml:space="preserve"> Year Cred.</w:t>
            </w:r>
          </w:p>
        </w:tc>
        <w:tc>
          <w:tcPr>
            <w:tcW w:w="1530" w:type="dxa"/>
            <w:tcBorders>
              <w:bottom w:val="single" w:sz="4" w:space="0" w:color="auto"/>
            </w:tcBorders>
          </w:tcPr>
          <w:p w14:paraId="322D8B3F" w14:textId="77777777" w:rsidR="00636FD8" w:rsidRDefault="00636FD8" w:rsidP="00F12F49">
            <w:pPr>
              <w:rPr>
                <w:rFonts w:ascii="Times New Roman" w:hAnsi="Times New Roman" w:cs="Times New Roman"/>
              </w:rPr>
            </w:pPr>
            <w:r>
              <w:rPr>
                <w:rFonts w:ascii="Times New Roman" w:hAnsi="Times New Roman" w:cs="Times New Roman"/>
              </w:rPr>
              <w:t>Less than 1 Year Cred.</w:t>
            </w:r>
          </w:p>
        </w:tc>
      </w:tr>
      <w:tr w:rsidR="00636FD8" w14:paraId="418E629B" w14:textId="77777777" w:rsidTr="00F12F49">
        <w:trPr>
          <w:trHeight w:val="431"/>
        </w:trPr>
        <w:tc>
          <w:tcPr>
            <w:tcW w:w="990" w:type="dxa"/>
            <w:tcBorders>
              <w:top w:val="single" w:sz="4" w:space="0" w:color="auto"/>
            </w:tcBorders>
          </w:tcPr>
          <w:p w14:paraId="7990ADE8" w14:textId="77777777" w:rsidR="00636FD8" w:rsidRDefault="00636FD8" w:rsidP="00F12F49">
            <w:pPr>
              <w:rPr>
                <w:rFonts w:ascii="Times New Roman" w:hAnsi="Times New Roman" w:cs="Times New Roman"/>
              </w:rPr>
            </w:pPr>
            <w:r>
              <w:rPr>
                <w:rFonts w:ascii="Times New Roman" w:hAnsi="Times New Roman" w:cs="Times New Roman"/>
              </w:rPr>
              <w:t>No Lag</w:t>
            </w:r>
          </w:p>
        </w:tc>
        <w:tc>
          <w:tcPr>
            <w:tcW w:w="1530" w:type="dxa"/>
            <w:tcBorders>
              <w:top w:val="single" w:sz="4" w:space="0" w:color="auto"/>
            </w:tcBorders>
          </w:tcPr>
          <w:p w14:paraId="3E6C8FEC" w14:textId="77777777" w:rsidR="00636FD8" w:rsidRDefault="00636FD8" w:rsidP="00F12F49">
            <w:pPr>
              <w:rPr>
                <w:rFonts w:ascii="Times New Roman" w:hAnsi="Times New Roman" w:cs="Times New Roman"/>
              </w:rPr>
            </w:pPr>
            <w:r>
              <w:rPr>
                <w:rFonts w:ascii="Times New Roman" w:hAnsi="Times New Roman" w:cs="Times New Roman"/>
              </w:rPr>
              <w:t>0.031*</w:t>
            </w:r>
          </w:p>
        </w:tc>
        <w:tc>
          <w:tcPr>
            <w:tcW w:w="1620" w:type="dxa"/>
            <w:tcBorders>
              <w:top w:val="single" w:sz="4" w:space="0" w:color="auto"/>
            </w:tcBorders>
          </w:tcPr>
          <w:p w14:paraId="65DA2720" w14:textId="77777777" w:rsidR="00636FD8" w:rsidRDefault="00636FD8" w:rsidP="00F12F49">
            <w:pPr>
              <w:rPr>
                <w:rFonts w:ascii="Times New Roman" w:hAnsi="Times New Roman" w:cs="Times New Roman"/>
              </w:rPr>
            </w:pPr>
            <w:r>
              <w:rPr>
                <w:rFonts w:ascii="Times New Roman" w:hAnsi="Times New Roman" w:cs="Times New Roman"/>
              </w:rPr>
              <w:t>0.004**</w:t>
            </w:r>
          </w:p>
        </w:tc>
        <w:tc>
          <w:tcPr>
            <w:tcW w:w="1440" w:type="dxa"/>
            <w:tcBorders>
              <w:top w:val="single" w:sz="4" w:space="0" w:color="auto"/>
            </w:tcBorders>
          </w:tcPr>
          <w:p w14:paraId="7D1BE105" w14:textId="77777777" w:rsidR="00636FD8" w:rsidRDefault="00636FD8" w:rsidP="00F12F49">
            <w:pPr>
              <w:rPr>
                <w:rFonts w:ascii="Times New Roman" w:hAnsi="Times New Roman" w:cs="Times New Roman"/>
              </w:rPr>
            </w:pPr>
            <w:r>
              <w:rPr>
                <w:rFonts w:ascii="Times New Roman" w:hAnsi="Times New Roman" w:cs="Times New Roman"/>
              </w:rPr>
              <w:t>0.014**</w:t>
            </w:r>
          </w:p>
        </w:tc>
        <w:tc>
          <w:tcPr>
            <w:tcW w:w="1530" w:type="dxa"/>
            <w:tcBorders>
              <w:top w:val="single" w:sz="4" w:space="0" w:color="auto"/>
            </w:tcBorders>
          </w:tcPr>
          <w:p w14:paraId="31947A53" w14:textId="77777777" w:rsidR="00636FD8" w:rsidRDefault="00636FD8" w:rsidP="00F12F49">
            <w:pPr>
              <w:rPr>
                <w:rFonts w:ascii="Times New Roman" w:hAnsi="Times New Roman" w:cs="Times New Roman"/>
              </w:rPr>
            </w:pPr>
            <w:r>
              <w:rPr>
                <w:rFonts w:ascii="Times New Roman" w:hAnsi="Times New Roman" w:cs="Times New Roman"/>
              </w:rPr>
              <w:t>0.010**</w:t>
            </w:r>
          </w:p>
        </w:tc>
        <w:tc>
          <w:tcPr>
            <w:tcW w:w="1530" w:type="dxa"/>
            <w:tcBorders>
              <w:top w:val="single" w:sz="4" w:space="0" w:color="auto"/>
            </w:tcBorders>
          </w:tcPr>
          <w:p w14:paraId="28257F38" w14:textId="77777777" w:rsidR="00636FD8" w:rsidRDefault="00636FD8" w:rsidP="00F12F49">
            <w:pPr>
              <w:rPr>
                <w:rFonts w:ascii="Times New Roman" w:hAnsi="Times New Roman" w:cs="Times New Roman"/>
              </w:rPr>
            </w:pPr>
            <w:r>
              <w:rPr>
                <w:rFonts w:ascii="Times New Roman" w:hAnsi="Times New Roman" w:cs="Times New Roman"/>
              </w:rPr>
              <w:t>0.053</w:t>
            </w:r>
          </w:p>
        </w:tc>
      </w:tr>
      <w:tr w:rsidR="00636FD8" w14:paraId="5B457CCD" w14:textId="77777777" w:rsidTr="00F12F49">
        <w:trPr>
          <w:trHeight w:val="711"/>
        </w:trPr>
        <w:tc>
          <w:tcPr>
            <w:tcW w:w="990" w:type="dxa"/>
          </w:tcPr>
          <w:p w14:paraId="0E69B74B" w14:textId="77777777" w:rsidR="00636FD8" w:rsidRDefault="00636FD8" w:rsidP="00F12F49">
            <w:pPr>
              <w:rPr>
                <w:rFonts w:ascii="Times New Roman" w:hAnsi="Times New Roman" w:cs="Times New Roman"/>
              </w:rPr>
            </w:pPr>
            <w:r>
              <w:rPr>
                <w:rFonts w:ascii="Times New Roman" w:hAnsi="Times New Roman" w:cs="Times New Roman"/>
              </w:rPr>
              <w:t>1 Year Lag</w:t>
            </w:r>
          </w:p>
        </w:tc>
        <w:tc>
          <w:tcPr>
            <w:tcW w:w="1530" w:type="dxa"/>
          </w:tcPr>
          <w:p w14:paraId="08A969B4" w14:textId="77777777" w:rsidR="00636FD8" w:rsidRDefault="00636FD8" w:rsidP="00F12F49">
            <w:pPr>
              <w:rPr>
                <w:rFonts w:ascii="Times New Roman" w:hAnsi="Times New Roman" w:cs="Times New Roman"/>
              </w:rPr>
            </w:pPr>
            <w:r w:rsidRPr="00811A5D">
              <w:rPr>
                <w:rFonts w:ascii="Times New Roman" w:hAnsi="Times New Roman" w:cs="Times New Roman"/>
              </w:rPr>
              <w:t>0.016</w:t>
            </w:r>
            <w:r>
              <w:rPr>
                <w:rFonts w:ascii="Times New Roman" w:hAnsi="Times New Roman" w:cs="Times New Roman"/>
              </w:rPr>
              <w:t>**</w:t>
            </w:r>
          </w:p>
        </w:tc>
        <w:tc>
          <w:tcPr>
            <w:tcW w:w="1620" w:type="dxa"/>
          </w:tcPr>
          <w:p w14:paraId="6648CD5E" w14:textId="77777777" w:rsidR="00636FD8" w:rsidRDefault="00636FD8" w:rsidP="00F12F49">
            <w:pPr>
              <w:rPr>
                <w:rFonts w:ascii="Times New Roman" w:hAnsi="Times New Roman" w:cs="Times New Roman"/>
              </w:rPr>
            </w:pPr>
            <w:r w:rsidRPr="00811A5D">
              <w:rPr>
                <w:rFonts w:ascii="Times New Roman" w:hAnsi="Times New Roman" w:cs="Times New Roman"/>
              </w:rPr>
              <w:t>0.00</w:t>
            </w:r>
            <w:r>
              <w:rPr>
                <w:rFonts w:ascii="Times New Roman" w:hAnsi="Times New Roman" w:cs="Times New Roman"/>
              </w:rPr>
              <w:t>2**</w:t>
            </w:r>
          </w:p>
        </w:tc>
        <w:tc>
          <w:tcPr>
            <w:tcW w:w="1440" w:type="dxa"/>
          </w:tcPr>
          <w:p w14:paraId="11FB8B15" w14:textId="77777777" w:rsidR="00636FD8" w:rsidRDefault="00636FD8" w:rsidP="00F12F49">
            <w:pPr>
              <w:rPr>
                <w:rFonts w:ascii="Times New Roman" w:hAnsi="Times New Roman" w:cs="Times New Roman"/>
              </w:rPr>
            </w:pPr>
            <w:r w:rsidRPr="00811A5D">
              <w:rPr>
                <w:rFonts w:ascii="Times New Roman" w:hAnsi="Times New Roman" w:cs="Times New Roman"/>
              </w:rPr>
              <w:t>0.00</w:t>
            </w:r>
            <w:r>
              <w:rPr>
                <w:rFonts w:ascii="Times New Roman" w:hAnsi="Times New Roman" w:cs="Times New Roman"/>
              </w:rPr>
              <w:t>7**</w:t>
            </w:r>
          </w:p>
        </w:tc>
        <w:tc>
          <w:tcPr>
            <w:tcW w:w="1530" w:type="dxa"/>
          </w:tcPr>
          <w:p w14:paraId="7A1368BC" w14:textId="77777777" w:rsidR="00636FD8" w:rsidRDefault="00636FD8" w:rsidP="00F12F49">
            <w:pPr>
              <w:rPr>
                <w:rFonts w:ascii="Times New Roman" w:hAnsi="Times New Roman" w:cs="Times New Roman"/>
              </w:rPr>
            </w:pPr>
            <w:r w:rsidRPr="00811A5D">
              <w:rPr>
                <w:rFonts w:ascii="Times New Roman" w:hAnsi="Times New Roman" w:cs="Times New Roman"/>
              </w:rPr>
              <w:t>0.32</w:t>
            </w:r>
            <w:r>
              <w:rPr>
                <w:rFonts w:ascii="Times New Roman" w:hAnsi="Times New Roman" w:cs="Times New Roman"/>
              </w:rPr>
              <w:t>8</w:t>
            </w:r>
          </w:p>
        </w:tc>
        <w:tc>
          <w:tcPr>
            <w:tcW w:w="1530" w:type="dxa"/>
          </w:tcPr>
          <w:p w14:paraId="55A5F8C5" w14:textId="77777777" w:rsidR="00636FD8" w:rsidRDefault="00636FD8" w:rsidP="00F12F49">
            <w:pPr>
              <w:rPr>
                <w:rFonts w:ascii="Times New Roman" w:hAnsi="Times New Roman" w:cs="Times New Roman"/>
              </w:rPr>
            </w:pPr>
            <w:r w:rsidRPr="00811A5D">
              <w:rPr>
                <w:rFonts w:ascii="Times New Roman" w:hAnsi="Times New Roman" w:cs="Times New Roman"/>
              </w:rPr>
              <w:t>0.040</w:t>
            </w:r>
            <w:r>
              <w:rPr>
                <w:rFonts w:ascii="Times New Roman" w:hAnsi="Times New Roman" w:cs="Times New Roman"/>
              </w:rPr>
              <w:t>*</w:t>
            </w:r>
          </w:p>
        </w:tc>
      </w:tr>
      <w:tr w:rsidR="00636FD8" w14:paraId="3EE4B367" w14:textId="77777777" w:rsidTr="00F12F49">
        <w:trPr>
          <w:trHeight w:val="630"/>
        </w:trPr>
        <w:tc>
          <w:tcPr>
            <w:tcW w:w="990" w:type="dxa"/>
            <w:tcBorders>
              <w:bottom w:val="single" w:sz="4" w:space="0" w:color="auto"/>
            </w:tcBorders>
          </w:tcPr>
          <w:p w14:paraId="13D19925" w14:textId="77777777" w:rsidR="00636FD8" w:rsidRDefault="00636FD8" w:rsidP="00F12F49">
            <w:pPr>
              <w:rPr>
                <w:rFonts w:ascii="Times New Roman" w:hAnsi="Times New Roman" w:cs="Times New Roman"/>
              </w:rPr>
            </w:pPr>
            <w:r>
              <w:rPr>
                <w:rFonts w:ascii="Times New Roman" w:hAnsi="Times New Roman" w:cs="Times New Roman"/>
              </w:rPr>
              <w:t>2 Year Lag</w:t>
            </w:r>
          </w:p>
        </w:tc>
        <w:tc>
          <w:tcPr>
            <w:tcW w:w="1530" w:type="dxa"/>
            <w:tcBorders>
              <w:bottom w:val="single" w:sz="4" w:space="0" w:color="auto"/>
            </w:tcBorders>
          </w:tcPr>
          <w:p w14:paraId="6AECDDA8" w14:textId="77777777" w:rsidR="00636FD8" w:rsidRDefault="00636FD8" w:rsidP="00F12F49">
            <w:pPr>
              <w:rPr>
                <w:rFonts w:ascii="Times New Roman" w:hAnsi="Times New Roman" w:cs="Times New Roman"/>
              </w:rPr>
            </w:pPr>
            <w:r w:rsidRPr="00811A5D">
              <w:rPr>
                <w:rFonts w:ascii="Times New Roman" w:hAnsi="Times New Roman" w:cs="Times New Roman"/>
              </w:rPr>
              <w:t>0.00</w:t>
            </w:r>
            <w:r>
              <w:rPr>
                <w:rFonts w:ascii="Times New Roman" w:hAnsi="Times New Roman" w:cs="Times New Roman"/>
              </w:rPr>
              <w:t>8**</w:t>
            </w:r>
          </w:p>
        </w:tc>
        <w:tc>
          <w:tcPr>
            <w:tcW w:w="1620" w:type="dxa"/>
            <w:tcBorders>
              <w:bottom w:val="single" w:sz="4" w:space="0" w:color="auto"/>
            </w:tcBorders>
          </w:tcPr>
          <w:p w14:paraId="1C005F3C" w14:textId="77777777" w:rsidR="00636FD8" w:rsidRDefault="00636FD8" w:rsidP="00F12F49">
            <w:pPr>
              <w:rPr>
                <w:rFonts w:ascii="Times New Roman" w:hAnsi="Times New Roman" w:cs="Times New Roman"/>
              </w:rPr>
            </w:pPr>
            <w:r w:rsidRPr="00811A5D">
              <w:rPr>
                <w:rFonts w:ascii="Times New Roman" w:hAnsi="Times New Roman" w:cs="Times New Roman"/>
              </w:rPr>
              <w:t>0.00</w:t>
            </w:r>
            <w:r>
              <w:rPr>
                <w:rFonts w:ascii="Times New Roman" w:hAnsi="Times New Roman" w:cs="Times New Roman"/>
              </w:rPr>
              <w:t>3**</w:t>
            </w:r>
          </w:p>
        </w:tc>
        <w:tc>
          <w:tcPr>
            <w:tcW w:w="1440" w:type="dxa"/>
            <w:tcBorders>
              <w:bottom w:val="single" w:sz="4" w:space="0" w:color="auto"/>
            </w:tcBorders>
          </w:tcPr>
          <w:p w14:paraId="5552352C" w14:textId="77777777" w:rsidR="00636FD8" w:rsidRDefault="00636FD8" w:rsidP="00F12F49">
            <w:pPr>
              <w:rPr>
                <w:rFonts w:ascii="Times New Roman" w:hAnsi="Times New Roman" w:cs="Times New Roman"/>
              </w:rPr>
            </w:pPr>
            <w:r w:rsidRPr="00811A5D">
              <w:rPr>
                <w:rFonts w:ascii="Times New Roman" w:hAnsi="Times New Roman" w:cs="Times New Roman"/>
              </w:rPr>
              <w:t>0.003</w:t>
            </w:r>
            <w:r>
              <w:rPr>
                <w:rFonts w:ascii="Times New Roman" w:hAnsi="Times New Roman" w:cs="Times New Roman"/>
              </w:rPr>
              <w:t>**</w:t>
            </w:r>
          </w:p>
        </w:tc>
        <w:tc>
          <w:tcPr>
            <w:tcW w:w="1530" w:type="dxa"/>
            <w:tcBorders>
              <w:bottom w:val="single" w:sz="4" w:space="0" w:color="auto"/>
            </w:tcBorders>
          </w:tcPr>
          <w:p w14:paraId="4DCEB18D" w14:textId="77777777" w:rsidR="00636FD8" w:rsidRDefault="00636FD8" w:rsidP="00F12F49">
            <w:pPr>
              <w:rPr>
                <w:rFonts w:ascii="Times New Roman" w:hAnsi="Times New Roman" w:cs="Times New Roman"/>
              </w:rPr>
            </w:pPr>
            <w:r w:rsidRPr="00811A5D">
              <w:rPr>
                <w:rFonts w:ascii="Times New Roman" w:hAnsi="Times New Roman" w:cs="Times New Roman"/>
              </w:rPr>
              <w:t>0.70</w:t>
            </w:r>
            <w:r>
              <w:rPr>
                <w:rFonts w:ascii="Times New Roman" w:hAnsi="Times New Roman" w:cs="Times New Roman"/>
              </w:rPr>
              <w:t>5</w:t>
            </w:r>
          </w:p>
        </w:tc>
        <w:tc>
          <w:tcPr>
            <w:tcW w:w="1530" w:type="dxa"/>
            <w:tcBorders>
              <w:bottom w:val="single" w:sz="4" w:space="0" w:color="auto"/>
            </w:tcBorders>
          </w:tcPr>
          <w:p w14:paraId="0D7E3C87" w14:textId="77777777" w:rsidR="00636FD8" w:rsidRDefault="00636FD8" w:rsidP="00F12F49">
            <w:pPr>
              <w:rPr>
                <w:rFonts w:ascii="Times New Roman" w:hAnsi="Times New Roman" w:cs="Times New Roman"/>
              </w:rPr>
            </w:pPr>
            <w:r w:rsidRPr="00811A5D">
              <w:rPr>
                <w:rFonts w:ascii="Times New Roman" w:hAnsi="Times New Roman" w:cs="Times New Roman"/>
              </w:rPr>
              <w:t>0.026</w:t>
            </w:r>
            <w:r>
              <w:rPr>
                <w:rFonts w:ascii="Times New Roman" w:hAnsi="Times New Roman" w:cs="Times New Roman"/>
              </w:rPr>
              <w:t>*</w:t>
            </w:r>
          </w:p>
        </w:tc>
      </w:tr>
    </w:tbl>
    <w:p w14:paraId="66C33E46" w14:textId="77777777" w:rsidR="00636FD8" w:rsidRDefault="00636FD8" w:rsidP="00636FD8">
      <w:pPr>
        <w:spacing w:line="480" w:lineRule="auto"/>
        <w:rPr>
          <w:rFonts w:ascii="Times New Roman" w:hAnsi="Times New Roman" w:cs="Times New Roman"/>
        </w:rPr>
      </w:pPr>
      <w:r>
        <w:rPr>
          <w:rFonts w:ascii="Times New Roman" w:hAnsi="Times New Roman" w:cs="Times New Roman"/>
        </w:rPr>
        <w:t>* p&lt;0.05, **p&lt;0.01, ***p&lt;0.001</w:t>
      </w:r>
    </w:p>
    <w:p w14:paraId="7B23ADFF" w14:textId="77777777" w:rsidR="004F2800" w:rsidRDefault="004F2800" w:rsidP="006030A3">
      <w:pPr>
        <w:spacing w:line="480" w:lineRule="auto"/>
        <w:ind w:firstLine="720"/>
        <w:rPr>
          <w:rFonts w:ascii="Times New Roman" w:hAnsi="Times New Roman" w:cs="Times New Roman"/>
        </w:rPr>
      </w:pPr>
    </w:p>
    <w:p w14:paraId="2D96334D" w14:textId="77777777" w:rsidR="004F2800" w:rsidRDefault="004F2800" w:rsidP="006030A3">
      <w:pPr>
        <w:spacing w:line="480" w:lineRule="auto"/>
        <w:ind w:firstLine="720"/>
        <w:rPr>
          <w:rFonts w:ascii="Times New Roman" w:hAnsi="Times New Roman" w:cs="Times New Roman"/>
        </w:rPr>
      </w:pPr>
    </w:p>
    <w:p w14:paraId="4CF02380" w14:textId="77777777" w:rsidR="004F2800" w:rsidRDefault="004F2800" w:rsidP="006030A3">
      <w:pPr>
        <w:spacing w:line="480" w:lineRule="auto"/>
        <w:ind w:firstLine="720"/>
        <w:rPr>
          <w:rFonts w:ascii="Times New Roman" w:hAnsi="Times New Roman" w:cs="Times New Roman"/>
        </w:rPr>
      </w:pPr>
    </w:p>
    <w:p w14:paraId="0962DAD8" w14:textId="77777777" w:rsidR="004F2800" w:rsidRDefault="004F2800" w:rsidP="006030A3">
      <w:pPr>
        <w:spacing w:line="480" w:lineRule="auto"/>
        <w:ind w:firstLine="720"/>
        <w:rPr>
          <w:rFonts w:ascii="Times New Roman" w:hAnsi="Times New Roman" w:cs="Times New Roman"/>
        </w:rPr>
      </w:pPr>
    </w:p>
    <w:p w14:paraId="2DD5C7DC" w14:textId="77777777" w:rsidR="004F2800" w:rsidRDefault="004F2800" w:rsidP="006030A3">
      <w:pPr>
        <w:spacing w:line="480" w:lineRule="auto"/>
        <w:ind w:firstLine="720"/>
        <w:rPr>
          <w:rFonts w:ascii="Times New Roman" w:hAnsi="Times New Roman" w:cs="Times New Roman"/>
        </w:rPr>
      </w:pPr>
    </w:p>
    <w:p w14:paraId="0E9C98EA" w14:textId="77777777" w:rsidR="004F2800" w:rsidRDefault="004F2800" w:rsidP="006030A3">
      <w:pPr>
        <w:spacing w:line="480" w:lineRule="auto"/>
        <w:ind w:firstLine="720"/>
        <w:rPr>
          <w:rFonts w:ascii="Times New Roman" w:hAnsi="Times New Roman" w:cs="Times New Roman"/>
        </w:rPr>
      </w:pPr>
    </w:p>
    <w:p w14:paraId="12F8CD7A" w14:textId="77777777" w:rsidR="004F2800" w:rsidRDefault="004F2800" w:rsidP="006030A3">
      <w:pPr>
        <w:spacing w:line="480" w:lineRule="auto"/>
        <w:ind w:firstLine="720"/>
        <w:rPr>
          <w:rFonts w:ascii="Times New Roman" w:hAnsi="Times New Roman" w:cs="Times New Roman"/>
        </w:rPr>
      </w:pPr>
    </w:p>
    <w:p w14:paraId="16AB446C" w14:textId="77777777" w:rsidR="004F2800" w:rsidRDefault="004F2800" w:rsidP="006030A3">
      <w:pPr>
        <w:spacing w:line="480" w:lineRule="auto"/>
        <w:ind w:firstLine="720"/>
        <w:rPr>
          <w:rFonts w:ascii="Times New Roman" w:hAnsi="Times New Roman" w:cs="Times New Roman"/>
        </w:rPr>
      </w:pPr>
    </w:p>
    <w:p w14:paraId="38FE08DB" w14:textId="77777777" w:rsidR="004F2800" w:rsidRDefault="004F2800" w:rsidP="006030A3">
      <w:pPr>
        <w:spacing w:line="480" w:lineRule="auto"/>
        <w:ind w:firstLine="720"/>
        <w:rPr>
          <w:rFonts w:ascii="Times New Roman" w:hAnsi="Times New Roman" w:cs="Times New Roman"/>
        </w:rPr>
      </w:pPr>
    </w:p>
    <w:p w14:paraId="06DBB16F" w14:textId="77777777" w:rsidR="004F2800" w:rsidRDefault="004F2800" w:rsidP="006030A3">
      <w:pPr>
        <w:spacing w:line="480" w:lineRule="auto"/>
        <w:ind w:firstLine="720"/>
        <w:rPr>
          <w:rFonts w:ascii="Times New Roman" w:hAnsi="Times New Roman" w:cs="Times New Roman"/>
        </w:rPr>
      </w:pPr>
    </w:p>
    <w:p w14:paraId="75374623" w14:textId="77777777" w:rsidR="004F2800" w:rsidRDefault="004F2800" w:rsidP="006030A3">
      <w:pPr>
        <w:spacing w:line="480" w:lineRule="auto"/>
        <w:ind w:firstLine="720"/>
        <w:rPr>
          <w:rFonts w:ascii="Times New Roman" w:hAnsi="Times New Roman" w:cs="Times New Roman"/>
        </w:rPr>
      </w:pPr>
    </w:p>
    <w:p w14:paraId="377A40B9" w14:textId="77777777" w:rsidR="004F2800" w:rsidRDefault="004F2800" w:rsidP="006030A3">
      <w:pPr>
        <w:spacing w:line="480" w:lineRule="auto"/>
        <w:ind w:firstLine="720"/>
        <w:rPr>
          <w:rFonts w:ascii="Times New Roman" w:hAnsi="Times New Roman" w:cs="Times New Roman"/>
        </w:rPr>
      </w:pPr>
    </w:p>
    <w:p w14:paraId="0C1444FA" w14:textId="77777777" w:rsidR="004F2800" w:rsidRDefault="004F2800" w:rsidP="006030A3">
      <w:pPr>
        <w:spacing w:line="480" w:lineRule="auto"/>
        <w:ind w:firstLine="720"/>
        <w:rPr>
          <w:rFonts w:ascii="Times New Roman" w:hAnsi="Times New Roman" w:cs="Times New Roman"/>
        </w:rPr>
      </w:pPr>
    </w:p>
    <w:p w14:paraId="1FAA58C1" w14:textId="77777777" w:rsidR="004F2800" w:rsidRDefault="004F2800" w:rsidP="006030A3">
      <w:pPr>
        <w:spacing w:line="480" w:lineRule="auto"/>
        <w:ind w:firstLine="720"/>
        <w:rPr>
          <w:rFonts w:ascii="Times New Roman" w:hAnsi="Times New Roman" w:cs="Times New Roman"/>
        </w:rPr>
      </w:pPr>
    </w:p>
    <w:p w14:paraId="7056A4B9" w14:textId="77777777" w:rsidR="004F2800" w:rsidRDefault="004F2800" w:rsidP="006030A3">
      <w:pPr>
        <w:spacing w:line="480" w:lineRule="auto"/>
        <w:ind w:firstLine="720"/>
        <w:rPr>
          <w:rFonts w:ascii="Times New Roman" w:hAnsi="Times New Roman" w:cs="Times New Roman"/>
        </w:rPr>
      </w:pPr>
    </w:p>
    <w:p w14:paraId="586CC1CF" w14:textId="651BA35A" w:rsidR="006030A3" w:rsidRDefault="006030A3" w:rsidP="006030A3">
      <w:pPr>
        <w:spacing w:line="480" w:lineRule="auto"/>
        <w:ind w:firstLine="720"/>
        <w:rPr>
          <w:rFonts w:ascii="Times New Roman" w:hAnsi="Times New Roman" w:cs="Times New Roman"/>
        </w:rPr>
      </w:pPr>
      <w:r>
        <w:rPr>
          <w:rFonts w:ascii="Times New Roman" w:hAnsi="Times New Roman" w:cs="Times New Roman"/>
        </w:rPr>
        <w:lastRenderedPageBreak/>
        <w:t xml:space="preserve">Examination of the joint test of significance for post-treatment periods found that the coefficients for the effect of treatment over the five periods following promise program adoption </w:t>
      </w:r>
      <w:r w:rsidR="00636FD8">
        <w:rPr>
          <w:rFonts w:ascii="Times New Roman" w:hAnsi="Times New Roman" w:cs="Times New Roman"/>
        </w:rPr>
        <w:t>were</w:t>
      </w:r>
      <w:r>
        <w:rPr>
          <w:rFonts w:ascii="Times New Roman" w:hAnsi="Times New Roman" w:cs="Times New Roman"/>
        </w:rPr>
        <w:t xml:space="preserve"> significant for the outcome variables of all awards, associates degrees, all credentials, and one-to-two-year credentials. However, less than one-year credentials were not jointly significant without a lag year despite each period being independently significantly different from zero. </w:t>
      </w:r>
    </w:p>
    <w:p w14:paraId="02177A9F" w14:textId="41ED3245" w:rsidR="00F76061" w:rsidRPr="0014271B" w:rsidRDefault="006030A3" w:rsidP="006030A3">
      <w:pPr>
        <w:spacing w:line="480" w:lineRule="auto"/>
        <w:ind w:firstLine="720"/>
        <w:rPr>
          <w:rFonts w:ascii="Times New Roman" w:hAnsi="Times New Roman" w:cs="Times New Roman"/>
        </w:rPr>
      </w:pPr>
      <w:r>
        <w:rPr>
          <w:rFonts w:ascii="Times New Roman" w:hAnsi="Times New Roman" w:cs="Times New Roman"/>
        </w:rPr>
        <w:t>Credentials that require</w:t>
      </w:r>
      <w:r w:rsidR="00B4373A">
        <w:rPr>
          <w:rFonts w:ascii="Times New Roman" w:hAnsi="Times New Roman" w:cs="Times New Roman"/>
        </w:rPr>
        <w:t>d</w:t>
      </w:r>
      <w:r>
        <w:rPr>
          <w:rFonts w:ascii="Times New Roman" w:hAnsi="Times New Roman" w:cs="Times New Roman"/>
        </w:rPr>
        <w:t xml:space="preserve"> less than one year to complete would be a group that naturally </w:t>
      </w:r>
      <w:r w:rsidR="00B4373A">
        <w:rPr>
          <w:rFonts w:ascii="Times New Roman" w:hAnsi="Times New Roman" w:cs="Times New Roman"/>
        </w:rPr>
        <w:t>made</w:t>
      </w:r>
      <w:r>
        <w:rPr>
          <w:rFonts w:ascii="Times New Roman" w:hAnsi="Times New Roman" w:cs="Times New Roman"/>
        </w:rPr>
        <w:t xml:space="preserve"> the most sense to not require a lag given that a student could enroll in and likely complete a shorter-term credential within the first year of adoption. However, I </w:t>
      </w:r>
      <w:r w:rsidR="00B4373A">
        <w:rPr>
          <w:rFonts w:ascii="Times New Roman" w:hAnsi="Times New Roman" w:cs="Times New Roman"/>
        </w:rPr>
        <w:t>did</w:t>
      </w:r>
      <w:r>
        <w:rPr>
          <w:rFonts w:ascii="Times New Roman" w:hAnsi="Times New Roman" w:cs="Times New Roman"/>
        </w:rPr>
        <w:t xml:space="preserve"> not believe the lack of a jointly significant difference from zero when </w:t>
      </w:r>
      <w:r w:rsidR="00636FD8">
        <w:rPr>
          <w:rFonts w:ascii="Times New Roman" w:hAnsi="Times New Roman" w:cs="Times New Roman"/>
        </w:rPr>
        <w:t>I examine</w:t>
      </w:r>
      <w:r w:rsidR="00B4373A">
        <w:rPr>
          <w:rFonts w:ascii="Times New Roman" w:hAnsi="Times New Roman" w:cs="Times New Roman"/>
        </w:rPr>
        <w:t>d</w:t>
      </w:r>
      <w:r w:rsidR="00636FD8">
        <w:rPr>
          <w:rFonts w:ascii="Times New Roman" w:hAnsi="Times New Roman" w:cs="Times New Roman"/>
        </w:rPr>
        <w:t xml:space="preserve"> for </w:t>
      </w:r>
      <w:r>
        <w:rPr>
          <w:rFonts w:ascii="Times New Roman" w:hAnsi="Times New Roman" w:cs="Times New Roman"/>
        </w:rPr>
        <w:t xml:space="preserve">no lag </w:t>
      </w:r>
      <w:r w:rsidR="001A5FE5">
        <w:rPr>
          <w:rFonts w:ascii="Times New Roman" w:hAnsi="Times New Roman" w:cs="Times New Roman"/>
        </w:rPr>
        <w:t>should be</w:t>
      </w:r>
      <w:r w:rsidRPr="006030A3">
        <w:rPr>
          <w:rFonts w:ascii="Times New Roman" w:hAnsi="Times New Roman" w:cs="Times New Roman"/>
        </w:rPr>
        <w:t xml:space="preserve"> </w:t>
      </w:r>
      <w:r>
        <w:rPr>
          <w:rFonts w:ascii="Times New Roman" w:hAnsi="Times New Roman" w:cs="Times New Roman"/>
        </w:rPr>
        <w:t xml:space="preserve">considered as problematic. This </w:t>
      </w:r>
      <w:r w:rsidR="00A8479C">
        <w:rPr>
          <w:rFonts w:ascii="Times New Roman" w:hAnsi="Times New Roman" w:cs="Times New Roman"/>
        </w:rPr>
        <w:t>was</w:t>
      </w:r>
      <w:r>
        <w:rPr>
          <w:rFonts w:ascii="Times New Roman" w:hAnsi="Times New Roman" w:cs="Times New Roman"/>
        </w:rPr>
        <w:t xml:space="preserve"> because students </w:t>
      </w:r>
      <w:r w:rsidR="00882C9A">
        <w:rPr>
          <w:rFonts w:ascii="Times New Roman" w:hAnsi="Times New Roman" w:cs="Times New Roman"/>
        </w:rPr>
        <w:t>who</w:t>
      </w:r>
      <w:r>
        <w:rPr>
          <w:rFonts w:ascii="Times New Roman" w:hAnsi="Times New Roman" w:cs="Times New Roman"/>
        </w:rPr>
        <w:t xml:space="preserve"> enroll in these short-term programs are historically from low-income and other underrepresented groups</w:t>
      </w:r>
      <w:r w:rsidR="00882C9A" w:rsidRPr="00882C9A">
        <w:rPr>
          <w:rFonts w:ascii="Times New Roman" w:hAnsi="Times New Roman" w:cs="Times New Roman"/>
        </w:rPr>
        <w:t xml:space="preserve"> </w:t>
      </w:r>
      <w:sdt>
        <w:sdtPr>
          <w:rPr>
            <w:rFonts w:ascii="Times New Roman" w:hAnsi="Times New Roman" w:cs="Times New Roman"/>
          </w:rPr>
          <w:id w:val="1466926885"/>
          <w:citation/>
        </w:sdtPr>
        <w:sdtContent>
          <w:r w:rsidR="00882C9A">
            <w:rPr>
              <w:rFonts w:ascii="Times New Roman" w:hAnsi="Times New Roman" w:cs="Times New Roman"/>
            </w:rPr>
            <w:fldChar w:fldCharType="begin"/>
          </w:r>
          <w:r w:rsidR="00882C9A">
            <w:rPr>
              <w:rFonts w:ascii="Times New Roman" w:hAnsi="Times New Roman" w:cs="Times New Roman"/>
            </w:rPr>
            <w:instrText xml:space="preserve"> CITATION Car181 \l 1033  \m Mar05</w:instrText>
          </w:r>
          <w:r w:rsidR="00882C9A">
            <w:rPr>
              <w:rFonts w:ascii="Times New Roman" w:hAnsi="Times New Roman" w:cs="Times New Roman"/>
            </w:rPr>
            <w:fldChar w:fldCharType="separate"/>
          </w:r>
          <w:r w:rsidR="00A10468" w:rsidRPr="00A10468">
            <w:rPr>
              <w:rFonts w:ascii="Times New Roman" w:hAnsi="Times New Roman" w:cs="Times New Roman"/>
              <w:noProof/>
            </w:rPr>
            <w:t>(Carnevale, Van Der Werf, Quinn, Strohl, &amp; Repnikov, 2018; Marcotte, Bailey, Borkoski, &amp; Kienzl, 2005)</w:t>
          </w:r>
          <w:r w:rsidR="00882C9A">
            <w:rPr>
              <w:rFonts w:ascii="Times New Roman" w:hAnsi="Times New Roman" w:cs="Times New Roman"/>
            </w:rPr>
            <w:fldChar w:fldCharType="end"/>
          </w:r>
        </w:sdtContent>
      </w:sdt>
      <w:r w:rsidR="00882C9A">
        <w:rPr>
          <w:rFonts w:ascii="Times New Roman" w:hAnsi="Times New Roman" w:cs="Times New Roman"/>
        </w:rPr>
        <w:t>.</w:t>
      </w:r>
    </w:p>
    <w:p w14:paraId="3C720C48" w14:textId="4B994797" w:rsidR="00243FB3" w:rsidRDefault="00243FB3" w:rsidP="00D911B9">
      <w:pPr>
        <w:spacing w:line="480" w:lineRule="auto"/>
        <w:rPr>
          <w:rFonts w:ascii="Times New Roman" w:hAnsi="Times New Roman" w:cs="Times New Roman"/>
        </w:rPr>
      </w:pPr>
      <w:r>
        <w:rPr>
          <w:rFonts w:ascii="Times New Roman" w:hAnsi="Times New Roman" w:cs="Times New Roman"/>
        </w:rPr>
        <w:tab/>
      </w:r>
      <w:r w:rsidR="00A87439">
        <w:rPr>
          <w:rFonts w:ascii="Times New Roman" w:hAnsi="Times New Roman" w:cs="Times New Roman"/>
        </w:rPr>
        <w:t>I</w:t>
      </w:r>
      <w:r w:rsidR="005D3F7B">
        <w:rPr>
          <w:rFonts w:ascii="Times New Roman" w:hAnsi="Times New Roman" w:cs="Times New Roman"/>
        </w:rPr>
        <w:t xml:space="preserve"> adopt</w:t>
      </w:r>
      <w:r w:rsidR="00A8479C">
        <w:rPr>
          <w:rFonts w:ascii="Times New Roman" w:hAnsi="Times New Roman" w:cs="Times New Roman"/>
        </w:rPr>
        <w:t xml:space="preserve">ed </w:t>
      </w:r>
      <w:r w:rsidR="005D3F7B">
        <w:rPr>
          <w:rFonts w:ascii="Times New Roman" w:hAnsi="Times New Roman" w:cs="Times New Roman"/>
        </w:rPr>
        <w:t>the following strategy for interpreting significant post-treatment coefficients. For all awards, I consider</w:t>
      </w:r>
      <w:r w:rsidR="00A8479C">
        <w:rPr>
          <w:rFonts w:ascii="Times New Roman" w:hAnsi="Times New Roman" w:cs="Times New Roman"/>
        </w:rPr>
        <w:t>ed</w:t>
      </w:r>
      <w:r w:rsidR="005D3F7B">
        <w:rPr>
          <w:rFonts w:ascii="Times New Roman" w:hAnsi="Times New Roman" w:cs="Times New Roman"/>
        </w:rPr>
        <w:t xml:space="preserve"> </w:t>
      </w:r>
      <w:r w:rsidR="00C34621">
        <w:rPr>
          <w:rFonts w:ascii="Times New Roman" w:hAnsi="Times New Roman" w:cs="Times New Roman"/>
        </w:rPr>
        <w:t xml:space="preserve">the lagged </w:t>
      </w:r>
      <w:r w:rsidR="00832BE9">
        <w:rPr>
          <w:rFonts w:ascii="Times New Roman" w:hAnsi="Times New Roman" w:cs="Times New Roman"/>
        </w:rPr>
        <w:t>coefficients</w:t>
      </w:r>
      <w:r w:rsidR="00C34621">
        <w:rPr>
          <w:rFonts w:ascii="Times New Roman" w:hAnsi="Times New Roman" w:cs="Times New Roman"/>
        </w:rPr>
        <w:t xml:space="preserve"> </w:t>
      </w:r>
      <w:r w:rsidR="00832BE9">
        <w:rPr>
          <w:rFonts w:ascii="Times New Roman" w:hAnsi="Times New Roman" w:cs="Times New Roman"/>
        </w:rPr>
        <w:t xml:space="preserve">following </w:t>
      </w:r>
      <w:r w:rsidR="002E6D39">
        <w:rPr>
          <w:rFonts w:ascii="Times New Roman" w:hAnsi="Times New Roman" w:cs="Times New Roman"/>
        </w:rPr>
        <w:t>one</w:t>
      </w:r>
      <w:r w:rsidR="00832BE9">
        <w:rPr>
          <w:rFonts w:ascii="Times New Roman" w:hAnsi="Times New Roman" w:cs="Times New Roman"/>
        </w:rPr>
        <w:t xml:space="preserve"> and </w:t>
      </w:r>
      <w:r w:rsidR="002E6D39">
        <w:rPr>
          <w:rFonts w:ascii="Times New Roman" w:hAnsi="Times New Roman" w:cs="Times New Roman"/>
        </w:rPr>
        <w:t>two</w:t>
      </w:r>
      <w:r w:rsidR="00832BE9">
        <w:rPr>
          <w:rFonts w:ascii="Times New Roman" w:hAnsi="Times New Roman" w:cs="Times New Roman"/>
        </w:rPr>
        <w:t xml:space="preserve"> years after adoption</w:t>
      </w:r>
      <w:r w:rsidR="00C34621">
        <w:rPr>
          <w:rFonts w:ascii="Times New Roman" w:hAnsi="Times New Roman" w:cs="Times New Roman"/>
        </w:rPr>
        <w:t xml:space="preserve"> as potentially informative about post-treatment effects. For associates degrees, I only consider</w:t>
      </w:r>
      <w:r w:rsidR="00A8479C">
        <w:rPr>
          <w:rFonts w:ascii="Times New Roman" w:hAnsi="Times New Roman" w:cs="Times New Roman"/>
        </w:rPr>
        <w:t>ed</w:t>
      </w:r>
      <w:r w:rsidR="00C34621">
        <w:rPr>
          <w:rFonts w:ascii="Times New Roman" w:hAnsi="Times New Roman" w:cs="Times New Roman"/>
        </w:rPr>
        <w:t xml:space="preserve"> the coefficients from the third post-treatment period </w:t>
      </w:r>
      <w:r w:rsidR="000E753C">
        <w:rPr>
          <w:rFonts w:ascii="Times New Roman" w:hAnsi="Times New Roman" w:cs="Times New Roman"/>
        </w:rPr>
        <w:t>onward</w:t>
      </w:r>
      <w:r w:rsidR="00C34621">
        <w:rPr>
          <w:rFonts w:ascii="Times New Roman" w:hAnsi="Times New Roman" w:cs="Times New Roman"/>
        </w:rPr>
        <w:t xml:space="preserve"> as informative about post-treatment effects. For credentials, I only </w:t>
      </w:r>
      <w:r w:rsidR="00832BE9">
        <w:rPr>
          <w:rFonts w:ascii="Times New Roman" w:hAnsi="Times New Roman" w:cs="Times New Roman"/>
        </w:rPr>
        <w:t>consider</w:t>
      </w:r>
      <w:r w:rsidR="00A8479C">
        <w:rPr>
          <w:rFonts w:ascii="Times New Roman" w:hAnsi="Times New Roman" w:cs="Times New Roman"/>
        </w:rPr>
        <w:t xml:space="preserve">ed </w:t>
      </w:r>
      <w:r w:rsidR="00832BE9">
        <w:rPr>
          <w:rFonts w:ascii="Times New Roman" w:hAnsi="Times New Roman" w:cs="Times New Roman"/>
        </w:rPr>
        <w:t xml:space="preserve">coefficients from </w:t>
      </w:r>
      <w:r w:rsidR="00870D1D">
        <w:rPr>
          <w:rFonts w:ascii="Times New Roman" w:hAnsi="Times New Roman" w:cs="Times New Roman"/>
        </w:rPr>
        <w:t xml:space="preserve">the second post-treatment period and on as informative about post-treatment effects. </w:t>
      </w:r>
    </w:p>
    <w:p w14:paraId="1286AA0A" w14:textId="6E747DB4" w:rsidR="00870D1D" w:rsidRDefault="00870D1D" w:rsidP="004F2800">
      <w:pPr>
        <w:spacing w:line="480" w:lineRule="auto"/>
        <w:rPr>
          <w:rFonts w:ascii="Times New Roman" w:hAnsi="Times New Roman" w:cs="Times New Roman"/>
        </w:rPr>
      </w:pPr>
      <w:r>
        <w:rPr>
          <w:rFonts w:ascii="Times New Roman" w:hAnsi="Times New Roman" w:cs="Times New Roman"/>
        </w:rPr>
        <w:lastRenderedPageBreak/>
        <w:tab/>
        <w:t>With these lags in mind and evidence of significant findings, I identif</w:t>
      </w:r>
      <w:r w:rsidR="009349D5">
        <w:rPr>
          <w:rFonts w:ascii="Times New Roman" w:hAnsi="Times New Roman" w:cs="Times New Roman"/>
        </w:rPr>
        <w:t>ied</w:t>
      </w:r>
      <w:r>
        <w:rPr>
          <w:rFonts w:ascii="Times New Roman" w:hAnsi="Times New Roman" w:cs="Times New Roman"/>
        </w:rPr>
        <w:t xml:space="preserve"> </w:t>
      </w:r>
      <w:r w:rsidR="002E3A48">
        <w:rPr>
          <w:rFonts w:ascii="Times New Roman" w:hAnsi="Times New Roman" w:cs="Times New Roman"/>
        </w:rPr>
        <w:t xml:space="preserve">a positive </w:t>
      </w:r>
      <w:r w:rsidR="005327C7">
        <w:rPr>
          <w:rFonts w:ascii="Times New Roman" w:hAnsi="Times New Roman" w:cs="Times New Roman"/>
        </w:rPr>
        <w:t xml:space="preserve">2.3% - 8.6% </w:t>
      </w:r>
      <w:r w:rsidR="002E3A48">
        <w:rPr>
          <w:rFonts w:ascii="Times New Roman" w:hAnsi="Times New Roman" w:cs="Times New Roman"/>
        </w:rPr>
        <w:t>increase in the number of sub-baccalaureate awards produced by treated college</w:t>
      </w:r>
      <w:r w:rsidR="005327C7">
        <w:rPr>
          <w:rFonts w:ascii="Times New Roman" w:hAnsi="Times New Roman" w:cs="Times New Roman"/>
        </w:rPr>
        <w:t>s when compared to colleges without promise programs</w:t>
      </w:r>
      <w:r w:rsidR="00B73FDF">
        <w:rPr>
          <w:rFonts w:ascii="Times New Roman" w:hAnsi="Times New Roman" w:cs="Times New Roman"/>
        </w:rPr>
        <w:t xml:space="preserve"> depending on the period after treatment examined</w:t>
      </w:r>
      <w:r w:rsidR="005327C7">
        <w:rPr>
          <w:rFonts w:ascii="Times New Roman" w:hAnsi="Times New Roman" w:cs="Times New Roman"/>
        </w:rPr>
        <w:t xml:space="preserve">. </w:t>
      </w:r>
      <w:r w:rsidR="006A3521">
        <w:rPr>
          <w:rFonts w:ascii="Times New Roman" w:hAnsi="Times New Roman" w:cs="Times New Roman"/>
        </w:rPr>
        <w:t xml:space="preserve">For associates degrees only, this </w:t>
      </w:r>
      <w:r w:rsidR="00B73FDF">
        <w:rPr>
          <w:rFonts w:ascii="Times New Roman" w:hAnsi="Times New Roman" w:cs="Times New Roman"/>
        </w:rPr>
        <w:t xml:space="preserve">increase </w:t>
      </w:r>
      <w:r w:rsidR="002E45F3">
        <w:rPr>
          <w:rFonts w:ascii="Times New Roman" w:hAnsi="Times New Roman" w:cs="Times New Roman"/>
        </w:rPr>
        <w:t xml:space="preserve">in completions </w:t>
      </w:r>
      <w:r w:rsidR="00B73FDF">
        <w:rPr>
          <w:rFonts w:ascii="Times New Roman" w:hAnsi="Times New Roman" w:cs="Times New Roman"/>
        </w:rPr>
        <w:t>range</w:t>
      </w:r>
      <w:r w:rsidR="009349D5">
        <w:rPr>
          <w:rFonts w:ascii="Times New Roman" w:hAnsi="Times New Roman" w:cs="Times New Roman"/>
        </w:rPr>
        <w:t>d</w:t>
      </w:r>
      <w:r w:rsidR="00B73FDF">
        <w:rPr>
          <w:rFonts w:ascii="Times New Roman" w:hAnsi="Times New Roman" w:cs="Times New Roman"/>
        </w:rPr>
        <w:t xml:space="preserve"> from about 1</w:t>
      </w:r>
      <w:r w:rsidR="002409AD">
        <w:rPr>
          <w:rFonts w:ascii="Times New Roman" w:hAnsi="Times New Roman" w:cs="Times New Roman"/>
        </w:rPr>
        <w:t>.0</w:t>
      </w:r>
      <w:r w:rsidR="00B73FDF">
        <w:rPr>
          <w:rFonts w:ascii="Times New Roman" w:hAnsi="Times New Roman" w:cs="Times New Roman"/>
        </w:rPr>
        <w:t xml:space="preserve">% - 7.2%. </w:t>
      </w:r>
      <w:r w:rsidR="007372EA">
        <w:rPr>
          <w:rFonts w:ascii="Times New Roman" w:hAnsi="Times New Roman" w:cs="Times New Roman"/>
        </w:rPr>
        <w:t>These wide gaps</w:t>
      </w:r>
      <w:r w:rsidR="0093073B">
        <w:rPr>
          <w:rFonts w:ascii="Times New Roman" w:hAnsi="Times New Roman" w:cs="Times New Roman"/>
        </w:rPr>
        <w:t xml:space="preserve"> in treatment effect </w:t>
      </w:r>
      <w:r w:rsidR="001452BB">
        <w:rPr>
          <w:rFonts w:ascii="Times New Roman" w:hAnsi="Times New Roman" w:cs="Times New Roman"/>
        </w:rPr>
        <w:t>offer</w:t>
      </w:r>
      <w:r w:rsidR="009349D5">
        <w:rPr>
          <w:rFonts w:ascii="Times New Roman" w:hAnsi="Times New Roman" w:cs="Times New Roman"/>
        </w:rPr>
        <w:t>ed</w:t>
      </w:r>
      <w:r w:rsidR="001452BB">
        <w:rPr>
          <w:rFonts w:ascii="Times New Roman" w:hAnsi="Times New Roman" w:cs="Times New Roman"/>
        </w:rPr>
        <w:t xml:space="preserve"> some potential insight </w:t>
      </w:r>
      <w:r w:rsidR="00A517D7">
        <w:rPr>
          <w:rFonts w:ascii="Times New Roman" w:hAnsi="Times New Roman" w:cs="Times New Roman"/>
        </w:rPr>
        <w:t xml:space="preserve">into </w:t>
      </w:r>
      <w:r w:rsidR="001452BB">
        <w:rPr>
          <w:rFonts w:ascii="Times New Roman" w:hAnsi="Times New Roman" w:cs="Times New Roman"/>
        </w:rPr>
        <w:t>the effect of these programs for increasing awards overall and associates degrees awarded. As the periods progress</w:t>
      </w:r>
      <w:r w:rsidR="006E5513">
        <w:rPr>
          <w:rFonts w:ascii="Times New Roman" w:hAnsi="Times New Roman" w:cs="Times New Roman"/>
        </w:rPr>
        <w:t>ed</w:t>
      </w:r>
      <w:r w:rsidR="001452BB">
        <w:rPr>
          <w:rFonts w:ascii="Times New Roman" w:hAnsi="Times New Roman" w:cs="Times New Roman"/>
        </w:rPr>
        <w:t>, toward five years following adoption, the coefficient increase</w:t>
      </w:r>
      <w:r w:rsidR="009349D5">
        <w:rPr>
          <w:rFonts w:ascii="Times New Roman" w:hAnsi="Times New Roman" w:cs="Times New Roman"/>
        </w:rPr>
        <w:t>d</w:t>
      </w:r>
      <w:r w:rsidR="006E1487">
        <w:rPr>
          <w:rFonts w:ascii="Times New Roman" w:hAnsi="Times New Roman" w:cs="Times New Roman"/>
        </w:rPr>
        <w:t xml:space="preserve">. While this study </w:t>
      </w:r>
      <w:r w:rsidR="009349D5">
        <w:rPr>
          <w:rFonts w:ascii="Times New Roman" w:hAnsi="Times New Roman" w:cs="Times New Roman"/>
        </w:rPr>
        <w:t xml:space="preserve">was </w:t>
      </w:r>
      <w:r w:rsidR="006E1487">
        <w:rPr>
          <w:rFonts w:ascii="Times New Roman" w:hAnsi="Times New Roman" w:cs="Times New Roman"/>
        </w:rPr>
        <w:t>not set up to examine why this increase may occur</w:t>
      </w:r>
      <w:r w:rsidR="00FE6114">
        <w:rPr>
          <w:rFonts w:ascii="Times New Roman" w:hAnsi="Times New Roman" w:cs="Times New Roman"/>
        </w:rPr>
        <w:t>,</w:t>
      </w:r>
      <w:r w:rsidR="006E1487">
        <w:rPr>
          <w:rFonts w:ascii="Times New Roman" w:hAnsi="Times New Roman" w:cs="Times New Roman"/>
        </w:rPr>
        <w:t xml:space="preserve"> there are a variety of potential reasons such as </w:t>
      </w:r>
      <w:r w:rsidR="00EF505B">
        <w:rPr>
          <w:rFonts w:ascii="Times New Roman" w:hAnsi="Times New Roman" w:cs="Times New Roman"/>
        </w:rPr>
        <w:t>increase</w:t>
      </w:r>
      <w:r w:rsidR="00AF46EA">
        <w:rPr>
          <w:rFonts w:ascii="Times New Roman" w:hAnsi="Times New Roman" w:cs="Times New Roman"/>
        </w:rPr>
        <w:t>d</w:t>
      </w:r>
      <w:r w:rsidR="00EF505B">
        <w:rPr>
          <w:rFonts w:ascii="Times New Roman" w:hAnsi="Times New Roman" w:cs="Times New Roman"/>
        </w:rPr>
        <w:t xml:space="preserve"> awareness of the program leading to more participation</w:t>
      </w:r>
      <w:r w:rsidR="00FE6114">
        <w:rPr>
          <w:rFonts w:ascii="Times New Roman" w:hAnsi="Times New Roman" w:cs="Times New Roman"/>
        </w:rPr>
        <w:t xml:space="preserve"> </w:t>
      </w:r>
      <w:r w:rsidR="00860E86">
        <w:rPr>
          <w:rFonts w:ascii="Times New Roman" w:hAnsi="Times New Roman" w:cs="Times New Roman"/>
        </w:rPr>
        <w:t>and</w:t>
      </w:r>
      <w:r w:rsidR="00FE6114">
        <w:rPr>
          <w:rFonts w:ascii="Times New Roman" w:hAnsi="Times New Roman" w:cs="Times New Roman"/>
        </w:rPr>
        <w:t xml:space="preserve"> students making different decisions regarding </w:t>
      </w:r>
      <w:r w:rsidR="0045394E">
        <w:rPr>
          <w:rFonts w:ascii="Times New Roman" w:hAnsi="Times New Roman" w:cs="Times New Roman"/>
        </w:rPr>
        <w:t xml:space="preserve">their </w:t>
      </w:r>
      <w:r w:rsidR="00FE6114">
        <w:rPr>
          <w:rFonts w:ascii="Times New Roman" w:hAnsi="Times New Roman" w:cs="Times New Roman"/>
        </w:rPr>
        <w:t>postsecondary enrollment</w:t>
      </w:r>
      <w:r w:rsidR="0045394E">
        <w:rPr>
          <w:rFonts w:ascii="Times New Roman" w:hAnsi="Times New Roman" w:cs="Times New Roman"/>
        </w:rPr>
        <w:t xml:space="preserve"> in light of new information</w:t>
      </w:r>
      <w:r w:rsidR="00860E86">
        <w:rPr>
          <w:rFonts w:ascii="Times New Roman" w:hAnsi="Times New Roman" w:cs="Times New Roman"/>
        </w:rPr>
        <w:t xml:space="preserve"> or </w:t>
      </w:r>
      <w:r w:rsidR="00675736">
        <w:rPr>
          <w:rFonts w:ascii="Times New Roman" w:hAnsi="Times New Roman" w:cs="Times New Roman"/>
        </w:rPr>
        <w:t>students that taking longer than expected to complete their program graduating</w:t>
      </w:r>
      <w:r w:rsidR="00FE6114">
        <w:rPr>
          <w:rFonts w:ascii="Times New Roman" w:hAnsi="Times New Roman" w:cs="Times New Roman"/>
        </w:rPr>
        <w:t xml:space="preserve">. </w:t>
      </w:r>
    </w:p>
    <w:p w14:paraId="27624B4C" w14:textId="06C01EC0" w:rsidR="00C878F6" w:rsidRDefault="00C878F6" w:rsidP="004F2800">
      <w:pPr>
        <w:spacing w:line="480" w:lineRule="auto"/>
        <w:rPr>
          <w:rFonts w:ascii="Times New Roman" w:hAnsi="Times New Roman" w:cs="Times New Roman"/>
        </w:rPr>
      </w:pPr>
      <w:r>
        <w:rPr>
          <w:rFonts w:ascii="Times New Roman" w:hAnsi="Times New Roman" w:cs="Times New Roman"/>
        </w:rPr>
        <w:tab/>
        <w:t>As for credentials</w:t>
      </w:r>
      <w:r w:rsidR="002409AD">
        <w:rPr>
          <w:rFonts w:ascii="Times New Roman" w:hAnsi="Times New Roman" w:cs="Times New Roman"/>
        </w:rPr>
        <w:t xml:space="preserve">, the number of all credentials awarded increased 8.0% - </w:t>
      </w:r>
      <w:r w:rsidR="00527038">
        <w:rPr>
          <w:rFonts w:ascii="Times New Roman" w:hAnsi="Times New Roman" w:cs="Times New Roman"/>
        </w:rPr>
        <w:t xml:space="preserve">21.1%. However, unlike </w:t>
      </w:r>
      <w:r w:rsidR="00F677F2">
        <w:rPr>
          <w:rFonts w:ascii="Times New Roman" w:hAnsi="Times New Roman" w:cs="Times New Roman"/>
        </w:rPr>
        <w:t xml:space="preserve">associates degrees or all awards, this increase was not consistently rising throughout the post-treatment period. After </w:t>
      </w:r>
      <w:r w:rsidR="00B71A3C">
        <w:rPr>
          <w:rFonts w:ascii="Times New Roman" w:hAnsi="Times New Roman" w:cs="Times New Roman"/>
        </w:rPr>
        <w:t xml:space="preserve">the third post-treatment period, the coefficient decreased to around 10% for the remainder of the periods. </w:t>
      </w:r>
      <w:r w:rsidR="00325E4D">
        <w:rPr>
          <w:rFonts w:ascii="Times New Roman" w:hAnsi="Times New Roman" w:cs="Times New Roman"/>
        </w:rPr>
        <w:t xml:space="preserve">Meanwhile, </w:t>
      </w:r>
      <w:r w:rsidR="00945ED0">
        <w:rPr>
          <w:rFonts w:ascii="Times New Roman" w:hAnsi="Times New Roman" w:cs="Times New Roman"/>
        </w:rPr>
        <w:t xml:space="preserve">because </w:t>
      </w:r>
      <w:r w:rsidR="00325E4D">
        <w:rPr>
          <w:rFonts w:ascii="Times New Roman" w:hAnsi="Times New Roman" w:cs="Times New Roman"/>
        </w:rPr>
        <w:t>I d</w:t>
      </w:r>
      <w:r w:rsidR="009349D5">
        <w:rPr>
          <w:rFonts w:ascii="Times New Roman" w:hAnsi="Times New Roman" w:cs="Times New Roman"/>
        </w:rPr>
        <w:t>id</w:t>
      </w:r>
      <w:r w:rsidR="00325E4D">
        <w:rPr>
          <w:rFonts w:ascii="Times New Roman" w:hAnsi="Times New Roman" w:cs="Times New Roman"/>
        </w:rPr>
        <w:t xml:space="preserve"> not find evidence of a consistent </w:t>
      </w:r>
      <w:r w:rsidR="00945ED0">
        <w:rPr>
          <w:rFonts w:ascii="Times New Roman" w:hAnsi="Times New Roman" w:cs="Times New Roman"/>
        </w:rPr>
        <w:t xml:space="preserve">significant change in the number of </w:t>
      </w:r>
      <w:r w:rsidR="004727EB">
        <w:rPr>
          <w:rFonts w:ascii="Times New Roman" w:hAnsi="Times New Roman" w:cs="Times New Roman"/>
        </w:rPr>
        <w:t xml:space="preserve">awards from one-to-two-year length credential programs, I cannot confidently say free college programs </w:t>
      </w:r>
      <w:r w:rsidR="00FF4286">
        <w:rPr>
          <w:rFonts w:ascii="Times New Roman" w:hAnsi="Times New Roman" w:cs="Times New Roman"/>
        </w:rPr>
        <w:t xml:space="preserve">significantly increased this subsection of credentials. As for short-term credentials that take less than one year to complete, I found evidence </w:t>
      </w:r>
      <w:r w:rsidR="0045394E">
        <w:rPr>
          <w:rFonts w:ascii="Times New Roman" w:hAnsi="Times New Roman" w:cs="Times New Roman"/>
        </w:rPr>
        <w:t xml:space="preserve">of </w:t>
      </w:r>
      <w:r w:rsidR="001749C9">
        <w:rPr>
          <w:rFonts w:ascii="Times New Roman" w:hAnsi="Times New Roman" w:cs="Times New Roman"/>
        </w:rPr>
        <w:t xml:space="preserve">an </w:t>
      </w:r>
      <w:r w:rsidR="003C033F">
        <w:rPr>
          <w:rFonts w:ascii="Times New Roman" w:hAnsi="Times New Roman" w:cs="Times New Roman"/>
        </w:rPr>
        <w:t>increased number of credentials awarded by 8.3% - 11.1%</w:t>
      </w:r>
      <w:r w:rsidR="00FF4286">
        <w:rPr>
          <w:rFonts w:ascii="Times New Roman" w:hAnsi="Times New Roman" w:cs="Times New Roman"/>
        </w:rPr>
        <w:t xml:space="preserve"> </w:t>
      </w:r>
      <w:r w:rsidR="00ED0411">
        <w:rPr>
          <w:rFonts w:ascii="Times New Roman" w:hAnsi="Times New Roman" w:cs="Times New Roman"/>
        </w:rPr>
        <w:t xml:space="preserve"> that reach</w:t>
      </w:r>
      <w:r w:rsidR="009349D5">
        <w:rPr>
          <w:rFonts w:ascii="Times New Roman" w:hAnsi="Times New Roman" w:cs="Times New Roman"/>
        </w:rPr>
        <w:t>ed</w:t>
      </w:r>
      <w:r w:rsidR="00B11EE3">
        <w:rPr>
          <w:rFonts w:ascii="Times New Roman" w:hAnsi="Times New Roman" w:cs="Times New Roman"/>
        </w:rPr>
        <w:t xml:space="preserve"> a peak during the third period before falling to 9.4% and 10.2% in the final periods. </w:t>
      </w:r>
    </w:p>
    <w:p w14:paraId="436C84D6" w14:textId="5E97606F" w:rsidR="00385110" w:rsidRPr="00D911B9" w:rsidRDefault="00385110" w:rsidP="004F2800">
      <w:pPr>
        <w:spacing w:line="480" w:lineRule="auto"/>
        <w:rPr>
          <w:rFonts w:ascii="Times New Roman" w:hAnsi="Times New Roman" w:cs="Times New Roman"/>
        </w:rPr>
      </w:pPr>
      <w:r>
        <w:rPr>
          <w:rFonts w:ascii="Times New Roman" w:hAnsi="Times New Roman" w:cs="Times New Roman"/>
        </w:rPr>
        <w:lastRenderedPageBreak/>
        <w:tab/>
      </w:r>
      <w:r w:rsidR="000749ED">
        <w:rPr>
          <w:rFonts w:ascii="Times New Roman" w:hAnsi="Times New Roman" w:cs="Times New Roman"/>
        </w:rPr>
        <w:t xml:space="preserve">These increases </w:t>
      </w:r>
      <w:r w:rsidR="00084AA0">
        <w:rPr>
          <w:rFonts w:ascii="Times New Roman" w:hAnsi="Times New Roman" w:cs="Times New Roman"/>
        </w:rPr>
        <w:t>provided</w:t>
      </w:r>
      <w:r w:rsidR="000749ED">
        <w:rPr>
          <w:rFonts w:ascii="Times New Roman" w:hAnsi="Times New Roman" w:cs="Times New Roman"/>
        </w:rPr>
        <w:t xml:space="preserve"> evidence that free college programs can increase the number of graduates at the sub-baccalaureate level. </w:t>
      </w:r>
      <w:r w:rsidR="00F23916">
        <w:rPr>
          <w:rFonts w:ascii="Times New Roman" w:hAnsi="Times New Roman" w:cs="Times New Roman"/>
        </w:rPr>
        <w:t xml:space="preserve">Further, increases at the associates, credential level, and overall levels </w:t>
      </w:r>
      <w:r w:rsidR="00084AA0">
        <w:rPr>
          <w:rFonts w:ascii="Times New Roman" w:hAnsi="Times New Roman" w:cs="Times New Roman"/>
        </w:rPr>
        <w:t>were</w:t>
      </w:r>
      <w:r w:rsidR="00F23916">
        <w:rPr>
          <w:rFonts w:ascii="Times New Roman" w:hAnsi="Times New Roman" w:cs="Times New Roman"/>
        </w:rPr>
        <w:t xml:space="preserve"> a surprisingly optimistic finding that </w:t>
      </w:r>
      <w:r w:rsidR="00E32ECC">
        <w:rPr>
          <w:rFonts w:ascii="Times New Roman" w:hAnsi="Times New Roman" w:cs="Times New Roman"/>
        </w:rPr>
        <w:t>suggest</w:t>
      </w:r>
      <w:r w:rsidR="00BA417D">
        <w:rPr>
          <w:rFonts w:ascii="Times New Roman" w:hAnsi="Times New Roman" w:cs="Times New Roman"/>
        </w:rPr>
        <w:t xml:space="preserve">ed </w:t>
      </w:r>
      <w:r w:rsidR="00E32ECC">
        <w:rPr>
          <w:rFonts w:ascii="Times New Roman" w:hAnsi="Times New Roman" w:cs="Times New Roman"/>
        </w:rPr>
        <w:t xml:space="preserve">that it is possible that the change in number of </w:t>
      </w:r>
      <w:r w:rsidR="00BD7207">
        <w:rPr>
          <w:rFonts w:ascii="Times New Roman" w:hAnsi="Times New Roman" w:cs="Times New Roman"/>
        </w:rPr>
        <w:t xml:space="preserve">associates </w:t>
      </w:r>
      <w:r w:rsidR="00E32ECC">
        <w:rPr>
          <w:rFonts w:ascii="Times New Roman" w:hAnsi="Times New Roman" w:cs="Times New Roman"/>
        </w:rPr>
        <w:t xml:space="preserve">degrees awarded </w:t>
      </w:r>
      <w:r w:rsidR="00BA417D">
        <w:rPr>
          <w:rFonts w:ascii="Times New Roman" w:hAnsi="Times New Roman" w:cs="Times New Roman"/>
        </w:rPr>
        <w:t>was</w:t>
      </w:r>
      <w:r w:rsidR="00E32ECC">
        <w:rPr>
          <w:rFonts w:ascii="Times New Roman" w:hAnsi="Times New Roman" w:cs="Times New Roman"/>
        </w:rPr>
        <w:t xml:space="preserve"> not only driven by students substituting shorter term credentials for </w:t>
      </w:r>
      <w:r w:rsidR="002D1FB9">
        <w:rPr>
          <w:rFonts w:ascii="Times New Roman" w:hAnsi="Times New Roman" w:cs="Times New Roman"/>
        </w:rPr>
        <w:t xml:space="preserve">associates degrees that take longer to earn. </w:t>
      </w:r>
      <w:r w:rsidR="00865DE2">
        <w:rPr>
          <w:rFonts w:ascii="Times New Roman" w:hAnsi="Times New Roman" w:cs="Times New Roman"/>
        </w:rPr>
        <w:t>Instead</w:t>
      </w:r>
      <w:r w:rsidR="0073492E">
        <w:rPr>
          <w:rFonts w:ascii="Times New Roman" w:hAnsi="Times New Roman" w:cs="Times New Roman"/>
        </w:rPr>
        <w:t>, t</w:t>
      </w:r>
      <w:r w:rsidR="002D1FB9">
        <w:rPr>
          <w:rFonts w:ascii="Times New Roman" w:hAnsi="Times New Roman" w:cs="Times New Roman"/>
        </w:rPr>
        <w:t xml:space="preserve">his lack of </w:t>
      </w:r>
      <w:r w:rsidR="0073492E">
        <w:rPr>
          <w:rFonts w:ascii="Times New Roman" w:hAnsi="Times New Roman" w:cs="Times New Roman"/>
        </w:rPr>
        <w:t xml:space="preserve">an overall </w:t>
      </w:r>
      <w:r w:rsidR="002D1FB9">
        <w:rPr>
          <w:rFonts w:ascii="Times New Roman" w:hAnsi="Times New Roman" w:cs="Times New Roman"/>
        </w:rPr>
        <w:t xml:space="preserve">decrease </w:t>
      </w:r>
      <w:r w:rsidR="00BA539A">
        <w:rPr>
          <w:rFonts w:ascii="Times New Roman" w:hAnsi="Times New Roman" w:cs="Times New Roman"/>
        </w:rPr>
        <w:t xml:space="preserve">to shorter term </w:t>
      </w:r>
      <w:r w:rsidR="00865DE2">
        <w:rPr>
          <w:rFonts w:ascii="Times New Roman" w:hAnsi="Times New Roman" w:cs="Times New Roman"/>
        </w:rPr>
        <w:t>credentials</w:t>
      </w:r>
      <w:r w:rsidR="00BA539A">
        <w:rPr>
          <w:rFonts w:ascii="Times New Roman" w:hAnsi="Times New Roman" w:cs="Times New Roman"/>
        </w:rPr>
        <w:t xml:space="preserve"> when institutions offer free college programs </w:t>
      </w:r>
      <w:r w:rsidR="00940CE3">
        <w:rPr>
          <w:rFonts w:ascii="Times New Roman" w:hAnsi="Times New Roman" w:cs="Times New Roman"/>
        </w:rPr>
        <w:t xml:space="preserve">points toward the potential that not only more students are completing </w:t>
      </w:r>
      <w:r w:rsidR="00A22447">
        <w:rPr>
          <w:rFonts w:ascii="Times New Roman" w:hAnsi="Times New Roman" w:cs="Times New Roman"/>
        </w:rPr>
        <w:t xml:space="preserve">a sub-baccalaureate </w:t>
      </w:r>
      <w:r w:rsidR="00940CE3">
        <w:rPr>
          <w:rFonts w:ascii="Times New Roman" w:hAnsi="Times New Roman" w:cs="Times New Roman"/>
        </w:rPr>
        <w:t>postsecondary education overall follo</w:t>
      </w:r>
      <w:r w:rsidR="00A22447">
        <w:rPr>
          <w:rFonts w:ascii="Times New Roman" w:hAnsi="Times New Roman" w:cs="Times New Roman"/>
        </w:rPr>
        <w:t xml:space="preserve">wing free college adoption, but </w:t>
      </w:r>
      <w:r w:rsidR="00865DE2">
        <w:rPr>
          <w:rFonts w:ascii="Times New Roman" w:hAnsi="Times New Roman" w:cs="Times New Roman"/>
        </w:rPr>
        <w:t>that</w:t>
      </w:r>
      <w:r w:rsidR="00A22447">
        <w:rPr>
          <w:rFonts w:ascii="Times New Roman" w:hAnsi="Times New Roman" w:cs="Times New Roman"/>
        </w:rPr>
        <w:t xml:space="preserve"> </w:t>
      </w:r>
      <w:r w:rsidR="00865DE2">
        <w:rPr>
          <w:rFonts w:ascii="Times New Roman" w:hAnsi="Times New Roman" w:cs="Times New Roman"/>
        </w:rPr>
        <w:t>these additional completions are</w:t>
      </w:r>
      <w:r w:rsidR="00A22447">
        <w:rPr>
          <w:rFonts w:ascii="Times New Roman" w:hAnsi="Times New Roman" w:cs="Times New Roman"/>
        </w:rPr>
        <w:t xml:space="preserve"> distributed across both degree and credential programs.</w:t>
      </w:r>
    </w:p>
    <w:p w14:paraId="0DD8D976" w14:textId="7A5D58D9" w:rsidR="00782182" w:rsidRPr="001B66FD" w:rsidRDefault="00782182" w:rsidP="004F2800">
      <w:pPr>
        <w:pStyle w:val="Heading2"/>
        <w:spacing w:before="0" w:after="0"/>
      </w:pPr>
      <w:bookmarkStart w:id="125" w:name="_Toc183282284"/>
      <w:r w:rsidRPr="001B66FD">
        <w:t>Findings Research Question #2</w:t>
      </w:r>
      <w:bookmarkEnd w:id="125"/>
    </w:p>
    <w:p w14:paraId="1F98205B" w14:textId="2751EC56" w:rsidR="00A22447" w:rsidRPr="000D2BB4" w:rsidRDefault="00A22447" w:rsidP="004F2800">
      <w:pPr>
        <w:spacing w:line="480" w:lineRule="auto"/>
        <w:ind w:firstLine="720"/>
        <w:rPr>
          <w:rFonts w:ascii="Times New Roman" w:hAnsi="Times New Roman" w:cs="Times New Roman"/>
          <w:i/>
          <w:iCs/>
        </w:rPr>
      </w:pPr>
      <w:r>
        <w:rPr>
          <w:rFonts w:ascii="Times New Roman" w:hAnsi="Times New Roman" w:cs="Times New Roman"/>
        </w:rPr>
        <w:t>Research question two examine</w:t>
      </w:r>
      <w:r w:rsidR="00253C4D">
        <w:rPr>
          <w:rFonts w:ascii="Times New Roman" w:hAnsi="Times New Roman" w:cs="Times New Roman"/>
        </w:rPr>
        <w:t xml:space="preserve">d </w:t>
      </w:r>
      <w:r>
        <w:rPr>
          <w:rFonts w:ascii="Times New Roman" w:hAnsi="Times New Roman" w:cs="Times New Roman"/>
        </w:rPr>
        <w:t>the effect of promise program adoption by field of study.</w:t>
      </w:r>
      <w:r w:rsidR="000D2BB4">
        <w:rPr>
          <w:rFonts w:ascii="Times New Roman" w:hAnsi="Times New Roman" w:cs="Times New Roman"/>
        </w:rPr>
        <w:t xml:space="preserve"> As a reminder the second research question for this study was: </w:t>
      </w:r>
      <w:r w:rsidR="000D2BB4" w:rsidRPr="000D2BB4">
        <w:rPr>
          <w:rFonts w:ascii="Times New Roman" w:eastAsiaTheme="minorEastAsia" w:hAnsi="Times New Roman" w:cs="Times New Roman"/>
          <w:i/>
          <w:iCs/>
        </w:rPr>
        <w:t>What effect does the adoption of a free college program have on postsecondary program completions by program’s academic focus?</w:t>
      </w:r>
      <w:r>
        <w:rPr>
          <w:rFonts w:ascii="Times New Roman" w:hAnsi="Times New Roman" w:cs="Times New Roman"/>
        </w:rPr>
        <w:t xml:space="preserve"> Due to concerns over program </w:t>
      </w:r>
      <w:r w:rsidR="009538DC">
        <w:rPr>
          <w:rFonts w:ascii="Times New Roman" w:hAnsi="Times New Roman" w:cs="Times New Roman"/>
        </w:rPr>
        <w:t xml:space="preserve">graduation count </w:t>
      </w:r>
      <w:r>
        <w:rPr>
          <w:rFonts w:ascii="Times New Roman" w:hAnsi="Times New Roman" w:cs="Times New Roman"/>
        </w:rPr>
        <w:t>size</w:t>
      </w:r>
      <w:r w:rsidR="007C5EAF">
        <w:rPr>
          <w:rFonts w:ascii="Times New Roman" w:hAnsi="Times New Roman" w:cs="Times New Roman"/>
        </w:rPr>
        <w:t>s</w:t>
      </w:r>
      <w:r>
        <w:rPr>
          <w:rFonts w:ascii="Times New Roman" w:hAnsi="Times New Roman" w:cs="Times New Roman"/>
        </w:rPr>
        <w:t>, I consolidated academic programs into five major families based on similarities in their CIP codes</w:t>
      </w:r>
      <w:r w:rsidR="0041031B">
        <w:rPr>
          <w:rFonts w:ascii="Times New Roman" w:hAnsi="Times New Roman" w:cs="Times New Roman"/>
        </w:rPr>
        <w:t xml:space="preserve"> after pulling available data from IPEDS for my sample period. </w:t>
      </w:r>
      <w:r>
        <w:rPr>
          <w:rFonts w:ascii="Times New Roman" w:hAnsi="Times New Roman" w:cs="Times New Roman"/>
        </w:rPr>
        <w:t xml:space="preserve">The major groups I found were organized into the groups provided in </w:t>
      </w:r>
      <w:r w:rsidR="00BD3BFB" w:rsidRPr="004F2800">
        <w:rPr>
          <w:rFonts w:ascii="Times New Roman" w:hAnsi="Times New Roman" w:cs="Times New Roman"/>
          <w:b/>
          <w:bCs/>
        </w:rPr>
        <w:t>Table 2</w:t>
      </w:r>
      <w:r w:rsidR="00BD3BFB">
        <w:rPr>
          <w:rFonts w:ascii="Times New Roman" w:hAnsi="Times New Roman" w:cs="Times New Roman"/>
        </w:rPr>
        <w:t xml:space="preserve"> </w:t>
      </w:r>
      <w:r w:rsidR="00FE5D23">
        <w:rPr>
          <w:rFonts w:ascii="Times New Roman" w:hAnsi="Times New Roman" w:cs="Times New Roman"/>
        </w:rPr>
        <w:t xml:space="preserve">in Chapter 3. </w:t>
      </w:r>
      <w:r w:rsidR="00850B21">
        <w:rPr>
          <w:rFonts w:ascii="Times New Roman" w:hAnsi="Times New Roman" w:cs="Times New Roman"/>
        </w:rPr>
        <w:t xml:space="preserve">The groups </w:t>
      </w:r>
      <w:r w:rsidR="00280BE3">
        <w:rPr>
          <w:rFonts w:ascii="Times New Roman" w:hAnsi="Times New Roman" w:cs="Times New Roman"/>
        </w:rPr>
        <w:t xml:space="preserve">I </w:t>
      </w:r>
      <w:r w:rsidR="00850B21">
        <w:rPr>
          <w:rFonts w:ascii="Times New Roman" w:hAnsi="Times New Roman" w:cs="Times New Roman"/>
        </w:rPr>
        <w:t xml:space="preserve">identified are organized into the following broad academic fields: STEM, trades, liberal arts, human services, and professional services. However, testing of the pre-treatment parallel trends assumption found that the field of professional services was not </w:t>
      </w:r>
      <w:r w:rsidR="00850B21">
        <w:rPr>
          <w:rFonts w:ascii="Times New Roman" w:hAnsi="Times New Roman" w:cs="Times New Roman"/>
        </w:rPr>
        <w:lastRenderedPageBreak/>
        <w:t xml:space="preserve">appropriate for analysis using my staggered difference-in-difference design. </w:t>
      </w:r>
      <w:r w:rsidR="00532279">
        <w:rPr>
          <w:rFonts w:ascii="Times New Roman" w:hAnsi="Times New Roman" w:cs="Times New Roman"/>
        </w:rPr>
        <w:t xml:space="preserve">Analysis of these award groups </w:t>
      </w:r>
      <w:r w:rsidR="00253C4D">
        <w:rPr>
          <w:rFonts w:ascii="Times New Roman" w:hAnsi="Times New Roman" w:cs="Times New Roman"/>
        </w:rPr>
        <w:t>was</w:t>
      </w:r>
      <w:r w:rsidR="00532279">
        <w:rPr>
          <w:rFonts w:ascii="Times New Roman" w:hAnsi="Times New Roman" w:cs="Times New Roman"/>
        </w:rPr>
        <w:t xml:space="preserve"> done </w:t>
      </w:r>
      <w:r w:rsidR="004977C8">
        <w:rPr>
          <w:rFonts w:ascii="Times New Roman" w:hAnsi="Times New Roman" w:cs="Times New Roman"/>
        </w:rPr>
        <w:t>without consideration to program length.</w:t>
      </w:r>
    </w:p>
    <w:p w14:paraId="13D19F5F" w14:textId="7E9B303F" w:rsidR="008A3F72" w:rsidRDefault="00A37BA3" w:rsidP="004F2800">
      <w:pPr>
        <w:spacing w:line="480" w:lineRule="auto"/>
        <w:ind w:firstLine="720"/>
        <w:rPr>
          <w:rFonts w:ascii="Times New Roman" w:hAnsi="Times New Roman" w:cs="Times New Roman"/>
        </w:rPr>
      </w:pPr>
      <w:r>
        <w:rPr>
          <w:rFonts w:ascii="Times New Roman" w:hAnsi="Times New Roman" w:cs="Times New Roman"/>
        </w:rPr>
        <w:t>I present</w:t>
      </w:r>
      <w:r w:rsidR="00253C4D">
        <w:rPr>
          <w:rFonts w:ascii="Times New Roman" w:hAnsi="Times New Roman" w:cs="Times New Roman"/>
        </w:rPr>
        <w:t xml:space="preserve">ed </w:t>
      </w:r>
      <w:r>
        <w:rPr>
          <w:rFonts w:ascii="Times New Roman" w:hAnsi="Times New Roman" w:cs="Times New Roman"/>
        </w:rPr>
        <w:t xml:space="preserve">my regression outputs for this research question in </w:t>
      </w:r>
      <w:r w:rsidRPr="004F2800">
        <w:rPr>
          <w:rFonts w:ascii="Times New Roman" w:hAnsi="Times New Roman" w:cs="Times New Roman"/>
          <w:b/>
          <w:bCs/>
        </w:rPr>
        <w:t xml:space="preserve">Table </w:t>
      </w:r>
      <w:r w:rsidR="00DF4D84" w:rsidRPr="004F2800">
        <w:rPr>
          <w:rFonts w:ascii="Times New Roman" w:hAnsi="Times New Roman" w:cs="Times New Roman"/>
          <w:b/>
          <w:bCs/>
        </w:rPr>
        <w:t>9</w:t>
      </w:r>
      <w:r>
        <w:rPr>
          <w:rFonts w:ascii="Times New Roman" w:hAnsi="Times New Roman" w:cs="Times New Roman"/>
        </w:rPr>
        <w:t xml:space="preserve"> from the Sun </w:t>
      </w:r>
      <w:r w:rsidR="00165FDD">
        <w:rPr>
          <w:rFonts w:ascii="Times New Roman" w:hAnsi="Times New Roman" w:cs="Times New Roman"/>
        </w:rPr>
        <w:t>and</w:t>
      </w:r>
      <w:r>
        <w:rPr>
          <w:rFonts w:ascii="Times New Roman" w:hAnsi="Times New Roman" w:cs="Times New Roman"/>
        </w:rPr>
        <w:t xml:space="preserve"> </w:t>
      </w:r>
      <w:r w:rsidR="00832D5B">
        <w:rPr>
          <w:rFonts w:ascii="Times New Roman" w:hAnsi="Times New Roman" w:cs="Times New Roman"/>
        </w:rPr>
        <w:t xml:space="preserve">Abraham </w:t>
      </w:r>
      <w:r>
        <w:rPr>
          <w:rFonts w:ascii="Times New Roman" w:hAnsi="Times New Roman" w:cs="Times New Roman"/>
        </w:rPr>
        <w:t>event study interaction specification for each</w:t>
      </w:r>
      <w:r w:rsidR="00832D5B">
        <w:rPr>
          <w:rFonts w:ascii="Times New Roman" w:hAnsi="Times New Roman" w:cs="Times New Roman"/>
        </w:rPr>
        <w:t xml:space="preserve"> of</w:t>
      </w:r>
      <w:r>
        <w:rPr>
          <w:rFonts w:ascii="Times New Roman" w:hAnsi="Times New Roman" w:cs="Times New Roman"/>
        </w:rPr>
        <w:t xml:space="preserve"> my five sets of program lengths.  </w:t>
      </w:r>
      <w:r w:rsidR="008A3F72">
        <w:rPr>
          <w:rFonts w:ascii="Times New Roman" w:hAnsi="Times New Roman" w:cs="Times New Roman"/>
        </w:rPr>
        <w:t>Because t</w:t>
      </w:r>
      <w:r w:rsidR="002D77EC">
        <w:rPr>
          <w:rFonts w:ascii="Times New Roman" w:hAnsi="Times New Roman" w:cs="Times New Roman"/>
        </w:rPr>
        <w:t xml:space="preserve">he fifth outcome variable of awards under the professional services </w:t>
      </w:r>
      <w:r w:rsidR="008A3F72">
        <w:rPr>
          <w:rFonts w:ascii="Times New Roman" w:hAnsi="Times New Roman" w:cs="Times New Roman"/>
        </w:rPr>
        <w:t xml:space="preserve">area </w:t>
      </w:r>
      <w:r w:rsidR="00253C4D">
        <w:rPr>
          <w:rFonts w:ascii="Times New Roman" w:hAnsi="Times New Roman" w:cs="Times New Roman"/>
        </w:rPr>
        <w:t>were</w:t>
      </w:r>
      <w:r w:rsidR="008A3F72">
        <w:rPr>
          <w:rFonts w:ascii="Times New Roman" w:hAnsi="Times New Roman" w:cs="Times New Roman"/>
        </w:rPr>
        <w:t xml:space="preserve"> </w:t>
      </w:r>
      <w:r w:rsidR="002D77EC">
        <w:rPr>
          <w:rFonts w:ascii="Times New Roman" w:hAnsi="Times New Roman" w:cs="Times New Roman"/>
        </w:rPr>
        <w:t>not appropriate for analysis</w:t>
      </w:r>
      <w:r w:rsidR="008A3F72">
        <w:rPr>
          <w:rFonts w:ascii="Times New Roman" w:hAnsi="Times New Roman" w:cs="Times New Roman"/>
        </w:rPr>
        <w:t xml:space="preserve">, I </w:t>
      </w:r>
      <w:r w:rsidR="00253C4D">
        <w:rPr>
          <w:rFonts w:ascii="Times New Roman" w:hAnsi="Times New Roman" w:cs="Times New Roman"/>
        </w:rPr>
        <w:t>did</w:t>
      </w:r>
      <w:r w:rsidR="008A3F72">
        <w:rPr>
          <w:rFonts w:ascii="Times New Roman" w:hAnsi="Times New Roman" w:cs="Times New Roman"/>
        </w:rPr>
        <w:t xml:space="preserve"> not present</w:t>
      </w:r>
      <w:r w:rsidR="002D77EC">
        <w:rPr>
          <w:rFonts w:ascii="Times New Roman" w:hAnsi="Times New Roman" w:cs="Times New Roman"/>
        </w:rPr>
        <w:t xml:space="preserve"> this </w:t>
      </w:r>
      <w:r w:rsidR="001354A9">
        <w:rPr>
          <w:rFonts w:ascii="Times New Roman" w:hAnsi="Times New Roman" w:cs="Times New Roman"/>
        </w:rPr>
        <w:t xml:space="preserve">outcome variable in </w:t>
      </w:r>
      <w:r w:rsidR="00BF3B0A" w:rsidRPr="004F2800">
        <w:rPr>
          <w:rFonts w:ascii="Times New Roman" w:hAnsi="Times New Roman" w:cs="Times New Roman"/>
          <w:b/>
          <w:bCs/>
        </w:rPr>
        <w:t>T</w:t>
      </w:r>
      <w:r w:rsidR="001354A9" w:rsidRPr="004F2800">
        <w:rPr>
          <w:rFonts w:ascii="Times New Roman" w:hAnsi="Times New Roman" w:cs="Times New Roman"/>
          <w:b/>
          <w:bCs/>
        </w:rPr>
        <w:t xml:space="preserve">able </w:t>
      </w:r>
      <w:r w:rsidR="00DF4D84" w:rsidRPr="004F2800">
        <w:rPr>
          <w:rFonts w:ascii="Times New Roman" w:hAnsi="Times New Roman" w:cs="Times New Roman"/>
          <w:b/>
          <w:bCs/>
        </w:rPr>
        <w:t>9</w:t>
      </w:r>
      <w:r w:rsidR="001354A9">
        <w:rPr>
          <w:rFonts w:ascii="Times New Roman" w:hAnsi="Times New Roman" w:cs="Times New Roman"/>
        </w:rPr>
        <w:t xml:space="preserve">. </w:t>
      </w:r>
      <w:r>
        <w:rPr>
          <w:rFonts w:ascii="Times New Roman" w:hAnsi="Times New Roman" w:cs="Times New Roman"/>
        </w:rPr>
        <w:t xml:space="preserve"> </w:t>
      </w:r>
      <w:r w:rsidR="00BF3B0A">
        <w:rPr>
          <w:rFonts w:ascii="Times New Roman" w:hAnsi="Times New Roman" w:cs="Times New Roman"/>
        </w:rPr>
        <w:t>I include</w:t>
      </w:r>
      <w:r w:rsidR="00253C4D">
        <w:rPr>
          <w:rFonts w:ascii="Times New Roman" w:hAnsi="Times New Roman" w:cs="Times New Roman"/>
        </w:rPr>
        <w:t>d</w:t>
      </w:r>
      <w:r w:rsidR="00BF3B0A">
        <w:rPr>
          <w:rFonts w:ascii="Times New Roman" w:hAnsi="Times New Roman" w:cs="Times New Roman"/>
        </w:rPr>
        <w:t xml:space="preserve"> the model for the outcome of all awards </w:t>
      </w:r>
      <w:r w:rsidR="00904653">
        <w:rPr>
          <w:rFonts w:ascii="Times New Roman" w:hAnsi="Times New Roman" w:cs="Times New Roman"/>
        </w:rPr>
        <w:t>as done in research question one</w:t>
      </w:r>
      <w:r w:rsidR="00BF3B0A">
        <w:rPr>
          <w:rFonts w:ascii="Times New Roman" w:hAnsi="Times New Roman" w:cs="Times New Roman"/>
        </w:rPr>
        <w:t xml:space="preserve">. </w:t>
      </w:r>
    </w:p>
    <w:p w14:paraId="69677E48" w14:textId="77777777" w:rsidR="004F2800" w:rsidRDefault="004F2800" w:rsidP="004F2800">
      <w:pPr>
        <w:spacing w:line="480" w:lineRule="auto"/>
        <w:ind w:firstLine="720"/>
        <w:rPr>
          <w:rFonts w:ascii="Times New Roman" w:hAnsi="Times New Roman" w:cs="Times New Roman"/>
        </w:rPr>
      </w:pPr>
      <w:r>
        <w:rPr>
          <w:rFonts w:ascii="Times New Roman" w:hAnsi="Times New Roman" w:cs="Times New Roman"/>
        </w:rPr>
        <w:t xml:space="preserve">The outcomes for all awards, STEM, trades, and human services awards provided evidence of pre-treatment trends that were not significantly different from zero. As for liberal arts awards, a smoothness restriction analysis of the robust confidence intervals using the </w:t>
      </w:r>
      <w:proofErr w:type="spellStart"/>
      <w:r>
        <w:rPr>
          <w:rFonts w:ascii="Times New Roman" w:hAnsi="Times New Roman" w:cs="Times New Roman"/>
        </w:rPr>
        <w:t>honestdid</w:t>
      </w:r>
      <w:proofErr w:type="spellEnd"/>
      <w:r>
        <w:rPr>
          <w:rFonts w:ascii="Times New Roman" w:hAnsi="Times New Roman" w:cs="Times New Roman"/>
        </w:rPr>
        <w:t xml:space="preserve"> package as described by Rambachan and Roth (2023) indicated that a regression examining liberal arts awards was robust up to and beyond M=0.1. This means that my assumption that parallel pre-treatment trends were </w:t>
      </w:r>
      <w:proofErr w:type="gramStart"/>
      <w:r>
        <w:rPr>
          <w:rFonts w:ascii="Times New Roman" w:hAnsi="Times New Roman" w:cs="Times New Roman"/>
        </w:rPr>
        <w:t>meet</w:t>
      </w:r>
      <w:proofErr w:type="gramEnd"/>
      <w:r>
        <w:rPr>
          <w:rFonts w:ascii="Times New Roman" w:hAnsi="Times New Roman" w:cs="Times New Roman"/>
        </w:rPr>
        <w:t xml:space="preserve"> could hold even when allowing for the deviations in parallel trends suggested by the significant outputs from the joint and individual coefficient tests of significance.</w:t>
      </w:r>
    </w:p>
    <w:p w14:paraId="5B29732E" w14:textId="02D56DD6" w:rsidR="004F2800" w:rsidRDefault="004F2800" w:rsidP="004F2800">
      <w:pPr>
        <w:spacing w:line="480" w:lineRule="auto"/>
        <w:ind w:firstLine="720"/>
        <w:rPr>
          <w:rFonts w:ascii="Times New Roman" w:hAnsi="Times New Roman" w:cs="Times New Roman"/>
        </w:rPr>
      </w:pPr>
      <w:r>
        <w:rPr>
          <w:rFonts w:ascii="Times New Roman" w:hAnsi="Times New Roman" w:cs="Times New Roman"/>
        </w:rPr>
        <w:t>For these models, I found a lack of compelling evidence that the adoption of a promise program significantly increased awards within specific academic sub-areas. Examination of significance among individual post-treatment coefficients provided some evidence of change significantly different from zero and negative in trend for Liberal</w:t>
      </w:r>
      <w:r w:rsidRPr="004F2800">
        <w:rPr>
          <w:rFonts w:ascii="Times New Roman" w:hAnsi="Times New Roman" w:cs="Times New Roman"/>
        </w:rPr>
        <w:t xml:space="preserve"> </w:t>
      </w:r>
      <w:r>
        <w:rPr>
          <w:rFonts w:ascii="Times New Roman" w:hAnsi="Times New Roman" w:cs="Times New Roman"/>
        </w:rPr>
        <w:t>Arts awards in the first two post-treatment periods. However, many of these Liberal Arts awards were from two-year associates degree programs.</w:t>
      </w:r>
    </w:p>
    <w:p w14:paraId="2AF6B5F5" w14:textId="2F3F9528" w:rsidR="0045402A" w:rsidRPr="00C27CA2" w:rsidRDefault="0045402A" w:rsidP="004F2800">
      <w:pPr>
        <w:pStyle w:val="Caption"/>
        <w:spacing w:before="0" w:after="0" w:line="240" w:lineRule="auto"/>
      </w:pPr>
      <w:bookmarkStart w:id="126" w:name="_Toc179135220"/>
      <w:bookmarkStart w:id="127" w:name="_Toc179136139"/>
      <w:bookmarkStart w:id="128" w:name="_Toc179888484"/>
      <w:bookmarkStart w:id="129" w:name="_Toc181297765"/>
      <w:bookmarkStart w:id="130" w:name="_Toc180144572"/>
      <w:r w:rsidRPr="00C27CA2">
        <w:lastRenderedPageBreak/>
        <w:t xml:space="preserve">Table </w:t>
      </w:r>
      <w:r w:rsidR="00C253F6" w:rsidRPr="00C27CA2">
        <w:t>9</w:t>
      </w:r>
      <w:bookmarkEnd w:id="126"/>
      <w:bookmarkEnd w:id="127"/>
      <w:bookmarkEnd w:id="128"/>
      <w:bookmarkEnd w:id="129"/>
      <w:bookmarkEnd w:id="130"/>
    </w:p>
    <w:p w14:paraId="55AF4747" w14:textId="6E4D2924" w:rsidR="0045402A" w:rsidRDefault="0045402A" w:rsidP="004F2800">
      <w:pPr>
        <w:rPr>
          <w:rFonts w:ascii="Times New Roman" w:hAnsi="Times New Roman" w:cs="Times New Roman"/>
        </w:rPr>
      </w:pPr>
      <w:r>
        <w:rPr>
          <w:rFonts w:ascii="Times New Roman" w:hAnsi="Times New Roman" w:cs="Times New Roman"/>
        </w:rPr>
        <w:t xml:space="preserve">Regression of Outputs for Awards by Program Length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1440"/>
        <w:gridCol w:w="1440"/>
        <w:gridCol w:w="1440"/>
        <w:gridCol w:w="1530"/>
        <w:gridCol w:w="1890"/>
      </w:tblGrid>
      <w:tr w:rsidR="0045402A" w14:paraId="27F14DF8" w14:textId="77777777" w:rsidTr="004538AE">
        <w:tc>
          <w:tcPr>
            <w:tcW w:w="900" w:type="dxa"/>
            <w:tcBorders>
              <w:bottom w:val="single" w:sz="4" w:space="0" w:color="auto"/>
            </w:tcBorders>
          </w:tcPr>
          <w:p w14:paraId="404E4F60" w14:textId="77777777" w:rsidR="0045402A" w:rsidRDefault="0045402A">
            <w:pPr>
              <w:rPr>
                <w:rFonts w:ascii="Times New Roman" w:hAnsi="Times New Roman" w:cs="Times New Roman"/>
              </w:rPr>
            </w:pPr>
          </w:p>
        </w:tc>
        <w:tc>
          <w:tcPr>
            <w:tcW w:w="1440" w:type="dxa"/>
            <w:tcBorders>
              <w:bottom w:val="single" w:sz="4" w:space="0" w:color="auto"/>
            </w:tcBorders>
          </w:tcPr>
          <w:p w14:paraId="1747F4E3" w14:textId="77777777" w:rsidR="0045402A" w:rsidRDefault="0045402A">
            <w:pPr>
              <w:rPr>
                <w:rFonts w:ascii="Times New Roman" w:hAnsi="Times New Roman" w:cs="Times New Roman"/>
              </w:rPr>
            </w:pPr>
            <w:r>
              <w:rPr>
                <w:rFonts w:ascii="Times New Roman" w:hAnsi="Times New Roman" w:cs="Times New Roman"/>
              </w:rPr>
              <w:t>All Awards</w:t>
            </w:r>
          </w:p>
        </w:tc>
        <w:tc>
          <w:tcPr>
            <w:tcW w:w="1440" w:type="dxa"/>
            <w:tcBorders>
              <w:bottom w:val="single" w:sz="4" w:space="0" w:color="auto"/>
            </w:tcBorders>
          </w:tcPr>
          <w:p w14:paraId="3E8A683B" w14:textId="6186F732" w:rsidR="0045402A" w:rsidRDefault="00DB5B82">
            <w:pPr>
              <w:rPr>
                <w:rFonts w:ascii="Times New Roman" w:hAnsi="Times New Roman" w:cs="Times New Roman"/>
              </w:rPr>
            </w:pPr>
            <w:r>
              <w:rPr>
                <w:rFonts w:ascii="Times New Roman" w:hAnsi="Times New Roman" w:cs="Times New Roman"/>
              </w:rPr>
              <w:t>STEM</w:t>
            </w:r>
          </w:p>
        </w:tc>
        <w:tc>
          <w:tcPr>
            <w:tcW w:w="1440" w:type="dxa"/>
            <w:tcBorders>
              <w:bottom w:val="single" w:sz="4" w:space="0" w:color="auto"/>
            </w:tcBorders>
          </w:tcPr>
          <w:p w14:paraId="5ECD6903" w14:textId="083C8CC0" w:rsidR="0045402A" w:rsidRDefault="00DB5B82">
            <w:pPr>
              <w:rPr>
                <w:rFonts w:ascii="Times New Roman" w:hAnsi="Times New Roman" w:cs="Times New Roman"/>
              </w:rPr>
            </w:pPr>
            <w:r>
              <w:rPr>
                <w:rFonts w:ascii="Times New Roman" w:hAnsi="Times New Roman" w:cs="Times New Roman"/>
              </w:rPr>
              <w:t>Trades</w:t>
            </w:r>
          </w:p>
        </w:tc>
        <w:tc>
          <w:tcPr>
            <w:tcW w:w="1530" w:type="dxa"/>
            <w:tcBorders>
              <w:bottom w:val="single" w:sz="4" w:space="0" w:color="auto"/>
            </w:tcBorders>
          </w:tcPr>
          <w:p w14:paraId="0942802B" w14:textId="6715CD9A" w:rsidR="0045402A" w:rsidRDefault="00DB5B82">
            <w:pPr>
              <w:rPr>
                <w:rFonts w:ascii="Times New Roman" w:hAnsi="Times New Roman" w:cs="Times New Roman"/>
              </w:rPr>
            </w:pPr>
            <w:r>
              <w:rPr>
                <w:rFonts w:ascii="Times New Roman" w:hAnsi="Times New Roman" w:cs="Times New Roman"/>
              </w:rPr>
              <w:t>Liberal Arts</w:t>
            </w:r>
          </w:p>
        </w:tc>
        <w:tc>
          <w:tcPr>
            <w:tcW w:w="1890" w:type="dxa"/>
            <w:tcBorders>
              <w:bottom w:val="single" w:sz="4" w:space="0" w:color="auto"/>
            </w:tcBorders>
          </w:tcPr>
          <w:p w14:paraId="573BB08F" w14:textId="14EAD740" w:rsidR="0045402A" w:rsidRDefault="00DB5B82">
            <w:pPr>
              <w:rPr>
                <w:rFonts w:ascii="Times New Roman" w:hAnsi="Times New Roman" w:cs="Times New Roman"/>
              </w:rPr>
            </w:pPr>
            <w:r>
              <w:rPr>
                <w:rFonts w:ascii="Times New Roman" w:hAnsi="Times New Roman" w:cs="Times New Roman"/>
              </w:rPr>
              <w:t>Human Services</w:t>
            </w:r>
          </w:p>
        </w:tc>
      </w:tr>
      <w:tr w:rsidR="0045402A" w14:paraId="19D4FDB8" w14:textId="77777777" w:rsidTr="004538AE">
        <w:trPr>
          <w:trHeight w:val="719"/>
        </w:trPr>
        <w:tc>
          <w:tcPr>
            <w:tcW w:w="900" w:type="dxa"/>
            <w:tcBorders>
              <w:top w:val="single" w:sz="4" w:space="0" w:color="auto"/>
            </w:tcBorders>
          </w:tcPr>
          <w:p w14:paraId="6F48EBC6" w14:textId="77777777" w:rsidR="0045402A" w:rsidRDefault="0045402A">
            <w:pPr>
              <w:rPr>
                <w:rFonts w:ascii="Times New Roman" w:hAnsi="Times New Roman" w:cs="Times New Roman"/>
              </w:rPr>
            </w:pPr>
            <w:r>
              <w:rPr>
                <w:rFonts w:ascii="Times New Roman" w:hAnsi="Times New Roman" w:cs="Times New Roman"/>
              </w:rPr>
              <w:t>Pre-5</w:t>
            </w:r>
          </w:p>
        </w:tc>
        <w:tc>
          <w:tcPr>
            <w:tcW w:w="1440" w:type="dxa"/>
            <w:tcBorders>
              <w:top w:val="single" w:sz="4" w:space="0" w:color="auto"/>
            </w:tcBorders>
          </w:tcPr>
          <w:p w14:paraId="5B89EC1C" w14:textId="6A9BD178" w:rsidR="0045402A" w:rsidRDefault="0045402A">
            <w:pPr>
              <w:rPr>
                <w:rFonts w:ascii="Times New Roman" w:hAnsi="Times New Roman" w:cs="Times New Roman"/>
              </w:rPr>
            </w:pPr>
            <w:r w:rsidRPr="00EB5454">
              <w:rPr>
                <w:rFonts w:ascii="Times New Roman" w:hAnsi="Times New Roman" w:cs="Times New Roman"/>
              </w:rPr>
              <w:t>-.001</w:t>
            </w:r>
            <w:r w:rsidR="0024281E">
              <w:rPr>
                <w:rFonts w:ascii="Times New Roman" w:hAnsi="Times New Roman" w:cs="Times New Roman"/>
              </w:rPr>
              <w:t>5</w:t>
            </w:r>
            <w:r w:rsidRPr="00EB5454">
              <w:rPr>
                <w:rFonts w:ascii="Times New Roman" w:hAnsi="Times New Roman" w:cs="Times New Roman"/>
              </w:rPr>
              <w:t xml:space="preserve">   </w:t>
            </w:r>
            <w:r>
              <w:rPr>
                <w:rFonts w:ascii="Times New Roman" w:hAnsi="Times New Roman" w:cs="Times New Roman"/>
              </w:rPr>
              <w:t xml:space="preserve">  </w:t>
            </w:r>
          </w:p>
          <w:p w14:paraId="5533DEA3" w14:textId="17393DE3" w:rsidR="0045402A" w:rsidRDefault="0045402A">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.0122</w:t>
            </w:r>
            <w:r>
              <w:rPr>
                <w:rFonts w:ascii="Times New Roman" w:hAnsi="Times New Roman" w:cs="Times New Roman"/>
              </w:rPr>
              <w:t>)</w:t>
            </w:r>
          </w:p>
        </w:tc>
        <w:tc>
          <w:tcPr>
            <w:tcW w:w="1440" w:type="dxa"/>
            <w:tcBorders>
              <w:top w:val="single" w:sz="4" w:space="0" w:color="auto"/>
            </w:tcBorders>
          </w:tcPr>
          <w:p w14:paraId="5B99B17E" w14:textId="2E204D5D" w:rsidR="00D501F7" w:rsidRDefault="004C1851" w:rsidP="004C1851">
            <w:pPr>
              <w:rPr>
                <w:rFonts w:ascii="Times New Roman" w:hAnsi="Times New Roman" w:cs="Times New Roman"/>
              </w:rPr>
            </w:pPr>
            <w:r w:rsidRPr="004C1851">
              <w:rPr>
                <w:rFonts w:ascii="Times New Roman" w:hAnsi="Times New Roman" w:cs="Times New Roman"/>
              </w:rPr>
              <w:t>.023</w:t>
            </w:r>
            <w:r w:rsidR="00095553">
              <w:rPr>
                <w:rFonts w:ascii="Times New Roman" w:hAnsi="Times New Roman" w:cs="Times New Roman"/>
              </w:rPr>
              <w:t>3</w:t>
            </w:r>
            <w:r w:rsidRPr="004C1851">
              <w:rPr>
                <w:rFonts w:ascii="Times New Roman" w:hAnsi="Times New Roman" w:cs="Times New Roman"/>
              </w:rPr>
              <w:t xml:space="preserve">  </w:t>
            </w:r>
          </w:p>
          <w:p w14:paraId="5674B935" w14:textId="5E881173" w:rsidR="0045402A" w:rsidRDefault="00147D17" w:rsidP="00147D17">
            <w:pPr>
              <w:jc w:val="center"/>
              <w:rPr>
                <w:rFonts w:ascii="Times New Roman" w:hAnsi="Times New Roman" w:cs="Times New Roman"/>
              </w:rPr>
            </w:pPr>
            <w:r>
              <w:rPr>
                <w:rFonts w:ascii="Times New Roman" w:hAnsi="Times New Roman" w:cs="Times New Roman"/>
              </w:rPr>
              <w:t>(</w:t>
            </w:r>
            <w:r w:rsidR="004C1851" w:rsidRPr="004C1851">
              <w:rPr>
                <w:rFonts w:ascii="Times New Roman" w:hAnsi="Times New Roman" w:cs="Times New Roman"/>
              </w:rPr>
              <w:t>.029</w:t>
            </w:r>
            <w:r w:rsidR="00095553">
              <w:rPr>
                <w:rFonts w:ascii="Times New Roman" w:hAnsi="Times New Roman" w:cs="Times New Roman"/>
              </w:rPr>
              <w:t>6</w:t>
            </w:r>
            <w:r w:rsidR="009761EF">
              <w:rPr>
                <w:rFonts w:ascii="Times New Roman" w:hAnsi="Times New Roman" w:cs="Times New Roman"/>
              </w:rPr>
              <w:t>)</w:t>
            </w:r>
          </w:p>
        </w:tc>
        <w:tc>
          <w:tcPr>
            <w:tcW w:w="1440" w:type="dxa"/>
            <w:tcBorders>
              <w:top w:val="single" w:sz="4" w:space="0" w:color="auto"/>
            </w:tcBorders>
          </w:tcPr>
          <w:p w14:paraId="75872058" w14:textId="38BA2D71" w:rsidR="00147D17" w:rsidRDefault="00AD540B" w:rsidP="00147D17">
            <w:pPr>
              <w:rPr>
                <w:rFonts w:ascii="Times New Roman" w:hAnsi="Times New Roman" w:cs="Times New Roman"/>
              </w:rPr>
            </w:pPr>
            <w:r w:rsidRPr="00AD540B">
              <w:rPr>
                <w:rFonts w:ascii="Times New Roman" w:hAnsi="Times New Roman" w:cs="Times New Roman"/>
              </w:rPr>
              <w:t xml:space="preserve">.0298   </w:t>
            </w:r>
          </w:p>
          <w:p w14:paraId="20B1DF96" w14:textId="44BB7394" w:rsidR="0045402A" w:rsidRDefault="00147D17">
            <w:pPr>
              <w:jc w:val="center"/>
              <w:rPr>
                <w:rFonts w:ascii="Times New Roman" w:hAnsi="Times New Roman" w:cs="Times New Roman"/>
              </w:rPr>
            </w:pPr>
            <w:r>
              <w:rPr>
                <w:rFonts w:ascii="Times New Roman" w:hAnsi="Times New Roman" w:cs="Times New Roman"/>
              </w:rPr>
              <w:t>(</w:t>
            </w:r>
            <w:r w:rsidR="00AD540B" w:rsidRPr="00AD540B">
              <w:rPr>
                <w:rFonts w:ascii="Times New Roman" w:hAnsi="Times New Roman" w:cs="Times New Roman"/>
              </w:rPr>
              <w:t>.0313</w:t>
            </w:r>
            <w:r w:rsidR="009761EF">
              <w:rPr>
                <w:rFonts w:ascii="Times New Roman" w:hAnsi="Times New Roman" w:cs="Times New Roman"/>
              </w:rPr>
              <w:t>)</w:t>
            </w:r>
          </w:p>
        </w:tc>
        <w:tc>
          <w:tcPr>
            <w:tcW w:w="1530" w:type="dxa"/>
            <w:tcBorders>
              <w:top w:val="single" w:sz="4" w:space="0" w:color="auto"/>
            </w:tcBorders>
          </w:tcPr>
          <w:p w14:paraId="3EDF6BA2" w14:textId="6AE994A7" w:rsidR="00147D17" w:rsidRDefault="009F44DD" w:rsidP="00147D17">
            <w:pPr>
              <w:rPr>
                <w:rFonts w:ascii="Times New Roman" w:hAnsi="Times New Roman" w:cs="Times New Roman"/>
              </w:rPr>
            </w:pPr>
            <w:r w:rsidRPr="009F44DD">
              <w:rPr>
                <w:rFonts w:ascii="Times New Roman" w:hAnsi="Times New Roman" w:cs="Times New Roman"/>
              </w:rPr>
              <w:t>-.048</w:t>
            </w:r>
            <w:r w:rsidR="00821078">
              <w:rPr>
                <w:rFonts w:ascii="Times New Roman" w:hAnsi="Times New Roman" w:cs="Times New Roman"/>
              </w:rPr>
              <w:t>4</w:t>
            </w:r>
            <w:r w:rsidR="00C23D59">
              <w:rPr>
                <w:rFonts w:ascii="Times New Roman" w:hAnsi="Times New Roman" w:cs="Times New Roman"/>
              </w:rPr>
              <w:t>*</w:t>
            </w:r>
            <w:r w:rsidRPr="009F44DD">
              <w:rPr>
                <w:rFonts w:ascii="Times New Roman" w:hAnsi="Times New Roman" w:cs="Times New Roman"/>
              </w:rPr>
              <w:t xml:space="preserve">  </w:t>
            </w:r>
          </w:p>
          <w:p w14:paraId="106DAF30" w14:textId="37AEC63D" w:rsidR="0045402A" w:rsidRDefault="00147D17">
            <w:pPr>
              <w:jc w:val="center"/>
              <w:rPr>
                <w:rFonts w:ascii="Times New Roman" w:hAnsi="Times New Roman" w:cs="Times New Roman"/>
              </w:rPr>
            </w:pPr>
            <w:r>
              <w:rPr>
                <w:rFonts w:ascii="Times New Roman" w:hAnsi="Times New Roman" w:cs="Times New Roman"/>
              </w:rPr>
              <w:t>(</w:t>
            </w:r>
            <w:r w:rsidR="009F44DD" w:rsidRPr="009F44DD">
              <w:rPr>
                <w:rFonts w:ascii="Times New Roman" w:hAnsi="Times New Roman" w:cs="Times New Roman"/>
              </w:rPr>
              <w:t>.0186</w:t>
            </w:r>
            <w:r>
              <w:rPr>
                <w:rFonts w:ascii="Times New Roman" w:hAnsi="Times New Roman" w:cs="Times New Roman"/>
              </w:rPr>
              <w:t>)</w:t>
            </w:r>
          </w:p>
        </w:tc>
        <w:tc>
          <w:tcPr>
            <w:tcW w:w="1890" w:type="dxa"/>
            <w:tcBorders>
              <w:top w:val="single" w:sz="4" w:space="0" w:color="auto"/>
            </w:tcBorders>
          </w:tcPr>
          <w:p w14:paraId="35DC3342" w14:textId="18E5324D" w:rsidR="00147D17" w:rsidRDefault="00BA49D7" w:rsidP="00147D17">
            <w:pPr>
              <w:rPr>
                <w:rFonts w:ascii="Times New Roman" w:hAnsi="Times New Roman" w:cs="Times New Roman"/>
              </w:rPr>
            </w:pPr>
            <w:r w:rsidRPr="00BA49D7">
              <w:rPr>
                <w:rFonts w:ascii="Times New Roman" w:hAnsi="Times New Roman" w:cs="Times New Roman"/>
              </w:rPr>
              <w:t xml:space="preserve">.0075    </w:t>
            </w:r>
          </w:p>
          <w:p w14:paraId="58002D41" w14:textId="1F0BBF18" w:rsidR="0045402A" w:rsidRDefault="00147D17">
            <w:pPr>
              <w:jc w:val="center"/>
              <w:rPr>
                <w:rFonts w:ascii="Times New Roman" w:hAnsi="Times New Roman" w:cs="Times New Roman"/>
              </w:rPr>
            </w:pPr>
            <w:r>
              <w:rPr>
                <w:rFonts w:ascii="Times New Roman" w:hAnsi="Times New Roman" w:cs="Times New Roman"/>
              </w:rPr>
              <w:t>(</w:t>
            </w:r>
            <w:r w:rsidR="00BA49D7" w:rsidRPr="00BA49D7">
              <w:rPr>
                <w:rFonts w:ascii="Times New Roman" w:hAnsi="Times New Roman" w:cs="Times New Roman"/>
              </w:rPr>
              <w:t>.0323</w:t>
            </w:r>
            <w:r>
              <w:rPr>
                <w:rFonts w:ascii="Times New Roman" w:hAnsi="Times New Roman" w:cs="Times New Roman"/>
              </w:rPr>
              <w:t>)</w:t>
            </w:r>
          </w:p>
        </w:tc>
      </w:tr>
      <w:tr w:rsidR="0045402A" w14:paraId="238F760D" w14:textId="77777777" w:rsidTr="004538AE">
        <w:tc>
          <w:tcPr>
            <w:tcW w:w="900" w:type="dxa"/>
          </w:tcPr>
          <w:p w14:paraId="1B162CED" w14:textId="77777777" w:rsidR="0045402A" w:rsidRDefault="0045402A">
            <w:pPr>
              <w:rPr>
                <w:rFonts w:ascii="Times New Roman" w:hAnsi="Times New Roman" w:cs="Times New Roman"/>
              </w:rPr>
            </w:pPr>
            <w:r>
              <w:rPr>
                <w:rFonts w:ascii="Times New Roman" w:hAnsi="Times New Roman" w:cs="Times New Roman"/>
              </w:rPr>
              <w:t>Pre-4</w:t>
            </w:r>
          </w:p>
        </w:tc>
        <w:tc>
          <w:tcPr>
            <w:tcW w:w="1440" w:type="dxa"/>
          </w:tcPr>
          <w:p w14:paraId="3CC6329A" w14:textId="3B1733FC" w:rsidR="0045402A" w:rsidRDefault="0045402A">
            <w:pPr>
              <w:rPr>
                <w:rFonts w:ascii="Times New Roman" w:hAnsi="Times New Roman" w:cs="Times New Roman"/>
              </w:rPr>
            </w:pPr>
            <w:r w:rsidRPr="00EB5454">
              <w:rPr>
                <w:rFonts w:ascii="Times New Roman" w:hAnsi="Times New Roman" w:cs="Times New Roman"/>
              </w:rPr>
              <w:t>.014</w:t>
            </w:r>
            <w:r w:rsidR="0024281E">
              <w:rPr>
                <w:rFonts w:ascii="Times New Roman" w:hAnsi="Times New Roman" w:cs="Times New Roman"/>
              </w:rPr>
              <w:t>7</w:t>
            </w:r>
            <w:r w:rsidRPr="00EB5454">
              <w:rPr>
                <w:rFonts w:ascii="Times New Roman" w:hAnsi="Times New Roman" w:cs="Times New Roman"/>
              </w:rPr>
              <w:t xml:space="preserve">  </w:t>
            </w:r>
          </w:p>
          <w:p w14:paraId="1A9001C2" w14:textId="6100A1AB" w:rsidR="0045402A" w:rsidRDefault="0045402A">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.013</w:t>
            </w:r>
            <w:r w:rsidR="0024281E">
              <w:rPr>
                <w:rFonts w:ascii="Times New Roman" w:hAnsi="Times New Roman" w:cs="Times New Roman"/>
              </w:rPr>
              <w:t>1</w:t>
            </w:r>
            <w:r>
              <w:rPr>
                <w:rFonts w:ascii="Times New Roman" w:hAnsi="Times New Roman" w:cs="Times New Roman"/>
              </w:rPr>
              <w:t>)</w:t>
            </w:r>
          </w:p>
        </w:tc>
        <w:tc>
          <w:tcPr>
            <w:tcW w:w="1440" w:type="dxa"/>
          </w:tcPr>
          <w:p w14:paraId="21021B77" w14:textId="0455A1E9" w:rsidR="00D501F7" w:rsidRDefault="00A02BAB" w:rsidP="00147D17">
            <w:pPr>
              <w:rPr>
                <w:rFonts w:ascii="Times New Roman" w:hAnsi="Times New Roman" w:cs="Times New Roman"/>
              </w:rPr>
            </w:pPr>
            <w:r w:rsidRPr="00A02BAB">
              <w:rPr>
                <w:rFonts w:ascii="Times New Roman" w:hAnsi="Times New Roman" w:cs="Times New Roman"/>
              </w:rPr>
              <w:t>.06</w:t>
            </w:r>
            <w:r w:rsidR="00095553">
              <w:rPr>
                <w:rFonts w:ascii="Times New Roman" w:hAnsi="Times New Roman" w:cs="Times New Roman"/>
              </w:rPr>
              <w:t>60</w:t>
            </w:r>
            <w:r w:rsidR="00AA7D1B">
              <w:rPr>
                <w:rFonts w:ascii="Times New Roman" w:hAnsi="Times New Roman" w:cs="Times New Roman"/>
              </w:rPr>
              <w:t>*</w:t>
            </w:r>
            <w:r w:rsidRPr="00A02BAB">
              <w:rPr>
                <w:rFonts w:ascii="Times New Roman" w:hAnsi="Times New Roman" w:cs="Times New Roman"/>
              </w:rPr>
              <w:t xml:space="preserve">   </w:t>
            </w:r>
          </w:p>
          <w:p w14:paraId="19A002D7" w14:textId="673A7579" w:rsidR="0045402A" w:rsidRDefault="00147D17">
            <w:pPr>
              <w:jc w:val="center"/>
              <w:rPr>
                <w:rFonts w:ascii="Times New Roman" w:hAnsi="Times New Roman" w:cs="Times New Roman"/>
              </w:rPr>
            </w:pPr>
            <w:r>
              <w:rPr>
                <w:rFonts w:ascii="Times New Roman" w:hAnsi="Times New Roman" w:cs="Times New Roman"/>
              </w:rPr>
              <w:t>(</w:t>
            </w:r>
            <w:r w:rsidR="00A02BAB" w:rsidRPr="00A02BAB">
              <w:rPr>
                <w:rFonts w:ascii="Times New Roman" w:hAnsi="Times New Roman" w:cs="Times New Roman"/>
              </w:rPr>
              <w:t>.0304</w:t>
            </w:r>
            <w:r w:rsidR="009761EF">
              <w:rPr>
                <w:rFonts w:ascii="Times New Roman" w:hAnsi="Times New Roman" w:cs="Times New Roman"/>
              </w:rPr>
              <w:t>)</w:t>
            </w:r>
          </w:p>
        </w:tc>
        <w:tc>
          <w:tcPr>
            <w:tcW w:w="1440" w:type="dxa"/>
          </w:tcPr>
          <w:p w14:paraId="2ADE1795" w14:textId="2DCB438E" w:rsidR="00147D17" w:rsidRDefault="0075350B" w:rsidP="00147D17">
            <w:pPr>
              <w:rPr>
                <w:rFonts w:ascii="Times New Roman" w:hAnsi="Times New Roman" w:cs="Times New Roman"/>
              </w:rPr>
            </w:pPr>
            <w:r w:rsidRPr="0075350B">
              <w:rPr>
                <w:rFonts w:ascii="Times New Roman" w:hAnsi="Times New Roman" w:cs="Times New Roman"/>
              </w:rPr>
              <w:t>.048</w:t>
            </w:r>
            <w:r w:rsidR="00095553">
              <w:rPr>
                <w:rFonts w:ascii="Times New Roman" w:hAnsi="Times New Roman" w:cs="Times New Roman"/>
              </w:rPr>
              <w:t>6</w:t>
            </w:r>
            <w:r w:rsidRPr="0075350B">
              <w:rPr>
                <w:rFonts w:ascii="Times New Roman" w:hAnsi="Times New Roman" w:cs="Times New Roman"/>
              </w:rPr>
              <w:t xml:space="preserve">   </w:t>
            </w:r>
          </w:p>
          <w:p w14:paraId="6272424F" w14:textId="089D010B" w:rsidR="0045402A" w:rsidRDefault="00147D17">
            <w:pPr>
              <w:jc w:val="center"/>
              <w:rPr>
                <w:rFonts w:ascii="Times New Roman" w:hAnsi="Times New Roman" w:cs="Times New Roman"/>
              </w:rPr>
            </w:pPr>
            <w:r>
              <w:rPr>
                <w:rFonts w:ascii="Times New Roman" w:hAnsi="Times New Roman" w:cs="Times New Roman"/>
              </w:rPr>
              <w:t>(</w:t>
            </w:r>
            <w:r w:rsidR="0075350B" w:rsidRPr="0075350B">
              <w:rPr>
                <w:rFonts w:ascii="Times New Roman" w:hAnsi="Times New Roman" w:cs="Times New Roman"/>
              </w:rPr>
              <w:t>.035</w:t>
            </w:r>
            <w:r w:rsidR="00095553">
              <w:rPr>
                <w:rFonts w:ascii="Times New Roman" w:hAnsi="Times New Roman" w:cs="Times New Roman"/>
              </w:rPr>
              <w:t>4</w:t>
            </w:r>
            <w:r w:rsidR="009761EF">
              <w:rPr>
                <w:rFonts w:ascii="Times New Roman" w:hAnsi="Times New Roman" w:cs="Times New Roman"/>
              </w:rPr>
              <w:t>)</w:t>
            </w:r>
          </w:p>
        </w:tc>
        <w:tc>
          <w:tcPr>
            <w:tcW w:w="1530" w:type="dxa"/>
          </w:tcPr>
          <w:p w14:paraId="1E582047" w14:textId="2EB59E3A" w:rsidR="00147D17" w:rsidRDefault="009F44DD" w:rsidP="00147D17">
            <w:pPr>
              <w:rPr>
                <w:rFonts w:ascii="Times New Roman" w:hAnsi="Times New Roman" w:cs="Times New Roman"/>
              </w:rPr>
            </w:pPr>
            <w:r w:rsidRPr="009F44DD">
              <w:rPr>
                <w:rFonts w:ascii="Times New Roman" w:hAnsi="Times New Roman" w:cs="Times New Roman"/>
              </w:rPr>
              <w:t>-.0479</w:t>
            </w:r>
            <w:r w:rsidR="00C23D59">
              <w:rPr>
                <w:rFonts w:ascii="Times New Roman" w:hAnsi="Times New Roman" w:cs="Times New Roman"/>
              </w:rPr>
              <w:t>*</w:t>
            </w:r>
            <w:r w:rsidRPr="009F44DD">
              <w:rPr>
                <w:rFonts w:ascii="Times New Roman" w:hAnsi="Times New Roman" w:cs="Times New Roman"/>
              </w:rPr>
              <w:t xml:space="preserve">   </w:t>
            </w:r>
          </w:p>
          <w:p w14:paraId="04D0FD78" w14:textId="00444B78" w:rsidR="0045402A" w:rsidRDefault="00147D17">
            <w:pPr>
              <w:jc w:val="center"/>
              <w:rPr>
                <w:rFonts w:ascii="Times New Roman" w:hAnsi="Times New Roman" w:cs="Times New Roman"/>
              </w:rPr>
            </w:pPr>
            <w:r>
              <w:rPr>
                <w:rFonts w:ascii="Times New Roman" w:hAnsi="Times New Roman" w:cs="Times New Roman"/>
              </w:rPr>
              <w:t>(</w:t>
            </w:r>
            <w:r w:rsidR="009F44DD" w:rsidRPr="009F44DD">
              <w:rPr>
                <w:rFonts w:ascii="Times New Roman" w:hAnsi="Times New Roman" w:cs="Times New Roman"/>
              </w:rPr>
              <w:t>.0187</w:t>
            </w:r>
            <w:r>
              <w:rPr>
                <w:rFonts w:ascii="Times New Roman" w:hAnsi="Times New Roman" w:cs="Times New Roman"/>
              </w:rPr>
              <w:t>)</w:t>
            </w:r>
          </w:p>
        </w:tc>
        <w:tc>
          <w:tcPr>
            <w:tcW w:w="1890" w:type="dxa"/>
          </w:tcPr>
          <w:p w14:paraId="3903E7E2" w14:textId="48850C92" w:rsidR="00147D17" w:rsidRDefault="00800AD5" w:rsidP="00147D17">
            <w:pPr>
              <w:rPr>
                <w:rFonts w:ascii="Times New Roman" w:hAnsi="Times New Roman" w:cs="Times New Roman"/>
              </w:rPr>
            </w:pPr>
            <w:r w:rsidRPr="00800AD5">
              <w:rPr>
                <w:rFonts w:ascii="Times New Roman" w:hAnsi="Times New Roman" w:cs="Times New Roman"/>
              </w:rPr>
              <w:t>.020</w:t>
            </w:r>
            <w:r w:rsidR="00770E5D">
              <w:rPr>
                <w:rFonts w:ascii="Times New Roman" w:hAnsi="Times New Roman" w:cs="Times New Roman"/>
              </w:rPr>
              <w:t>7</w:t>
            </w:r>
            <w:r w:rsidRPr="00800AD5">
              <w:rPr>
                <w:rFonts w:ascii="Times New Roman" w:hAnsi="Times New Roman" w:cs="Times New Roman"/>
              </w:rPr>
              <w:t xml:space="preserve">   </w:t>
            </w:r>
          </w:p>
          <w:p w14:paraId="57EC6946" w14:textId="0E6F489D" w:rsidR="0045402A" w:rsidRDefault="00147D17">
            <w:pPr>
              <w:jc w:val="center"/>
              <w:rPr>
                <w:rFonts w:ascii="Times New Roman" w:hAnsi="Times New Roman" w:cs="Times New Roman"/>
              </w:rPr>
            </w:pPr>
            <w:r>
              <w:rPr>
                <w:rFonts w:ascii="Times New Roman" w:hAnsi="Times New Roman" w:cs="Times New Roman"/>
              </w:rPr>
              <w:t>(</w:t>
            </w:r>
            <w:r w:rsidR="00800AD5" w:rsidRPr="00800AD5">
              <w:rPr>
                <w:rFonts w:ascii="Times New Roman" w:hAnsi="Times New Roman" w:cs="Times New Roman"/>
              </w:rPr>
              <w:t>.034</w:t>
            </w:r>
            <w:r w:rsidR="00770E5D">
              <w:rPr>
                <w:rFonts w:ascii="Times New Roman" w:hAnsi="Times New Roman" w:cs="Times New Roman"/>
              </w:rPr>
              <w:t>5</w:t>
            </w:r>
            <w:r>
              <w:rPr>
                <w:rFonts w:ascii="Times New Roman" w:hAnsi="Times New Roman" w:cs="Times New Roman"/>
              </w:rPr>
              <w:t>)</w:t>
            </w:r>
          </w:p>
        </w:tc>
      </w:tr>
      <w:tr w:rsidR="0045402A" w14:paraId="40680D01" w14:textId="77777777" w:rsidTr="004538AE">
        <w:trPr>
          <w:trHeight w:val="720"/>
        </w:trPr>
        <w:tc>
          <w:tcPr>
            <w:tcW w:w="900" w:type="dxa"/>
          </w:tcPr>
          <w:p w14:paraId="51B09F79" w14:textId="77777777" w:rsidR="0045402A" w:rsidRDefault="0045402A">
            <w:pPr>
              <w:rPr>
                <w:rFonts w:ascii="Times New Roman" w:hAnsi="Times New Roman" w:cs="Times New Roman"/>
              </w:rPr>
            </w:pPr>
            <w:r>
              <w:rPr>
                <w:rFonts w:ascii="Times New Roman" w:hAnsi="Times New Roman" w:cs="Times New Roman"/>
              </w:rPr>
              <w:t>Pre-3</w:t>
            </w:r>
          </w:p>
        </w:tc>
        <w:tc>
          <w:tcPr>
            <w:tcW w:w="1440" w:type="dxa"/>
          </w:tcPr>
          <w:p w14:paraId="7FE2BB1F" w14:textId="41BE0626" w:rsidR="0045402A" w:rsidRDefault="0045402A">
            <w:pPr>
              <w:rPr>
                <w:rFonts w:ascii="Times New Roman" w:hAnsi="Times New Roman" w:cs="Times New Roman"/>
              </w:rPr>
            </w:pPr>
            <w:r w:rsidRPr="00EB5454">
              <w:rPr>
                <w:rFonts w:ascii="Times New Roman" w:hAnsi="Times New Roman" w:cs="Times New Roman"/>
              </w:rPr>
              <w:t>.024</w:t>
            </w:r>
            <w:r w:rsidR="0024281E">
              <w:rPr>
                <w:rFonts w:ascii="Times New Roman" w:hAnsi="Times New Roman" w:cs="Times New Roman"/>
              </w:rPr>
              <w:t>2</w:t>
            </w:r>
            <w:r w:rsidRPr="00EB5454">
              <w:rPr>
                <w:rFonts w:ascii="Times New Roman" w:hAnsi="Times New Roman" w:cs="Times New Roman"/>
              </w:rPr>
              <w:t xml:space="preserve">  </w:t>
            </w:r>
          </w:p>
          <w:p w14:paraId="3831901E" w14:textId="4583DBC8" w:rsidR="0045402A" w:rsidRDefault="0045402A">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.0128</w:t>
            </w:r>
            <w:r>
              <w:rPr>
                <w:rFonts w:ascii="Times New Roman" w:hAnsi="Times New Roman" w:cs="Times New Roman"/>
              </w:rPr>
              <w:t>)</w:t>
            </w:r>
          </w:p>
        </w:tc>
        <w:tc>
          <w:tcPr>
            <w:tcW w:w="1440" w:type="dxa"/>
          </w:tcPr>
          <w:p w14:paraId="1B504911" w14:textId="29C9195E" w:rsidR="00D501F7" w:rsidRDefault="00A02BAB" w:rsidP="00147D17">
            <w:pPr>
              <w:rPr>
                <w:rFonts w:ascii="Times New Roman" w:hAnsi="Times New Roman" w:cs="Times New Roman"/>
              </w:rPr>
            </w:pPr>
            <w:r w:rsidRPr="00A02BAB">
              <w:rPr>
                <w:rFonts w:ascii="Times New Roman" w:hAnsi="Times New Roman" w:cs="Times New Roman"/>
              </w:rPr>
              <w:t>.062</w:t>
            </w:r>
            <w:r w:rsidR="00095553">
              <w:rPr>
                <w:rFonts w:ascii="Times New Roman" w:hAnsi="Times New Roman" w:cs="Times New Roman"/>
              </w:rPr>
              <w:t>5</w:t>
            </w:r>
            <w:r w:rsidR="00362107">
              <w:rPr>
                <w:rFonts w:ascii="Times New Roman" w:hAnsi="Times New Roman" w:cs="Times New Roman"/>
              </w:rPr>
              <w:t>*</w:t>
            </w:r>
            <w:r w:rsidRPr="00A02BAB">
              <w:rPr>
                <w:rFonts w:ascii="Times New Roman" w:hAnsi="Times New Roman" w:cs="Times New Roman"/>
              </w:rPr>
              <w:t xml:space="preserve">    </w:t>
            </w:r>
          </w:p>
          <w:p w14:paraId="2B35DB85" w14:textId="5F6ABF9E" w:rsidR="0045402A" w:rsidRDefault="00147D17">
            <w:pPr>
              <w:jc w:val="center"/>
              <w:rPr>
                <w:rFonts w:ascii="Times New Roman" w:hAnsi="Times New Roman" w:cs="Times New Roman"/>
              </w:rPr>
            </w:pPr>
            <w:r>
              <w:rPr>
                <w:rFonts w:ascii="Times New Roman" w:hAnsi="Times New Roman" w:cs="Times New Roman"/>
              </w:rPr>
              <w:t>(</w:t>
            </w:r>
            <w:r w:rsidR="00A02BAB" w:rsidRPr="00A02BAB">
              <w:rPr>
                <w:rFonts w:ascii="Times New Roman" w:hAnsi="Times New Roman" w:cs="Times New Roman"/>
              </w:rPr>
              <w:t>.0304</w:t>
            </w:r>
            <w:r w:rsidR="009761EF">
              <w:rPr>
                <w:rFonts w:ascii="Times New Roman" w:hAnsi="Times New Roman" w:cs="Times New Roman"/>
              </w:rPr>
              <w:t>)</w:t>
            </w:r>
          </w:p>
        </w:tc>
        <w:tc>
          <w:tcPr>
            <w:tcW w:w="1440" w:type="dxa"/>
          </w:tcPr>
          <w:p w14:paraId="0705AC99" w14:textId="1195B7A3" w:rsidR="00D501F7" w:rsidRDefault="0075350B" w:rsidP="00147D17">
            <w:pPr>
              <w:rPr>
                <w:rFonts w:ascii="Times New Roman" w:hAnsi="Times New Roman" w:cs="Times New Roman"/>
              </w:rPr>
            </w:pPr>
            <w:r w:rsidRPr="0075350B">
              <w:rPr>
                <w:rFonts w:ascii="Times New Roman" w:hAnsi="Times New Roman" w:cs="Times New Roman"/>
              </w:rPr>
              <w:t xml:space="preserve">.0606  </w:t>
            </w:r>
          </w:p>
          <w:p w14:paraId="68C5E9A6" w14:textId="4314B0E9" w:rsidR="0045402A" w:rsidRDefault="00147D17">
            <w:pPr>
              <w:jc w:val="center"/>
              <w:rPr>
                <w:rFonts w:ascii="Times New Roman" w:hAnsi="Times New Roman" w:cs="Times New Roman"/>
              </w:rPr>
            </w:pPr>
            <w:r>
              <w:rPr>
                <w:rFonts w:ascii="Times New Roman" w:hAnsi="Times New Roman" w:cs="Times New Roman"/>
              </w:rPr>
              <w:t>(</w:t>
            </w:r>
            <w:r w:rsidR="0075350B" w:rsidRPr="0075350B">
              <w:rPr>
                <w:rFonts w:ascii="Times New Roman" w:hAnsi="Times New Roman" w:cs="Times New Roman"/>
              </w:rPr>
              <w:t>.036</w:t>
            </w:r>
            <w:r w:rsidR="00095553">
              <w:rPr>
                <w:rFonts w:ascii="Times New Roman" w:hAnsi="Times New Roman" w:cs="Times New Roman"/>
              </w:rPr>
              <w:t>5</w:t>
            </w:r>
            <w:r w:rsidR="009761EF">
              <w:rPr>
                <w:rFonts w:ascii="Times New Roman" w:hAnsi="Times New Roman" w:cs="Times New Roman"/>
              </w:rPr>
              <w:t>)</w:t>
            </w:r>
          </w:p>
        </w:tc>
        <w:tc>
          <w:tcPr>
            <w:tcW w:w="1530" w:type="dxa"/>
          </w:tcPr>
          <w:p w14:paraId="2E8EA9BF" w14:textId="7435BED4" w:rsidR="00147D17" w:rsidRDefault="009F44DD" w:rsidP="00147D17">
            <w:pPr>
              <w:rPr>
                <w:rFonts w:ascii="Times New Roman" w:hAnsi="Times New Roman" w:cs="Times New Roman"/>
              </w:rPr>
            </w:pPr>
            <w:r w:rsidRPr="009F44DD">
              <w:rPr>
                <w:rFonts w:ascii="Times New Roman" w:hAnsi="Times New Roman" w:cs="Times New Roman"/>
              </w:rPr>
              <w:t>-.037</w:t>
            </w:r>
            <w:r w:rsidR="00821078">
              <w:rPr>
                <w:rFonts w:ascii="Times New Roman" w:hAnsi="Times New Roman" w:cs="Times New Roman"/>
              </w:rPr>
              <w:t>6</w:t>
            </w:r>
            <w:r w:rsidRPr="009F44DD">
              <w:rPr>
                <w:rFonts w:ascii="Times New Roman" w:hAnsi="Times New Roman" w:cs="Times New Roman"/>
              </w:rPr>
              <w:t xml:space="preserve">   </w:t>
            </w:r>
          </w:p>
          <w:p w14:paraId="4CD0F1D0" w14:textId="799ABC7C" w:rsidR="0045402A" w:rsidRDefault="00147D17">
            <w:pPr>
              <w:jc w:val="center"/>
              <w:rPr>
                <w:rFonts w:ascii="Times New Roman" w:hAnsi="Times New Roman" w:cs="Times New Roman"/>
              </w:rPr>
            </w:pPr>
            <w:r>
              <w:rPr>
                <w:rFonts w:ascii="Times New Roman" w:hAnsi="Times New Roman" w:cs="Times New Roman"/>
              </w:rPr>
              <w:t>(</w:t>
            </w:r>
            <w:r w:rsidR="009F44DD" w:rsidRPr="009F44DD">
              <w:rPr>
                <w:rFonts w:ascii="Times New Roman" w:hAnsi="Times New Roman" w:cs="Times New Roman"/>
              </w:rPr>
              <w:t>.0209</w:t>
            </w:r>
            <w:r>
              <w:rPr>
                <w:rFonts w:ascii="Times New Roman" w:hAnsi="Times New Roman" w:cs="Times New Roman"/>
              </w:rPr>
              <w:t>)</w:t>
            </w:r>
            <w:r w:rsidR="009F44DD" w:rsidRPr="009F44DD">
              <w:rPr>
                <w:rFonts w:ascii="Times New Roman" w:hAnsi="Times New Roman" w:cs="Times New Roman"/>
              </w:rPr>
              <w:t xml:space="preserve">   </w:t>
            </w:r>
          </w:p>
        </w:tc>
        <w:tc>
          <w:tcPr>
            <w:tcW w:w="1890" w:type="dxa"/>
          </w:tcPr>
          <w:p w14:paraId="19C28289" w14:textId="4F09DF03" w:rsidR="00147D17" w:rsidRDefault="00800AD5" w:rsidP="00147D17">
            <w:pPr>
              <w:rPr>
                <w:rFonts w:ascii="Times New Roman" w:hAnsi="Times New Roman" w:cs="Times New Roman"/>
              </w:rPr>
            </w:pPr>
            <w:r w:rsidRPr="00800AD5">
              <w:rPr>
                <w:rFonts w:ascii="Times New Roman" w:hAnsi="Times New Roman" w:cs="Times New Roman"/>
              </w:rPr>
              <w:t>.050</w:t>
            </w:r>
            <w:r w:rsidR="00770E5D">
              <w:rPr>
                <w:rFonts w:ascii="Times New Roman" w:hAnsi="Times New Roman" w:cs="Times New Roman"/>
              </w:rPr>
              <w:t>4</w:t>
            </w:r>
            <w:r w:rsidRPr="00800AD5">
              <w:rPr>
                <w:rFonts w:ascii="Times New Roman" w:hAnsi="Times New Roman" w:cs="Times New Roman"/>
              </w:rPr>
              <w:t xml:space="preserve">   </w:t>
            </w:r>
          </w:p>
          <w:p w14:paraId="66E027E9" w14:textId="6049BB57" w:rsidR="0045402A" w:rsidRDefault="00147D17">
            <w:pPr>
              <w:jc w:val="center"/>
              <w:rPr>
                <w:rFonts w:ascii="Times New Roman" w:hAnsi="Times New Roman" w:cs="Times New Roman"/>
              </w:rPr>
            </w:pPr>
            <w:r>
              <w:rPr>
                <w:rFonts w:ascii="Times New Roman" w:hAnsi="Times New Roman" w:cs="Times New Roman"/>
              </w:rPr>
              <w:t>(</w:t>
            </w:r>
            <w:r w:rsidR="00800AD5" w:rsidRPr="00800AD5">
              <w:rPr>
                <w:rFonts w:ascii="Times New Roman" w:hAnsi="Times New Roman" w:cs="Times New Roman"/>
              </w:rPr>
              <w:t>.034775</w:t>
            </w:r>
            <w:r>
              <w:rPr>
                <w:rFonts w:ascii="Times New Roman" w:hAnsi="Times New Roman" w:cs="Times New Roman"/>
              </w:rPr>
              <w:t>)</w:t>
            </w:r>
            <w:r w:rsidR="00800AD5" w:rsidRPr="00800AD5">
              <w:rPr>
                <w:rFonts w:ascii="Times New Roman" w:hAnsi="Times New Roman" w:cs="Times New Roman"/>
              </w:rPr>
              <w:t xml:space="preserve">     </w:t>
            </w:r>
          </w:p>
        </w:tc>
      </w:tr>
      <w:tr w:rsidR="0045402A" w14:paraId="18F2E779" w14:textId="77777777" w:rsidTr="004538AE">
        <w:trPr>
          <w:trHeight w:val="711"/>
        </w:trPr>
        <w:tc>
          <w:tcPr>
            <w:tcW w:w="900" w:type="dxa"/>
            <w:tcBorders>
              <w:bottom w:val="single" w:sz="4" w:space="0" w:color="auto"/>
            </w:tcBorders>
          </w:tcPr>
          <w:p w14:paraId="72C7C6C3" w14:textId="77777777" w:rsidR="0045402A" w:rsidRDefault="0045402A">
            <w:pPr>
              <w:rPr>
                <w:rFonts w:ascii="Times New Roman" w:hAnsi="Times New Roman" w:cs="Times New Roman"/>
              </w:rPr>
            </w:pPr>
            <w:r>
              <w:rPr>
                <w:rFonts w:ascii="Times New Roman" w:hAnsi="Times New Roman" w:cs="Times New Roman"/>
              </w:rPr>
              <w:t>Pre-2</w:t>
            </w:r>
          </w:p>
        </w:tc>
        <w:tc>
          <w:tcPr>
            <w:tcW w:w="1440" w:type="dxa"/>
            <w:tcBorders>
              <w:bottom w:val="single" w:sz="4" w:space="0" w:color="auto"/>
            </w:tcBorders>
          </w:tcPr>
          <w:p w14:paraId="75211A27" w14:textId="54790536" w:rsidR="0045402A" w:rsidRDefault="0045402A">
            <w:pPr>
              <w:rPr>
                <w:rFonts w:ascii="Times New Roman" w:hAnsi="Times New Roman" w:cs="Times New Roman"/>
              </w:rPr>
            </w:pPr>
            <w:r w:rsidRPr="00EB5454">
              <w:rPr>
                <w:rFonts w:ascii="Times New Roman" w:hAnsi="Times New Roman" w:cs="Times New Roman"/>
              </w:rPr>
              <w:t>.01</w:t>
            </w:r>
            <w:r w:rsidR="0024281E">
              <w:rPr>
                <w:rFonts w:ascii="Times New Roman" w:hAnsi="Times New Roman" w:cs="Times New Roman"/>
              </w:rPr>
              <w:t>50</w:t>
            </w:r>
            <w:r w:rsidRPr="00EB5454">
              <w:rPr>
                <w:rFonts w:ascii="Times New Roman" w:hAnsi="Times New Roman" w:cs="Times New Roman"/>
              </w:rPr>
              <w:t xml:space="preserve">  </w:t>
            </w:r>
          </w:p>
          <w:p w14:paraId="11F538FD" w14:textId="090458C9" w:rsidR="0045402A" w:rsidRDefault="0045402A">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.0140</w:t>
            </w:r>
            <w:r>
              <w:rPr>
                <w:rFonts w:ascii="Times New Roman" w:hAnsi="Times New Roman" w:cs="Times New Roman"/>
              </w:rPr>
              <w:t>)</w:t>
            </w:r>
          </w:p>
        </w:tc>
        <w:tc>
          <w:tcPr>
            <w:tcW w:w="1440" w:type="dxa"/>
            <w:tcBorders>
              <w:bottom w:val="single" w:sz="4" w:space="0" w:color="auto"/>
            </w:tcBorders>
          </w:tcPr>
          <w:p w14:paraId="63177F68" w14:textId="7CEAF6D3" w:rsidR="00D501F7" w:rsidRDefault="00A02BAB" w:rsidP="00147D17">
            <w:pPr>
              <w:rPr>
                <w:rFonts w:ascii="Times New Roman" w:hAnsi="Times New Roman" w:cs="Times New Roman"/>
              </w:rPr>
            </w:pPr>
            <w:r w:rsidRPr="00A02BAB">
              <w:rPr>
                <w:rFonts w:ascii="Times New Roman" w:hAnsi="Times New Roman" w:cs="Times New Roman"/>
              </w:rPr>
              <w:t xml:space="preserve">.0522  </w:t>
            </w:r>
          </w:p>
          <w:p w14:paraId="6F67FDB3" w14:textId="337DB10C" w:rsidR="0045402A" w:rsidRDefault="00147D17">
            <w:pPr>
              <w:jc w:val="center"/>
              <w:rPr>
                <w:rFonts w:ascii="Times New Roman" w:hAnsi="Times New Roman" w:cs="Times New Roman"/>
              </w:rPr>
            </w:pPr>
            <w:r>
              <w:rPr>
                <w:rFonts w:ascii="Times New Roman" w:hAnsi="Times New Roman" w:cs="Times New Roman"/>
              </w:rPr>
              <w:t>(</w:t>
            </w:r>
            <w:r w:rsidR="00A02BAB" w:rsidRPr="00A02BAB">
              <w:rPr>
                <w:rFonts w:ascii="Times New Roman" w:hAnsi="Times New Roman" w:cs="Times New Roman"/>
              </w:rPr>
              <w:t>.032</w:t>
            </w:r>
            <w:r w:rsidR="00095553">
              <w:rPr>
                <w:rFonts w:ascii="Times New Roman" w:hAnsi="Times New Roman" w:cs="Times New Roman"/>
              </w:rPr>
              <w:t>7</w:t>
            </w:r>
            <w:r w:rsidR="009761EF">
              <w:rPr>
                <w:rFonts w:ascii="Times New Roman" w:hAnsi="Times New Roman" w:cs="Times New Roman"/>
              </w:rPr>
              <w:t>)</w:t>
            </w:r>
          </w:p>
        </w:tc>
        <w:tc>
          <w:tcPr>
            <w:tcW w:w="1440" w:type="dxa"/>
            <w:tcBorders>
              <w:bottom w:val="single" w:sz="4" w:space="0" w:color="auto"/>
            </w:tcBorders>
          </w:tcPr>
          <w:p w14:paraId="5C25B957" w14:textId="7DD440D7" w:rsidR="00D501F7" w:rsidRDefault="00B0352B" w:rsidP="00147D17">
            <w:pPr>
              <w:rPr>
                <w:rFonts w:ascii="Times New Roman" w:hAnsi="Times New Roman" w:cs="Times New Roman"/>
              </w:rPr>
            </w:pPr>
            <w:r w:rsidRPr="00B0352B">
              <w:rPr>
                <w:rFonts w:ascii="Times New Roman" w:hAnsi="Times New Roman" w:cs="Times New Roman"/>
              </w:rPr>
              <w:t xml:space="preserve">.0183  </w:t>
            </w:r>
          </w:p>
          <w:p w14:paraId="5F6B61ED" w14:textId="3C08A7F5" w:rsidR="0045402A" w:rsidRDefault="00147D17">
            <w:pPr>
              <w:jc w:val="center"/>
              <w:rPr>
                <w:rFonts w:ascii="Times New Roman" w:hAnsi="Times New Roman" w:cs="Times New Roman"/>
              </w:rPr>
            </w:pPr>
            <w:r>
              <w:rPr>
                <w:rFonts w:ascii="Times New Roman" w:hAnsi="Times New Roman" w:cs="Times New Roman"/>
              </w:rPr>
              <w:t>(</w:t>
            </w:r>
            <w:r w:rsidR="00B0352B" w:rsidRPr="00B0352B">
              <w:rPr>
                <w:rFonts w:ascii="Times New Roman" w:hAnsi="Times New Roman" w:cs="Times New Roman"/>
              </w:rPr>
              <w:t>.035</w:t>
            </w:r>
            <w:r w:rsidR="00095553">
              <w:rPr>
                <w:rFonts w:ascii="Times New Roman" w:hAnsi="Times New Roman" w:cs="Times New Roman"/>
              </w:rPr>
              <w:t>5</w:t>
            </w:r>
            <w:r w:rsidR="009761EF">
              <w:rPr>
                <w:rFonts w:ascii="Times New Roman" w:hAnsi="Times New Roman" w:cs="Times New Roman"/>
              </w:rPr>
              <w:t>)</w:t>
            </w:r>
          </w:p>
        </w:tc>
        <w:tc>
          <w:tcPr>
            <w:tcW w:w="1530" w:type="dxa"/>
            <w:tcBorders>
              <w:bottom w:val="single" w:sz="4" w:space="0" w:color="auto"/>
            </w:tcBorders>
          </w:tcPr>
          <w:p w14:paraId="156BF0B5" w14:textId="2F1146DE" w:rsidR="00147D17" w:rsidRDefault="0060770A" w:rsidP="00147D17">
            <w:pPr>
              <w:rPr>
                <w:rFonts w:ascii="Times New Roman" w:hAnsi="Times New Roman" w:cs="Times New Roman"/>
              </w:rPr>
            </w:pPr>
            <w:r w:rsidRPr="0060770A">
              <w:rPr>
                <w:rFonts w:ascii="Times New Roman" w:hAnsi="Times New Roman" w:cs="Times New Roman"/>
              </w:rPr>
              <w:t xml:space="preserve"> -.0547</w:t>
            </w:r>
            <w:r w:rsidR="00C23D59">
              <w:rPr>
                <w:rFonts w:ascii="Times New Roman" w:hAnsi="Times New Roman" w:cs="Times New Roman"/>
              </w:rPr>
              <w:t>*</w:t>
            </w:r>
            <w:r w:rsidRPr="0060770A">
              <w:rPr>
                <w:rFonts w:ascii="Times New Roman" w:hAnsi="Times New Roman" w:cs="Times New Roman"/>
              </w:rPr>
              <w:t xml:space="preserve">   </w:t>
            </w:r>
          </w:p>
          <w:p w14:paraId="3C6E047D" w14:textId="336B9612" w:rsidR="0045402A" w:rsidRDefault="00147D17">
            <w:pPr>
              <w:jc w:val="center"/>
              <w:rPr>
                <w:rFonts w:ascii="Times New Roman" w:hAnsi="Times New Roman" w:cs="Times New Roman"/>
              </w:rPr>
            </w:pPr>
            <w:r>
              <w:rPr>
                <w:rFonts w:ascii="Times New Roman" w:hAnsi="Times New Roman" w:cs="Times New Roman"/>
              </w:rPr>
              <w:t>(</w:t>
            </w:r>
            <w:r w:rsidR="0060770A" w:rsidRPr="0060770A">
              <w:rPr>
                <w:rFonts w:ascii="Times New Roman" w:hAnsi="Times New Roman" w:cs="Times New Roman"/>
              </w:rPr>
              <w:t>.022</w:t>
            </w:r>
            <w:r w:rsidR="00821078">
              <w:rPr>
                <w:rFonts w:ascii="Times New Roman" w:hAnsi="Times New Roman" w:cs="Times New Roman"/>
              </w:rPr>
              <w:t>5</w:t>
            </w:r>
            <w:r>
              <w:rPr>
                <w:rFonts w:ascii="Times New Roman" w:hAnsi="Times New Roman" w:cs="Times New Roman"/>
              </w:rPr>
              <w:t>)</w:t>
            </w:r>
            <w:r w:rsidR="0060770A" w:rsidRPr="0060770A">
              <w:rPr>
                <w:rFonts w:ascii="Times New Roman" w:hAnsi="Times New Roman" w:cs="Times New Roman"/>
              </w:rPr>
              <w:t xml:space="preserve">   </w:t>
            </w:r>
          </w:p>
        </w:tc>
        <w:tc>
          <w:tcPr>
            <w:tcW w:w="1890" w:type="dxa"/>
            <w:tcBorders>
              <w:bottom w:val="single" w:sz="4" w:space="0" w:color="auto"/>
            </w:tcBorders>
          </w:tcPr>
          <w:p w14:paraId="2C7EE3D5" w14:textId="4CA55E18" w:rsidR="00147D17" w:rsidRDefault="00800AD5" w:rsidP="00147D17">
            <w:pPr>
              <w:rPr>
                <w:rFonts w:ascii="Times New Roman" w:hAnsi="Times New Roman" w:cs="Times New Roman"/>
              </w:rPr>
            </w:pPr>
            <w:r w:rsidRPr="00800AD5">
              <w:rPr>
                <w:rFonts w:ascii="Times New Roman" w:hAnsi="Times New Roman" w:cs="Times New Roman"/>
              </w:rPr>
              <w:t>.051</w:t>
            </w:r>
            <w:r w:rsidR="00770E5D">
              <w:rPr>
                <w:rFonts w:ascii="Times New Roman" w:hAnsi="Times New Roman" w:cs="Times New Roman"/>
              </w:rPr>
              <w:t>3</w:t>
            </w:r>
            <w:r w:rsidRPr="00800AD5">
              <w:rPr>
                <w:rFonts w:ascii="Times New Roman" w:hAnsi="Times New Roman" w:cs="Times New Roman"/>
              </w:rPr>
              <w:t xml:space="preserve">   </w:t>
            </w:r>
          </w:p>
          <w:p w14:paraId="4995F55E" w14:textId="06F4702B" w:rsidR="0045402A" w:rsidRDefault="00147D17">
            <w:pPr>
              <w:jc w:val="center"/>
              <w:rPr>
                <w:rFonts w:ascii="Times New Roman" w:hAnsi="Times New Roman" w:cs="Times New Roman"/>
              </w:rPr>
            </w:pPr>
            <w:r>
              <w:rPr>
                <w:rFonts w:ascii="Times New Roman" w:hAnsi="Times New Roman" w:cs="Times New Roman"/>
              </w:rPr>
              <w:t>(</w:t>
            </w:r>
            <w:r w:rsidR="00800AD5" w:rsidRPr="00800AD5">
              <w:rPr>
                <w:rFonts w:ascii="Times New Roman" w:hAnsi="Times New Roman" w:cs="Times New Roman"/>
              </w:rPr>
              <w:t>.036</w:t>
            </w:r>
            <w:r w:rsidR="00770E5D">
              <w:rPr>
                <w:rFonts w:ascii="Times New Roman" w:hAnsi="Times New Roman" w:cs="Times New Roman"/>
              </w:rPr>
              <w:t>7</w:t>
            </w:r>
            <w:r>
              <w:rPr>
                <w:rFonts w:ascii="Times New Roman" w:hAnsi="Times New Roman" w:cs="Times New Roman"/>
              </w:rPr>
              <w:t>)</w:t>
            </w:r>
          </w:p>
        </w:tc>
      </w:tr>
      <w:tr w:rsidR="0045402A" w14:paraId="4D97C4DA" w14:textId="77777777" w:rsidTr="004538AE">
        <w:trPr>
          <w:trHeight w:val="738"/>
        </w:trPr>
        <w:tc>
          <w:tcPr>
            <w:tcW w:w="900" w:type="dxa"/>
            <w:tcBorders>
              <w:top w:val="single" w:sz="4" w:space="0" w:color="auto"/>
            </w:tcBorders>
          </w:tcPr>
          <w:p w14:paraId="39A6DC02" w14:textId="77777777" w:rsidR="0045402A" w:rsidRDefault="0045402A">
            <w:pPr>
              <w:rPr>
                <w:rFonts w:ascii="Times New Roman" w:hAnsi="Times New Roman" w:cs="Times New Roman"/>
              </w:rPr>
            </w:pPr>
            <w:r>
              <w:rPr>
                <w:rFonts w:ascii="Times New Roman" w:hAnsi="Times New Roman" w:cs="Times New Roman"/>
              </w:rPr>
              <w:t>Post-0</w:t>
            </w:r>
          </w:p>
        </w:tc>
        <w:tc>
          <w:tcPr>
            <w:tcW w:w="1440" w:type="dxa"/>
            <w:tcBorders>
              <w:top w:val="single" w:sz="4" w:space="0" w:color="auto"/>
            </w:tcBorders>
          </w:tcPr>
          <w:p w14:paraId="51530467" w14:textId="27EEB43B" w:rsidR="0045402A" w:rsidRDefault="0045402A">
            <w:pPr>
              <w:rPr>
                <w:rFonts w:ascii="Times New Roman" w:hAnsi="Times New Roman" w:cs="Times New Roman"/>
              </w:rPr>
            </w:pPr>
            <w:r w:rsidRPr="00EB5454">
              <w:rPr>
                <w:rFonts w:ascii="Times New Roman" w:hAnsi="Times New Roman" w:cs="Times New Roman"/>
              </w:rPr>
              <w:t xml:space="preserve">.0210   </w:t>
            </w:r>
          </w:p>
          <w:p w14:paraId="78DCCEC9" w14:textId="1A383B9E" w:rsidR="0045402A" w:rsidRDefault="0045402A">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w:t>
            </w:r>
            <w:r w:rsidR="00095553">
              <w:rPr>
                <w:rFonts w:ascii="Times New Roman" w:hAnsi="Times New Roman" w:cs="Times New Roman"/>
              </w:rPr>
              <w:t>70</w:t>
            </w:r>
            <w:r>
              <w:rPr>
                <w:rFonts w:ascii="Times New Roman" w:hAnsi="Times New Roman" w:cs="Times New Roman"/>
              </w:rPr>
              <w:t>)</w:t>
            </w:r>
          </w:p>
        </w:tc>
        <w:tc>
          <w:tcPr>
            <w:tcW w:w="1440" w:type="dxa"/>
            <w:tcBorders>
              <w:top w:val="single" w:sz="4" w:space="0" w:color="auto"/>
            </w:tcBorders>
          </w:tcPr>
          <w:p w14:paraId="15989EE2" w14:textId="10137DBD" w:rsidR="00D501F7" w:rsidRDefault="005F3CBF" w:rsidP="00147D17">
            <w:pPr>
              <w:rPr>
                <w:rFonts w:ascii="Times New Roman" w:hAnsi="Times New Roman" w:cs="Times New Roman"/>
              </w:rPr>
            </w:pPr>
            <w:r w:rsidRPr="005F3CBF">
              <w:rPr>
                <w:rFonts w:ascii="Times New Roman" w:hAnsi="Times New Roman" w:cs="Times New Roman"/>
              </w:rPr>
              <w:t xml:space="preserve">.0547  </w:t>
            </w:r>
          </w:p>
          <w:p w14:paraId="7D79AA1B" w14:textId="24F7B5EF" w:rsidR="0045402A" w:rsidRDefault="00147D17">
            <w:pPr>
              <w:jc w:val="center"/>
              <w:rPr>
                <w:rFonts w:ascii="Times New Roman" w:hAnsi="Times New Roman" w:cs="Times New Roman"/>
              </w:rPr>
            </w:pPr>
            <w:r>
              <w:rPr>
                <w:rFonts w:ascii="Times New Roman" w:hAnsi="Times New Roman" w:cs="Times New Roman"/>
              </w:rPr>
              <w:t>(</w:t>
            </w:r>
            <w:r w:rsidR="005F3CBF" w:rsidRPr="005F3CBF">
              <w:rPr>
                <w:rFonts w:ascii="Times New Roman" w:hAnsi="Times New Roman" w:cs="Times New Roman"/>
              </w:rPr>
              <w:t>.035</w:t>
            </w:r>
            <w:r w:rsidR="00095553">
              <w:rPr>
                <w:rFonts w:ascii="Times New Roman" w:hAnsi="Times New Roman" w:cs="Times New Roman"/>
              </w:rPr>
              <w:t>4</w:t>
            </w:r>
            <w:r w:rsidR="009761EF">
              <w:rPr>
                <w:rFonts w:ascii="Times New Roman" w:hAnsi="Times New Roman" w:cs="Times New Roman"/>
              </w:rPr>
              <w:t>)</w:t>
            </w:r>
          </w:p>
        </w:tc>
        <w:tc>
          <w:tcPr>
            <w:tcW w:w="1440" w:type="dxa"/>
            <w:tcBorders>
              <w:top w:val="single" w:sz="4" w:space="0" w:color="auto"/>
            </w:tcBorders>
          </w:tcPr>
          <w:p w14:paraId="74008203" w14:textId="070925FE" w:rsidR="00D501F7" w:rsidRDefault="00B0352B" w:rsidP="00147D17">
            <w:pPr>
              <w:rPr>
                <w:rFonts w:ascii="Times New Roman" w:hAnsi="Times New Roman" w:cs="Times New Roman"/>
              </w:rPr>
            </w:pPr>
            <w:r w:rsidRPr="00B0352B">
              <w:rPr>
                <w:rFonts w:ascii="Times New Roman" w:hAnsi="Times New Roman" w:cs="Times New Roman"/>
              </w:rPr>
              <w:t>.0269</w:t>
            </w:r>
          </w:p>
          <w:p w14:paraId="24F53C14" w14:textId="061AEBFC" w:rsidR="0045402A" w:rsidRDefault="00147D17">
            <w:pPr>
              <w:jc w:val="center"/>
              <w:rPr>
                <w:rFonts w:ascii="Times New Roman" w:hAnsi="Times New Roman" w:cs="Times New Roman"/>
              </w:rPr>
            </w:pPr>
            <w:r>
              <w:rPr>
                <w:rFonts w:ascii="Times New Roman" w:hAnsi="Times New Roman" w:cs="Times New Roman"/>
              </w:rPr>
              <w:t>(</w:t>
            </w:r>
            <w:r w:rsidR="00B0352B" w:rsidRPr="00B0352B">
              <w:rPr>
                <w:rFonts w:ascii="Times New Roman" w:hAnsi="Times New Roman" w:cs="Times New Roman"/>
              </w:rPr>
              <w:t>.044</w:t>
            </w:r>
            <w:r w:rsidR="00095553">
              <w:rPr>
                <w:rFonts w:ascii="Times New Roman" w:hAnsi="Times New Roman" w:cs="Times New Roman"/>
              </w:rPr>
              <w:t>5</w:t>
            </w:r>
            <w:r w:rsidR="009761EF">
              <w:rPr>
                <w:rFonts w:ascii="Times New Roman" w:hAnsi="Times New Roman" w:cs="Times New Roman"/>
              </w:rPr>
              <w:t>)</w:t>
            </w:r>
          </w:p>
        </w:tc>
        <w:tc>
          <w:tcPr>
            <w:tcW w:w="1530" w:type="dxa"/>
            <w:tcBorders>
              <w:top w:val="single" w:sz="4" w:space="0" w:color="auto"/>
            </w:tcBorders>
          </w:tcPr>
          <w:p w14:paraId="74DA1413" w14:textId="171EA3E6" w:rsidR="00147D17" w:rsidRDefault="0060770A" w:rsidP="00147D17">
            <w:pPr>
              <w:rPr>
                <w:rFonts w:ascii="Times New Roman" w:hAnsi="Times New Roman" w:cs="Times New Roman"/>
              </w:rPr>
            </w:pPr>
            <w:r w:rsidRPr="0060770A">
              <w:rPr>
                <w:rFonts w:ascii="Times New Roman" w:hAnsi="Times New Roman" w:cs="Times New Roman"/>
              </w:rPr>
              <w:t>-.1002</w:t>
            </w:r>
            <w:r w:rsidR="00690C54">
              <w:rPr>
                <w:rFonts w:ascii="Times New Roman" w:hAnsi="Times New Roman" w:cs="Times New Roman"/>
              </w:rPr>
              <w:t>*</w:t>
            </w:r>
            <w:r w:rsidR="00544C2C">
              <w:rPr>
                <w:rFonts w:ascii="Times New Roman" w:hAnsi="Times New Roman" w:cs="Times New Roman"/>
              </w:rPr>
              <w:t>**</w:t>
            </w:r>
            <w:r w:rsidRPr="0060770A">
              <w:rPr>
                <w:rFonts w:ascii="Times New Roman" w:hAnsi="Times New Roman" w:cs="Times New Roman"/>
              </w:rPr>
              <w:t xml:space="preserve">   </w:t>
            </w:r>
          </w:p>
          <w:p w14:paraId="1BF59B9E" w14:textId="69687D62" w:rsidR="0045402A" w:rsidRDefault="00147D17">
            <w:pPr>
              <w:jc w:val="center"/>
              <w:rPr>
                <w:rFonts w:ascii="Times New Roman" w:hAnsi="Times New Roman" w:cs="Times New Roman"/>
              </w:rPr>
            </w:pPr>
            <w:r>
              <w:rPr>
                <w:rFonts w:ascii="Times New Roman" w:hAnsi="Times New Roman" w:cs="Times New Roman"/>
              </w:rPr>
              <w:t>(</w:t>
            </w:r>
            <w:r w:rsidR="0060770A" w:rsidRPr="0060770A">
              <w:rPr>
                <w:rFonts w:ascii="Times New Roman" w:hAnsi="Times New Roman" w:cs="Times New Roman"/>
              </w:rPr>
              <w:t>.0264</w:t>
            </w:r>
            <w:r>
              <w:rPr>
                <w:rFonts w:ascii="Times New Roman" w:hAnsi="Times New Roman" w:cs="Times New Roman"/>
              </w:rPr>
              <w:t>)</w:t>
            </w:r>
          </w:p>
        </w:tc>
        <w:tc>
          <w:tcPr>
            <w:tcW w:w="1890" w:type="dxa"/>
            <w:tcBorders>
              <w:top w:val="single" w:sz="4" w:space="0" w:color="auto"/>
            </w:tcBorders>
          </w:tcPr>
          <w:p w14:paraId="2947668B" w14:textId="4095E173" w:rsidR="00147D17" w:rsidRDefault="00800AD5" w:rsidP="00147D17">
            <w:pPr>
              <w:rPr>
                <w:rFonts w:ascii="Times New Roman" w:hAnsi="Times New Roman" w:cs="Times New Roman"/>
              </w:rPr>
            </w:pPr>
            <w:r>
              <w:rPr>
                <w:rFonts w:ascii="Times New Roman" w:hAnsi="Times New Roman" w:cs="Times New Roman"/>
              </w:rPr>
              <w:t>.</w:t>
            </w:r>
            <w:r w:rsidRPr="00800AD5">
              <w:rPr>
                <w:rFonts w:ascii="Times New Roman" w:hAnsi="Times New Roman" w:cs="Times New Roman"/>
              </w:rPr>
              <w:t>060</w:t>
            </w:r>
            <w:r w:rsidR="00770E5D">
              <w:rPr>
                <w:rFonts w:ascii="Times New Roman" w:hAnsi="Times New Roman" w:cs="Times New Roman"/>
              </w:rPr>
              <w:t>1</w:t>
            </w:r>
            <w:r w:rsidRPr="00800AD5">
              <w:rPr>
                <w:rFonts w:ascii="Times New Roman" w:hAnsi="Times New Roman" w:cs="Times New Roman"/>
              </w:rPr>
              <w:t xml:space="preserve">   </w:t>
            </w:r>
          </w:p>
          <w:p w14:paraId="4CAE163B" w14:textId="386616C3" w:rsidR="0045402A" w:rsidRDefault="00147D17">
            <w:pPr>
              <w:jc w:val="center"/>
              <w:rPr>
                <w:rFonts w:ascii="Times New Roman" w:hAnsi="Times New Roman" w:cs="Times New Roman"/>
              </w:rPr>
            </w:pPr>
            <w:r>
              <w:rPr>
                <w:rFonts w:ascii="Times New Roman" w:hAnsi="Times New Roman" w:cs="Times New Roman"/>
              </w:rPr>
              <w:t>(</w:t>
            </w:r>
            <w:r w:rsidR="00800AD5" w:rsidRPr="00800AD5">
              <w:rPr>
                <w:rFonts w:ascii="Times New Roman" w:hAnsi="Times New Roman" w:cs="Times New Roman"/>
              </w:rPr>
              <w:t>.039</w:t>
            </w:r>
            <w:r w:rsidR="00A2232E">
              <w:rPr>
                <w:rFonts w:ascii="Times New Roman" w:hAnsi="Times New Roman" w:cs="Times New Roman"/>
              </w:rPr>
              <w:t>4</w:t>
            </w:r>
            <w:r>
              <w:rPr>
                <w:rFonts w:ascii="Times New Roman" w:hAnsi="Times New Roman" w:cs="Times New Roman"/>
              </w:rPr>
              <w:t>)</w:t>
            </w:r>
          </w:p>
        </w:tc>
      </w:tr>
      <w:tr w:rsidR="0045402A" w14:paraId="2675A27B" w14:textId="77777777" w:rsidTr="004538AE">
        <w:trPr>
          <w:trHeight w:val="711"/>
        </w:trPr>
        <w:tc>
          <w:tcPr>
            <w:tcW w:w="900" w:type="dxa"/>
          </w:tcPr>
          <w:p w14:paraId="5267BCDB" w14:textId="77777777" w:rsidR="0045402A" w:rsidRDefault="0045402A">
            <w:pPr>
              <w:rPr>
                <w:rFonts w:ascii="Times New Roman" w:hAnsi="Times New Roman" w:cs="Times New Roman"/>
              </w:rPr>
            </w:pPr>
            <w:r>
              <w:rPr>
                <w:rFonts w:ascii="Times New Roman" w:hAnsi="Times New Roman" w:cs="Times New Roman"/>
              </w:rPr>
              <w:t>Post-1</w:t>
            </w:r>
          </w:p>
        </w:tc>
        <w:tc>
          <w:tcPr>
            <w:tcW w:w="1440" w:type="dxa"/>
          </w:tcPr>
          <w:p w14:paraId="70C4F958" w14:textId="222D68C2" w:rsidR="0045402A" w:rsidRDefault="0045402A">
            <w:pPr>
              <w:rPr>
                <w:rFonts w:ascii="Times New Roman" w:hAnsi="Times New Roman" w:cs="Times New Roman"/>
              </w:rPr>
            </w:pPr>
            <w:r w:rsidRPr="00EB5454">
              <w:rPr>
                <w:rFonts w:ascii="Times New Roman" w:hAnsi="Times New Roman" w:cs="Times New Roman"/>
              </w:rPr>
              <w:t>.0231</w:t>
            </w:r>
          </w:p>
          <w:p w14:paraId="4F9E925D" w14:textId="223B506D" w:rsidR="0045402A" w:rsidRDefault="0045402A">
            <w:pPr>
              <w:jc w:val="center"/>
              <w:rPr>
                <w:rFonts w:ascii="Times New Roman" w:hAnsi="Times New Roman" w:cs="Times New Roman"/>
              </w:rPr>
            </w:pPr>
            <w:r>
              <w:rPr>
                <w:rFonts w:ascii="Times New Roman" w:hAnsi="Times New Roman" w:cs="Times New Roman"/>
              </w:rPr>
              <w:t>(</w:t>
            </w:r>
            <w:r w:rsidRPr="00EB5454">
              <w:rPr>
                <w:rFonts w:ascii="Times New Roman" w:hAnsi="Times New Roman" w:cs="Times New Roman"/>
              </w:rPr>
              <w:t>.018</w:t>
            </w:r>
            <w:r w:rsidR="00095553">
              <w:rPr>
                <w:rFonts w:ascii="Times New Roman" w:hAnsi="Times New Roman" w:cs="Times New Roman"/>
              </w:rPr>
              <w:t>1</w:t>
            </w:r>
            <w:r>
              <w:rPr>
                <w:rFonts w:ascii="Times New Roman" w:hAnsi="Times New Roman" w:cs="Times New Roman"/>
              </w:rPr>
              <w:t>)</w:t>
            </w:r>
          </w:p>
        </w:tc>
        <w:tc>
          <w:tcPr>
            <w:tcW w:w="1440" w:type="dxa"/>
          </w:tcPr>
          <w:p w14:paraId="696C6AA8" w14:textId="123D79DB" w:rsidR="00D501F7" w:rsidRDefault="005F3CBF" w:rsidP="00147D17">
            <w:pPr>
              <w:rPr>
                <w:rFonts w:ascii="Times New Roman" w:hAnsi="Times New Roman" w:cs="Times New Roman"/>
              </w:rPr>
            </w:pPr>
            <w:r w:rsidRPr="005F3CBF">
              <w:rPr>
                <w:rFonts w:ascii="Times New Roman" w:hAnsi="Times New Roman" w:cs="Times New Roman"/>
              </w:rPr>
              <w:t>.063</w:t>
            </w:r>
            <w:r w:rsidR="00095553">
              <w:rPr>
                <w:rFonts w:ascii="Times New Roman" w:hAnsi="Times New Roman" w:cs="Times New Roman"/>
              </w:rPr>
              <w:t>9</w:t>
            </w:r>
            <w:r w:rsidRPr="005F3CBF">
              <w:rPr>
                <w:rFonts w:ascii="Times New Roman" w:hAnsi="Times New Roman" w:cs="Times New Roman"/>
              </w:rPr>
              <w:t xml:space="preserve">  </w:t>
            </w:r>
          </w:p>
          <w:p w14:paraId="721FE5DD" w14:textId="6A4CEDEB" w:rsidR="0045402A" w:rsidRDefault="00147D17">
            <w:pPr>
              <w:jc w:val="center"/>
              <w:rPr>
                <w:rFonts w:ascii="Times New Roman" w:hAnsi="Times New Roman" w:cs="Times New Roman"/>
              </w:rPr>
            </w:pPr>
            <w:r>
              <w:rPr>
                <w:rFonts w:ascii="Times New Roman" w:hAnsi="Times New Roman" w:cs="Times New Roman"/>
              </w:rPr>
              <w:t>(</w:t>
            </w:r>
            <w:r w:rsidR="005F3CBF" w:rsidRPr="005F3CBF">
              <w:rPr>
                <w:rFonts w:ascii="Times New Roman" w:hAnsi="Times New Roman" w:cs="Times New Roman"/>
              </w:rPr>
              <w:t>.0378</w:t>
            </w:r>
            <w:r w:rsidR="009761EF">
              <w:rPr>
                <w:rFonts w:ascii="Times New Roman" w:hAnsi="Times New Roman" w:cs="Times New Roman"/>
              </w:rPr>
              <w:t>)</w:t>
            </w:r>
          </w:p>
        </w:tc>
        <w:tc>
          <w:tcPr>
            <w:tcW w:w="1440" w:type="dxa"/>
          </w:tcPr>
          <w:p w14:paraId="7B4E3BDF" w14:textId="01E68BF4" w:rsidR="00D501F7" w:rsidRDefault="00B0352B" w:rsidP="00147D17">
            <w:pPr>
              <w:rPr>
                <w:rFonts w:ascii="Times New Roman" w:hAnsi="Times New Roman" w:cs="Times New Roman"/>
              </w:rPr>
            </w:pPr>
            <w:r>
              <w:rPr>
                <w:rFonts w:ascii="Times New Roman" w:hAnsi="Times New Roman" w:cs="Times New Roman"/>
              </w:rPr>
              <w:t>.</w:t>
            </w:r>
            <w:r w:rsidRPr="00B0352B">
              <w:rPr>
                <w:rFonts w:ascii="Times New Roman" w:hAnsi="Times New Roman" w:cs="Times New Roman"/>
              </w:rPr>
              <w:t xml:space="preserve">0092  </w:t>
            </w:r>
          </w:p>
          <w:p w14:paraId="511AB213" w14:textId="4E9DD12B" w:rsidR="0045402A" w:rsidRDefault="00147D17">
            <w:pPr>
              <w:jc w:val="center"/>
              <w:rPr>
                <w:rFonts w:ascii="Times New Roman" w:hAnsi="Times New Roman" w:cs="Times New Roman"/>
              </w:rPr>
            </w:pPr>
            <w:r>
              <w:rPr>
                <w:rFonts w:ascii="Times New Roman" w:hAnsi="Times New Roman" w:cs="Times New Roman"/>
              </w:rPr>
              <w:t>(</w:t>
            </w:r>
            <w:r w:rsidR="00B0352B" w:rsidRPr="00B0352B">
              <w:rPr>
                <w:rFonts w:ascii="Times New Roman" w:hAnsi="Times New Roman" w:cs="Times New Roman"/>
              </w:rPr>
              <w:t>.043</w:t>
            </w:r>
            <w:r w:rsidR="00821078">
              <w:rPr>
                <w:rFonts w:ascii="Times New Roman" w:hAnsi="Times New Roman" w:cs="Times New Roman"/>
              </w:rPr>
              <w:t>7</w:t>
            </w:r>
            <w:r w:rsidR="009761EF">
              <w:rPr>
                <w:rFonts w:ascii="Times New Roman" w:hAnsi="Times New Roman" w:cs="Times New Roman"/>
              </w:rPr>
              <w:t>)</w:t>
            </w:r>
            <w:r w:rsidR="00B0352B" w:rsidRPr="00B0352B">
              <w:rPr>
                <w:rFonts w:ascii="Times New Roman" w:hAnsi="Times New Roman" w:cs="Times New Roman"/>
              </w:rPr>
              <w:t xml:space="preserve">  </w:t>
            </w:r>
          </w:p>
        </w:tc>
        <w:tc>
          <w:tcPr>
            <w:tcW w:w="1530" w:type="dxa"/>
          </w:tcPr>
          <w:p w14:paraId="760386C2" w14:textId="06080488" w:rsidR="00147D17" w:rsidRDefault="0060770A" w:rsidP="00147D17">
            <w:pPr>
              <w:rPr>
                <w:rFonts w:ascii="Times New Roman" w:hAnsi="Times New Roman" w:cs="Times New Roman"/>
              </w:rPr>
            </w:pPr>
            <w:r w:rsidRPr="0060770A">
              <w:rPr>
                <w:rFonts w:ascii="Times New Roman" w:hAnsi="Times New Roman" w:cs="Times New Roman"/>
              </w:rPr>
              <w:t>-.111</w:t>
            </w:r>
            <w:r w:rsidR="00A2232E">
              <w:rPr>
                <w:rFonts w:ascii="Times New Roman" w:hAnsi="Times New Roman" w:cs="Times New Roman"/>
              </w:rPr>
              <w:t>2</w:t>
            </w:r>
            <w:r w:rsidR="00690C54">
              <w:rPr>
                <w:rFonts w:ascii="Times New Roman" w:hAnsi="Times New Roman" w:cs="Times New Roman"/>
              </w:rPr>
              <w:t>*</w:t>
            </w:r>
            <w:r w:rsidR="00544C2C">
              <w:rPr>
                <w:rFonts w:ascii="Times New Roman" w:hAnsi="Times New Roman" w:cs="Times New Roman"/>
              </w:rPr>
              <w:t>**</w:t>
            </w:r>
            <w:r w:rsidRPr="0060770A">
              <w:rPr>
                <w:rFonts w:ascii="Times New Roman" w:hAnsi="Times New Roman" w:cs="Times New Roman"/>
              </w:rPr>
              <w:t xml:space="preserve">   </w:t>
            </w:r>
          </w:p>
          <w:p w14:paraId="794EECA9" w14:textId="7F390C3A" w:rsidR="0045402A" w:rsidRDefault="00147D17">
            <w:pPr>
              <w:jc w:val="center"/>
              <w:rPr>
                <w:rFonts w:ascii="Times New Roman" w:hAnsi="Times New Roman" w:cs="Times New Roman"/>
              </w:rPr>
            </w:pPr>
            <w:r>
              <w:rPr>
                <w:rFonts w:ascii="Times New Roman" w:hAnsi="Times New Roman" w:cs="Times New Roman"/>
              </w:rPr>
              <w:t>(</w:t>
            </w:r>
            <w:r w:rsidR="0060770A" w:rsidRPr="0060770A">
              <w:rPr>
                <w:rFonts w:ascii="Times New Roman" w:hAnsi="Times New Roman" w:cs="Times New Roman"/>
              </w:rPr>
              <w:t>.028</w:t>
            </w:r>
            <w:r w:rsidR="00A2232E">
              <w:rPr>
                <w:rFonts w:ascii="Times New Roman" w:hAnsi="Times New Roman" w:cs="Times New Roman"/>
              </w:rPr>
              <w:t>1</w:t>
            </w:r>
            <w:r>
              <w:rPr>
                <w:rFonts w:ascii="Times New Roman" w:hAnsi="Times New Roman" w:cs="Times New Roman"/>
              </w:rPr>
              <w:t>)</w:t>
            </w:r>
          </w:p>
        </w:tc>
        <w:tc>
          <w:tcPr>
            <w:tcW w:w="1890" w:type="dxa"/>
          </w:tcPr>
          <w:p w14:paraId="3A4C0B1F" w14:textId="59829B60" w:rsidR="00147D17" w:rsidRDefault="00D501F7" w:rsidP="00147D17">
            <w:pPr>
              <w:rPr>
                <w:rFonts w:ascii="Times New Roman" w:hAnsi="Times New Roman" w:cs="Times New Roman"/>
              </w:rPr>
            </w:pPr>
            <w:r w:rsidRPr="00D501F7">
              <w:rPr>
                <w:rFonts w:ascii="Times New Roman" w:hAnsi="Times New Roman" w:cs="Times New Roman"/>
              </w:rPr>
              <w:t xml:space="preserve">.0475  </w:t>
            </w:r>
          </w:p>
          <w:p w14:paraId="40054D5C" w14:textId="3BEBCD57" w:rsidR="0045402A" w:rsidRDefault="00147D17">
            <w:pPr>
              <w:jc w:val="center"/>
              <w:rPr>
                <w:rFonts w:ascii="Times New Roman" w:hAnsi="Times New Roman" w:cs="Times New Roman"/>
              </w:rPr>
            </w:pPr>
            <w:r>
              <w:rPr>
                <w:rFonts w:ascii="Times New Roman" w:hAnsi="Times New Roman" w:cs="Times New Roman"/>
              </w:rPr>
              <w:t>(</w:t>
            </w:r>
            <w:r w:rsidR="00D501F7" w:rsidRPr="00D501F7">
              <w:rPr>
                <w:rFonts w:ascii="Times New Roman" w:hAnsi="Times New Roman" w:cs="Times New Roman"/>
              </w:rPr>
              <w:t>.042</w:t>
            </w:r>
            <w:r w:rsidR="00A2232E">
              <w:rPr>
                <w:rFonts w:ascii="Times New Roman" w:hAnsi="Times New Roman" w:cs="Times New Roman"/>
              </w:rPr>
              <w:t>5</w:t>
            </w:r>
            <w:r>
              <w:rPr>
                <w:rFonts w:ascii="Times New Roman" w:hAnsi="Times New Roman" w:cs="Times New Roman"/>
              </w:rPr>
              <w:t>)</w:t>
            </w:r>
          </w:p>
        </w:tc>
      </w:tr>
      <w:tr w:rsidR="0045402A" w14:paraId="6DD172FA" w14:textId="77777777" w:rsidTr="004538AE">
        <w:trPr>
          <w:trHeight w:val="720"/>
        </w:trPr>
        <w:tc>
          <w:tcPr>
            <w:tcW w:w="900" w:type="dxa"/>
          </w:tcPr>
          <w:p w14:paraId="09E71D48" w14:textId="77777777" w:rsidR="0045402A" w:rsidRDefault="0045402A">
            <w:pPr>
              <w:rPr>
                <w:rFonts w:ascii="Times New Roman" w:hAnsi="Times New Roman" w:cs="Times New Roman"/>
              </w:rPr>
            </w:pPr>
            <w:r>
              <w:rPr>
                <w:rFonts w:ascii="Times New Roman" w:hAnsi="Times New Roman" w:cs="Times New Roman"/>
              </w:rPr>
              <w:t>Post-2</w:t>
            </w:r>
          </w:p>
        </w:tc>
        <w:tc>
          <w:tcPr>
            <w:tcW w:w="1440" w:type="dxa"/>
          </w:tcPr>
          <w:p w14:paraId="025B0969" w14:textId="1A8EC983" w:rsidR="0045402A" w:rsidRDefault="0045402A">
            <w:pPr>
              <w:rPr>
                <w:rFonts w:ascii="Times New Roman" w:hAnsi="Times New Roman" w:cs="Times New Roman"/>
              </w:rPr>
            </w:pPr>
            <w:r w:rsidRPr="006B1710">
              <w:rPr>
                <w:rFonts w:ascii="Times New Roman" w:hAnsi="Times New Roman" w:cs="Times New Roman"/>
              </w:rPr>
              <w:t>.0423</w:t>
            </w:r>
            <w:r>
              <w:rPr>
                <w:rFonts w:ascii="Times New Roman" w:hAnsi="Times New Roman" w:cs="Times New Roman"/>
              </w:rPr>
              <w:t>*</w:t>
            </w:r>
            <w:r w:rsidRPr="006B1710">
              <w:rPr>
                <w:rFonts w:ascii="Times New Roman" w:hAnsi="Times New Roman" w:cs="Times New Roman"/>
              </w:rPr>
              <w:t xml:space="preserve">   </w:t>
            </w:r>
          </w:p>
          <w:p w14:paraId="7984A1BC" w14:textId="4038C1D3" w:rsidR="0045402A" w:rsidRDefault="0045402A">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.021</w:t>
            </w:r>
            <w:r w:rsidR="00095553">
              <w:rPr>
                <w:rFonts w:ascii="Times New Roman" w:hAnsi="Times New Roman" w:cs="Times New Roman"/>
              </w:rPr>
              <w:t>2</w:t>
            </w:r>
            <w:r>
              <w:rPr>
                <w:rFonts w:ascii="Times New Roman" w:hAnsi="Times New Roman" w:cs="Times New Roman"/>
              </w:rPr>
              <w:t>)</w:t>
            </w:r>
          </w:p>
        </w:tc>
        <w:tc>
          <w:tcPr>
            <w:tcW w:w="1440" w:type="dxa"/>
          </w:tcPr>
          <w:p w14:paraId="0856EA3B" w14:textId="42E5F1C5" w:rsidR="00D501F7" w:rsidRDefault="005F3CBF" w:rsidP="00147D17">
            <w:pPr>
              <w:rPr>
                <w:rFonts w:ascii="Times New Roman" w:hAnsi="Times New Roman" w:cs="Times New Roman"/>
              </w:rPr>
            </w:pPr>
            <w:r w:rsidRPr="005F3CBF">
              <w:rPr>
                <w:rFonts w:ascii="Times New Roman" w:hAnsi="Times New Roman" w:cs="Times New Roman"/>
              </w:rPr>
              <w:t xml:space="preserve">.0579  </w:t>
            </w:r>
          </w:p>
          <w:p w14:paraId="08B09B59" w14:textId="73D57AA4" w:rsidR="0045402A" w:rsidRDefault="00147D17">
            <w:pPr>
              <w:jc w:val="center"/>
              <w:rPr>
                <w:rFonts w:ascii="Times New Roman" w:hAnsi="Times New Roman" w:cs="Times New Roman"/>
              </w:rPr>
            </w:pPr>
            <w:r>
              <w:rPr>
                <w:rFonts w:ascii="Times New Roman" w:hAnsi="Times New Roman" w:cs="Times New Roman"/>
              </w:rPr>
              <w:t>(</w:t>
            </w:r>
            <w:r w:rsidR="005F3CBF" w:rsidRPr="005F3CBF">
              <w:rPr>
                <w:rFonts w:ascii="Times New Roman" w:hAnsi="Times New Roman" w:cs="Times New Roman"/>
              </w:rPr>
              <w:t>.0455</w:t>
            </w:r>
            <w:r w:rsidR="009761EF">
              <w:rPr>
                <w:rFonts w:ascii="Times New Roman" w:hAnsi="Times New Roman" w:cs="Times New Roman"/>
              </w:rPr>
              <w:t>)</w:t>
            </w:r>
          </w:p>
        </w:tc>
        <w:tc>
          <w:tcPr>
            <w:tcW w:w="1440" w:type="dxa"/>
          </w:tcPr>
          <w:p w14:paraId="7458754B" w14:textId="41B7D1E4" w:rsidR="00D501F7" w:rsidRDefault="00E94886" w:rsidP="00147D17">
            <w:pPr>
              <w:rPr>
                <w:rFonts w:ascii="Times New Roman" w:hAnsi="Times New Roman" w:cs="Times New Roman"/>
              </w:rPr>
            </w:pPr>
            <w:r w:rsidRPr="00E94886">
              <w:rPr>
                <w:rFonts w:ascii="Times New Roman" w:hAnsi="Times New Roman" w:cs="Times New Roman"/>
              </w:rPr>
              <w:t>.06</w:t>
            </w:r>
            <w:r w:rsidR="00821078">
              <w:rPr>
                <w:rFonts w:ascii="Times New Roman" w:hAnsi="Times New Roman" w:cs="Times New Roman"/>
              </w:rPr>
              <w:t>50</w:t>
            </w:r>
            <w:r w:rsidRPr="00E94886">
              <w:rPr>
                <w:rFonts w:ascii="Times New Roman" w:hAnsi="Times New Roman" w:cs="Times New Roman"/>
              </w:rPr>
              <w:t xml:space="preserve">  </w:t>
            </w:r>
          </w:p>
          <w:p w14:paraId="2C1E02B7" w14:textId="30C3CDC2" w:rsidR="0045402A" w:rsidRDefault="00147D17">
            <w:pPr>
              <w:jc w:val="center"/>
              <w:rPr>
                <w:rFonts w:ascii="Times New Roman" w:hAnsi="Times New Roman" w:cs="Times New Roman"/>
              </w:rPr>
            </w:pPr>
            <w:r>
              <w:rPr>
                <w:rFonts w:ascii="Times New Roman" w:hAnsi="Times New Roman" w:cs="Times New Roman"/>
              </w:rPr>
              <w:t>(</w:t>
            </w:r>
            <w:r w:rsidR="00E94886" w:rsidRPr="00E94886">
              <w:rPr>
                <w:rFonts w:ascii="Times New Roman" w:hAnsi="Times New Roman" w:cs="Times New Roman"/>
              </w:rPr>
              <w:t>.052</w:t>
            </w:r>
            <w:r w:rsidR="00821078">
              <w:rPr>
                <w:rFonts w:ascii="Times New Roman" w:hAnsi="Times New Roman" w:cs="Times New Roman"/>
              </w:rPr>
              <w:t>7</w:t>
            </w:r>
            <w:r w:rsidR="009761EF">
              <w:rPr>
                <w:rFonts w:ascii="Times New Roman" w:hAnsi="Times New Roman" w:cs="Times New Roman"/>
              </w:rPr>
              <w:t>)</w:t>
            </w:r>
          </w:p>
        </w:tc>
        <w:tc>
          <w:tcPr>
            <w:tcW w:w="1530" w:type="dxa"/>
          </w:tcPr>
          <w:p w14:paraId="71B448A6" w14:textId="775DDF24" w:rsidR="00147D17" w:rsidRDefault="0060770A" w:rsidP="00147D17">
            <w:pPr>
              <w:rPr>
                <w:rFonts w:ascii="Times New Roman" w:hAnsi="Times New Roman" w:cs="Times New Roman"/>
              </w:rPr>
            </w:pPr>
            <w:r w:rsidRPr="0060770A">
              <w:rPr>
                <w:rFonts w:ascii="Times New Roman" w:hAnsi="Times New Roman" w:cs="Times New Roman"/>
              </w:rPr>
              <w:t xml:space="preserve">-.0463   </w:t>
            </w:r>
          </w:p>
          <w:p w14:paraId="3B8722B4" w14:textId="408F3AD0" w:rsidR="0045402A" w:rsidRDefault="00147D17">
            <w:pPr>
              <w:jc w:val="center"/>
              <w:rPr>
                <w:rFonts w:ascii="Times New Roman" w:hAnsi="Times New Roman" w:cs="Times New Roman"/>
              </w:rPr>
            </w:pPr>
            <w:r>
              <w:rPr>
                <w:rFonts w:ascii="Times New Roman" w:hAnsi="Times New Roman" w:cs="Times New Roman"/>
              </w:rPr>
              <w:t>(</w:t>
            </w:r>
            <w:r w:rsidR="0060770A" w:rsidRPr="0060770A">
              <w:rPr>
                <w:rFonts w:ascii="Times New Roman" w:hAnsi="Times New Roman" w:cs="Times New Roman"/>
              </w:rPr>
              <w:t>.034</w:t>
            </w:r>
            <w:r w:rsidR="00A2232E">
              <w:rPr>
                <w:rFonts w:ascii="Times New Roman" w:hAnsi="Times New Roman" w:cs="Times New Roman"/>
              </w:rPr>
              <w:t>7</w:t>
            </w:r>
            <w:r>
              <w:rPr>
                <w:rFonts w:ascii="Times New Roman" w:hAnsi="Times New Roman" w:cs="Times New Roman"/>
              </w:rPr>
              <w:t>)</w:t>
            </w:r>
          </w:p>
        </w:tc>
        <w:tc>
          <w:tcPr>
            <w:tcW w:w="1890" w:type="dxa"/>
          </w:tcPr>
          <w:p w14:paraId="355E6BDC" w14:textId="34A7E078" w:rsidR="00147D17" w:rsidRDefault="00D501F7" w:rsidP="00147D17">
            <w:pPr>
              <w:rPr>
                <w:rFonts w:ascii="Times New Roman" w:hAnsi="Times New Roman" w:cs="Times New Roman"/>
              </w:rPr>
            </w:pPr>
            <w:r w:rsidRPr="00D501F7">
              <w:rPr>
                <w:rFonts w:ascii="Times New Roman" w:hAnsi="Times New Roman" w:cs="Times New Roman"/>
              </w:rPr>
              <w:t>.041</w:t>
            </w:r>
            <w:r w:rsidR="00A2232E">
              <w:rPr>
                <w:rFonts w:ascii="Times New Roman" w:hAnsi="Times New Roman" w:cs="Times New Roman"/>
              </w:rPr>
              <w:t>6</w:t>
            </w:r>
            <w:r w:rsidRPr="00D501F7">
              <w:rPr>
                <w:rFonts w:ascii="Times New Roman" w:hAnsi="Times New Roman" w:cs="Times New Roman"/>
              </w:rPr>
              <w:t xml:space="preserve">   </w:t>
            </w:r>
          </w:p>
          <w:p w14:paraId="4118C1D9" w14:textId="1C06F86F" w:rsidR="0045402A" w:rsidRDefault="00147D17">
            <w:pPr>
              <w:jc w:val="center"/>
              <w:rPr>
                <w:rFonts w:ascii="Times New Roman" w:hAnsi="Times New Roman" w:cs="Times New Roman"/>
              </w:rPr>
            </w:pPr>
            <w:r>
              <w:rPr>
                <w:rFonts w:ascii="Times New Roman" w:hAnsi="Times New Roman" w:cs="Times New Roman"/>
              </w:rPr>
              <w:t>(</w:t>
            </w:r>
            <w:r w:rsidR="00D501F7" w:rsidRPr="00D501F7">
              <w:rPr>
                <w:rFonts w:ascii="Times New Roman" w:hAnsi="Times New Roman" w:cs="Times New Roman"/>
              </w:rPr>
              <w:t>.0456</w:t>
            </w:r>
            <w:r>
              <w:rPr>
                <w:rFonts w:ascii="Times New Roman" w:hAnsi="Times New Roman" w:cs="Times New Roman"/>
              </w:rPr>
              <w:t>)</w:t>
            </w:r>
          </w:p>
        </w:tc>
      </w:tr>
      <w:tr w:rsidR="0045402A" w14:paraId="79688851" w14:textId="77777777" w:rsidTr="004538AE">
        <w:trPr>
          <w:trHeight w:val="711"/>
        </w:trPr>
        <w:tc>
          <w:tcPr>
            <w:tcW w:w="900" w:type="dxa"/>
          </w:tcPr>
          <w:p w14:paraId="1734D629" w14:textId="77777777" w:rsidR="0045402A" w:rsidRDefault="0045402A">
            <w:pPr>
              <w:rPr>
                <w:rFonts w:ascii="Times New Roman" w:hAnsi="Times New Roman" w:cs="Times New Roman"/>
              </w:rPr>
            </w:pPr>
            <w:r>
              <w:rPr>
                <w:rFonts w:ascii="Times New Roman" w:hAnsi="Times New Roman" w:cs="Times New Roman"/>
              </w:rPr>
              <w:t>Post-3</w:t>
            </w:r>
          </w:p>
        </w:tc>
        <w:tc>
          <w:tcPr>
            <w:tcW w:w="1440" w:type="dxa"/>
          </w:tcPr>
          <w:p w14:paraId="6108A7C0" w14:textId="1654998B" w:rsidR="0045402A" w:rsidRDefault="0045402A">
            <w:pPr>
              <w:rPr>
                <w:rFonts w:ascii="Times New Roman" w:hAnsi="Times New Roman" w:cs="Times New Roman"/>
              </w:rPr>
            </w:pPr>
            <w:r w:rsidRPr="006B1710">
              <w:rPr>
                <w:rFonts w:ascii="Times New Roman" w:hAnsi="Times New Roman" w:cs="Times New Roman"/>
              </w:rPr>
              <w:t>.05</w:t>
            </w:r>
            <w:r w:rsidR="00095553">
              <w:rPr>
                <w:rFonts w:ascii="Times New Roman" w:hAnsi="Times New Roman" w:cs="Times New Roman"/>
              </w:rPr>
              <w:t>40</w:t>
            </w:r>
            <w:r>
              <w:rPr>
                <w:rFonts w:ascii="Times New Roman" w:hAnsi="Times New Roman" w:cs="Times New Roman"/>
              </w:rPr>
              <w:t>*</w:t>
            </w:r>
            <w:r w:rsidRPr="006B1710">
              <w:rPr>
                <w:rFonts w:ascii="Times New Roman" w:hAnsi="Times New Roman" w:cs="Times New Roman"/>
              </w:rPr>
              <w:t xml:space="preserve">   </w:t>
            </w:r>
          </w:p>
          <w:p w14:paraId="24186E2F" w14:textId="36146F02" w:rsidR="0045402A" w:rsidRDefault="0045402A">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.022</w:t>
            </w:r>
            <w:r w:rsidR="00095553">
              <w:rPr>
                <w:rFonts w:ascii="Times New Roman" w:hAnsi="Times New Roman" w:cs="Times New Roman"/>
              </w:rPr>
              <w:t>7</w:t>
            </w:r>
            <w:r>
              <w:rPr>
                <w:rFonts w:ascii="Times New Roman" w:hAnsi="Times New Roman" w:cs="Times New Roman"/>
              </w:rPr>
              <w:t>)</w:t>
            </w:r>
          </w:p>
        </w:tc>
        <w:tc>
          <w:tcPr>
            <w:tcW w:w="1440" w:type="dxa"/>
          </w:tcPr>
          <w:p w14:paraId="74027B58" w14:textId="21505BE9" w:rsidR="00D501F7" w:rsidRDefault="00DB6D3A" w:rsidP="00147D17">
            <w:pPr>
              <w:rPr>
                <w:rFonts w:ascii="Times New Roman" w:hAnsi="Times New Roman" w:cs="Times New Roman"/>
              </w:rPr>
            </w:pPr>
            <w:r w:rsidRPr="00DB6D3A">
              <w:rPr>
                <w:rFonts w:ascii="Times New Roman" w:hAnsi="Times New Roman" w:cs="Times New Roman"/>
              </w:rPr>
              <w:t xml:space="preserve">.0117  </w:t>
            </w:r>
          </w:p>
          <w:p w14:paraId="5248127F" w14:textId="553966E0" w:rsidR="0045402A" w:rsidRDefault="00147D17">
            <w:pPr>
              <w:jc w:val="center"/>
              <w:rPr>
                <w:rFonts w:ascii="Times New Roman" w:hAnsi="Times New Roman" w:cs="Times New Roman"/>
              </w:rPr>
            </w:pPr>
            <w:r>
              <w:rPr>
                <w:rFonts w:ascii="Times New Roman" w:hAnsi="Times New Roman" w:cs="Times New Roman"/>
              </w:rPr>
              <w:t>(</w:t>
            </w:r>
            <w:r w:rsidR="00DB6D3A" w:rsidRPr="00DB6D3A">
              <w:rPr>
                <w:rFonts w:ascii="Times New Roman" w:hAnsi="Times New Roman" w:cs="Times New Roman"/>
              </w:rPr>
              <w:t>.049</w:t>
            </w:r>
            <w:r w:rsidR="00095553">
              <w:rPr>
                <w:rFonts w:ascii="Times New Roman" w:hAnsi="Times New Roman" w:cs="Times New Roman"/>
              </w:rPr>
              <w:t>5</w:t>
            </w:r>
            <w:r w:rsidR="009761EF">
              <w:rPr>
                <w:rFonts w:ascii="Times New Roman" w:hAnsi="Times New Roman" w:cs="Times New Roman"/>
              </w:rPr>
              <w:t>)</w:t>
            </w:r>
          </w:p>
        </w:tc>
        <w:tc>
          <w:tcPr>
            <w:tcW w:w="1440" w:type="dxa"/>
          </w:tcPr>
          <w:p w14:paraId="2086A989" w14:textId="0A78DF2C" w:rsidR="00D501F7" w:rsidRDefault="00E94886" w:rsidP="00147D17">
            <w:pPr>
              <w:rPr>
                <w:rFonts w:ascii="Times New Roman" w:hAnsi="Times New Roman" w:cs="Times New Roman"/>
              </w:rPr>
            </w:pPr>
            <w:r w:rsidRPr="00E94886">
              <w:rPr>
                <w:rFonts w:ascii="Times New Roman" w:hAnsi="Times New Roman" w:cs="Times New Roman"/>
              </w:rPr>
              <w:t>.036</w:t>
            </w:r>
            <w:r w:rsidR="00821078">
              <w:rPr>
                <w:rFonts w:ascii="Times New Roman" w:hAnsi="Times New Roman" w:cs="Times New Roman"/>
              </w:rPr>
              <w:t>9</w:t>
            </w:r>
            <w:r w:rsidRPr="00E94886">
              <w:rPr>
                <w:rFonts w:ascii="Times New Roman" w:hAnsi="Times New Roman" w:cs="Times New Roman"/>
              </w:rPr>
              <w:t xml:space="preserve">   </w:t>
            </w:r>
          </w:p>
          <w:p w14:paraId="70FB913F" w14:textId="68EAD5C7" w:rsidR="0045402A" w:rsidRDefault="00147D17">
            <w:pPr>
              <w:jc w:val="center"/>
              <w:rPr>
                <w:rFonts w:ascii="Times New Roman" w:hAnsi="Times New Roman" w:cs="Times New Roman"/>
              </w:rPr>
            </w:pPr>
            <w:r>
              <w:rPr>
                <w:rFonts w:ascii="Times New Roman" w:hAnsi="Times New Roman" w:cs="Times New Roman"/>
              </w:rPr>
              <w:t>(</w:t>
            </w:r>
            <w:r w:rsidR="00E94886" w:rsidRPr="00E94886">
              <w:rPr>
                <w:rFonts w:ascii="Times New Roman" w:hAnsi="Times New Roman" w:cs="Times New Roman"/>
              </w:rPr>
              <w:t>.0570</w:t>
            </w:r>
            <w:r w:rsidR="009761EF">
              <w:rPr>
                <w:rFonts w:ascii="Times New Roman" w:hAnsi="Times New Roman" w:cs="Times New Roman"/>
              </w:rPr>
              <w:t>)</w:t>
            </w:r>
          </w:p>
        </w:tc>
        <w:tc>
          <w:tcPr>
            <w:tcW w:w="1530" w:type="dxa"/>
          </w:tcPr>
          <w:p w14:paraId="2DCBEF50" w14:textId="29F05121" w:rsidR="00147D17" w:rsidRDefault="00BA49D7" w:rsidP="00147D17">
            <w:pPr>
              <w:rPr>
                <w:rFonts w:ascii="Times New Roman" w:hAnsi="Times New Roman" w:cs="Times New Roman"/>
              </w:rPr>
            </w:pPr>
            <w:r w:rsidRPr="00BA49D7">
              <w:rPr>
                <w:rFonts w:ascii="Times New Roman" w:hAnsi="Times New Roman" w:cs="Times New Roman"/>
              </w:rPr>
              <w:t>.019</w:t>
            </w:r>
            <w:r w:rsidR="00A2232E">
              <w:rPr>
                <w:rFonts w:ascii="Times New Roman" w:hAnsi="Times New Roman" w:cs="Times New Roman"/>
              </w:rPr>
              <w:t>4</w:t>
            </w:r>
            <w:r w:rsidRPr="00BA49D7">
              <w:rPr>
                <w:rFonts w:ascii="Times New Roman" w:hAnsi="Times New Roman" w:cs="Times New Roman"/>
              </w:rPr>
              <w:t xml:space="preserve">   </w:t>
            </w:r>
          </w:p>
          <w:p w14:paraId="62C08A6F" w14:textId="10B517B7" w:rsidR="0045402A" w:rsidRDefault="00147D17">
            <w:pPr>
              <w:jc w:val="center"/>
              <w:rPr>
                <w:rFonts w:ascii="Times New Roman" w:hAnsi="Times New Roman" w:cs="Times New Roman"/>
              </w:rPr>
            </w:pPr>
            <w:r>
              <w:rPr>
                <w:rFonts w:ascii="Times New Roman" w:hAnsi="Times New Roman" w:cs="Times New Roman"/>
              </w:rPr>
              <w:t>(</w:t>
            </w:r>
            <w:r w:rsidR="00BA49D7" w:rsidRPr="00BA49D7">
              <w:rPr>
                <w:rFonts w:ascii="Times New Roman" w:hAnsi="Times New Roman" w:cs="Times New Roman"/>
              </w:rPr>
              <w:t>.034</w:t>
            </w:r>
            <w:r w:rsidR="00A2232E">
              <w:rPr>
                <w:rFonts w:ascii="Times New Roman" w:hAnsi="Times New Roman" w:cs="Times New Roman"/>
              </w:rPr>
              <w:t>7</w:t>
            </w:r>
            <w:r>
              <w:rPr>
                <w:rFonts w:ascii="Times New Roman" w:hAnsi="Times New Roman" w:cs="Times New Roman"/>
              </w:rPr>
              <w:t>)</w:t>
            </w:r>
          </w:p>
        </w:tc>
        <w:tc>
          <w:tcPr>
            <w:tcW w:w="1890" w:type="dxa"/>
          </w:tcPr>
          <w:p w14:paraId="65E01DA8" w14:textId="118F90E6" w:rsidR="00147D17" w:rsidRDefault="00D501F7" w:rsidP="00147D17">
            <w:pPr>
              <w:rPr>
                <w:rFonts w:ascii="Times New Roman" w:hAnsi="Times New Roman" w:cs="Times New Roman"/>
              </w:rPr>
            </w:pPr>
            <w:r w:rsidRPr="00D501F7">
              <w:rPr>
                <w:rFonts w:ascii="Times New Roman" w:hAnsi="Times New Roman" w:cs="Times New Roman"/>
              </w:rPr>
              <w:t xml:space="preserve">.0869   </w:t>
            </w:r>
          </w:p>
          <w:p w14:paraId="7A67C11E" w14:textId="154EF812" w:rsidR="0045402A" w:rsidRDefault="00147D17">
            <w:pPr>
              <w:jc w:val="center"/>
              <w:rPr>
                <w:rFonts w:ascii="Times New Roman" w:hAnsi="Times New Roman" w:cs="Times New Roman"/>
              </w:rPr>
            </w:pPr>
            <w:r>
              <w:rPr>
                <w:rFonts w:ascii="Times New Roman" w:hAnsi="Times New Roman" w:cs="Times New Roman"/>
              </w:rPr>
              <w:t>(</w:t>
            </w:r>
            <w:r w:rsidR="00D501F7" w:rsidRPr="00D501F7">
              <w:rPr>
                <w:rFonts w:ascii="Times New Roman" w:hAnsi="Times New Roman" w:cs="Times New Roman"/>
              </w:rPr>
              <w:t>.049</w:t>
            </w:r>
            <w:r w:rsidR="00A2232E">
              <w:rPr>
                <w:rFonts w:ascii="Times New Roman" w:hAnsi="Times New Roman" w:cs="Times New Roman"/>
              </w:rPr>
              <w:t>6</w:t>
            </w:r>
            <w:r>
              <w:rPr>
                <w:rFonts w:ascii="Times New Roman" w:hAnsi="Times New Roman" w:cs="Times New Roman"/>
              </w:rPr>
              <w:t>)</w:t>
            </w:r>
          </w:p>
        </w:tc>
      </w:tr>
      <w:tr w:rsidR="0045402A" w14:paraId="1D2D8EFA" w14:textId="77777777" w:rsidTr="004538AE">
        <w:tc>
          <w:tcPr>
            <w:tcW w:w="900" w:type="dxa"/>
            <w:tcBorders>
              <w:bottom w:val="single" w:sz="4" w:space="0" w:color="auto"/>
            </w:tcBorders>
          </w:tcPr>
          <w:p w14:paraId="3A428556" w14:textId="77777777" w:rsidR="0045402A" w:rsidRDefault="0045402A">
            <w:pPr>
              <w:rPr>
                <w:rFonts w:ascii="Times New Roman" w:hAnsi="Times New Roman" w:cs="Times New Roman"/>
              </w:rPr>
            </w:pPr>
            <w:r>
              <w:rPr>
                <w:rFonts w:ascii="Times New Roman" w:hAnsi="Times New Roman" w:cs="Times New Roman"/>
              </w:rPr>
              <w:t>Post-4</w:t>
            </w:r>
          </w:p>
        </w:tc>
        <w:tc>
          <w:tcPr>
            <w:tcW w:w="1440" w:type="dxa"/>
            <w:tcBorders>
              <w:bottom w:val="single" w:sz="4" w:space="0" w:color="auto"/>
            </w:tcBorders>
          </w:tcPr>
          <w:p w14:paraId="2501FC1A" w14:textId="6BC90939" w:rsidR="0045402A" w:rsidRDefault="0045402A">
            <w:pPr>
              <w:rPr>
                <w:rFonts w:ascii="Times New Roman" w:hAnsi="Times New Roman" w:cs="Times New Roman"/>
              </w:rPr>
            </w:pPr>
            <w:r w:rsidRPr="006B1710">
              <w:rPr>
                <w:rFonts w:ascii="Times New Roman" w:hAnsi="Times New Roman" w:cs="Times New Roman"/>
              </w:rPr>
              <w:t>.086</w:t>
            </w:r>
            <w:r w:rsidR="00095553">
              <w:rPr>
                <w:rFonts w:ascii="Times New Roman" w:hAnsi="Times New Roman" w:cs="Times New Roman"/>
              </w:rPr>
              <w:t>2</w:t>
            </w:r>
            <w:r>
              <w:rPr>
                <w:rFonts w:ascii="Times New Roman" w:hAnsi="Times New Roman" w:cs="Times New Roman"/>
              </w:rPr>
              <w:t>**</w:t>
            </w:r>
            <w:r w:rsidRPr="006B1710">
              <w:rPr>
                <w:rFonts w:ascii="Times New Roman" w:hAnsi="Times New Roman" w:cs="Times New Roman"/>
              </w:rPr>
              <w:t xml:space="preserve">   </w:t>
            </w:r>
          </w:p>
          <w:p w14:paraId="58312C56" w14:textId="0470CA1F" w:rsidR="0045402A" w:rsidRDefault="0045402A">
            <w:pPr>
              <w:jc w:val="center"/>
              <w:rPr>
                <w:rFonts w:ascii="Times New Roman" w:hAnsi="Times New Roman" w:cs="Times New Roman"/>
              </w:rPr>
            </w:pPr>
            <w:r>
              <w:rPr>
                <w:rFonts w:ascii="Times New Roman" w:hAnsi="Times New Roman" w:cs="Times New Roman"/>
              </w:rPr>
              <w:t>(</w:t>
            </w:r>
            <w:r w:rsidRPr="006B1710">
              <w:rPr>
                <w:rFonts w:ascii="Times New Roman" w:hAnsi="Times New Roman" w:cs="Times New Roman"/>
              </w:rPr>
              <w:t>.02</w:t>
            </w:r>
            <w:r w:rsidR="00095553">
              <w:rPr>
                <w:rFonts w:ascii="Times New Roman" w:hAnsi="Times New Roman" w:cs="Times New Roman"/>
              </w:rPr>
              <w:t>50</w:t>
            </w:r>
            <w:r>
              <w:rPr>
                <w:rFonts w:ascii="Times New Roman" w:hAnsi="Times New Roman" w:cs="Times New Roman"/>
              </w:rPr>
              <w:t>)</w:t>
            </w:r>
          </w:p>
        </w:tc>
        <w:tc>
          <w:tcPr>
            <w:tcW w:w="1440" w:type="dxa"/>
            <w:tcBorders>
              <w:bottom w:val="single" w:sz="4" w:space="0" w:color="auto"/>
            </w:tcBorders>
          </w:tcPr>
          <w:p w14:paraId="060B31A6" w14:textId="13695300" w:rsidR="00D501F7" w:rsidRDefault="00DB6D3A" w:rsidP="00147D17">
            <w:pPr>
              <w:rPr>
                <w:rFonts w:ascii="Times New Roman" w:hAnsi="Times New Roman" w:cs="Times New Roman"/>
              </w:rPr>
            </w:pPr>
            <w:r w:rsidRPr="00DB6D3A">
              <w:rPr>
                <w:rFonts w:ascii="Times New Roman" w:hAnsi="Times New Roman" w:cs="Times New Roman"/>
              </w:rPr>
              <w:t>.037</w:t>
            </w:r>
            <w:r w:rsidR="00095553">
              <w:rPr>
                <w:rFonts w:ascii="Times New Roman" w:hAnsi="Times New Roman" w:cs="Times New Roman"/>
              </w:rPr>
              <w:t>5</w:t>
            </w:r>
            <w:r w:rsidRPr="00DB6D3A">
              <w:rPr>
                <w:rFonts w:ascii="Times New Roman" w:hAnsi="Times New Roman" w:cs="Times New Roman"/>
              </w:rPr>
              <w:t xml:space="preserve">  </w:t>
            </w:r>
          </w:p>
          <w:p w14:paraId="29FBB959" w14:textId="61A6F60A" w:rsidR="0045402A" w:rsidRDefault="00147D17">
            <w:pPr>
              <w:jc w:val="center"/>
              <w:rPr>
                <w:rFonts w:ascii="Times New Roman" w:hAnsi="Times New Roman" w:cs="Times New Roman"/>
              </w:rPr>
            </w:pPr>
            <w:r>
              <w:rPr>
                <w:rFonts w:ascii="Times New Roman" w:hAnsi="Times New Roman" w:cs="Times New Roman"/>
              </w:rPr>
              <w:t>(</w:t>
            </w:r>
            <w:r w:rsidR="00DB6D3A" w:rsidRPr="00DB6D3A">
              <w:rPr>
                <w:rFonts w:ascii="Times New Roman" w:hAnsi="Times New Roman" w:cs="Times New Roman"/>
              </w:rPr>
              <w:t>.0511</w:t>
            </w:r>
            <w:r w:rsidR="009761EF">
              <w:rPr>
                <w:rFonts w:ascii="Times New Roman" w:hAnsi="Times New Roman" w:cs="Times New Roman"/>
              </w:rPr>
              <w:t>)</w:t>
            </w:r>
          </w:p>
        </w:tc>
        <w:tc>
          <w:tcPr>
            <w:tcW w:w="1440" w:type="dxa"/>
            <w:tcBorders>
              <w:bottom w:val="single" w:sz="4" w:space="0" w:color="auto"/>
            </w:tcBorders>
          </w:tcPr>
          <w:p w14:paraId="1E0C79A6" w14:textId="2D6D1859" w:rsidR="00D501F7" w:rsidRDefault="00E94886" w:rsidP="00147D17">
            <w:pPr>
              <w:jc w:val="both"/>
              <w:rPr>
                <w:rFonts w:ascii="Times New Roman" w:hAnsi="Times New Roman" w:cs="Times New Roman"/>
              </w:rPr>
            </w:pPr>
            <w:r w:rsidRPr="00E94886">
              <w:rPr>
                <w:rFonts w:ascii="Times New Roman" w:hAnsi="Times New Roman" w:cs="Times New Roman"/>
              </w:rPr>
              <w:t>-.026</w:t>
            </w:r>
            <w:r w:rsidR="00821078">
              <w:rPr>
                <w:rFonts w:ascii="Times New Roman" w:hAnsi="Times New Roman" w:cs="Times New Roman"/>
              </w:rPr>
              <w:t>5</w:t>
            </w:r>
            <w:r w:rsidRPr="00E94886">
              <w:rPr>
                <w:rFonts w:ascii="Times New Roman" w:hAnsi="Times New Roman" w:cs="Times New Roman"/>
              </w:rPr>
              <w:t xml:space="preserve">   </w:t>
            </w:r>
          </w:p>
          <w:p w14:paraId="2A01B0E7" w14:textId="768F949A" w:rsidR="0045402A" w:rsidRDefault="00147D17">
            <w:pPr>
              <w:jc w:val="center"/>
              <w:rPr>
                <w:rFonts w:ascii="Times New Roman" w:hAnsi="Times New Roman" w:cs="Times New Roman"/>
              </w:rPr>
            </w:pPr>
            <w:r>
              <w:rPr>
                <w:rFonts w:ascii="Times New Roman" w:hAnsi="Times New Roman" w:cs="Times New Roman"/>
              </w:rPr>
              <w:t>(</w:t>
            </w:r>
            <w:r w:rsidR="00E94886" w:rsidRPr="00E94886">
              <w:rPr>
                <w:rFonts w:ascii="Times New Roman" w:hAnsi="Times New Roman" w:cs="Times New Roman"/>
              </w:rPr>
              <w:t>.0615</w:t>
            </w:r>
            <w:r w:rsidR="009761EF">
              <w:rPr>
                <w:rFonts w:ascii="Times New Roman" w:hAnsi="Times New Roman" w:cs="Times New Roman"/>
              </w:rPr>
              <w:t>)</w:t>
            </w:r>
            <w:r w:rsidR="00E94886" w:rsidRPr="00E94886">
              <w:rPr>
                <w:rFonts w:ascii="Times New Roman" w:hAnsi="Times New Roman" w:cs="Times New Roman"/>
              </w:rPr>
              <w:t xml:space="preserve">   </w:t>
            </w:r>
          </w:p>
        </w:tc>
        <w:tc>
          <w:tcPr>
            <w:tcW w:w="1530" w:type="dxa"/>
            <w:tcBorders>
              <w:bottom w:val="single" w:sz="4" w:space="0" w:color="auto"/>
            </w:tcBorders>
          </w:tcPr>
          <w:p w14:paraId="77B33E49" w14:textId="0597DCAA" w:rsidR="00147D17" w:rsidRDefault="00BA49D7" w:rsidP="00147D17">
            <w:pPr>
              <w:rPr>
                <w:rFonts w:ascii="Times New Roman" w:hAnsi="Times New Roman" w:cs="Times New Roman"/>
              </w:rPr>
            </w:pPr>
            <w:r w:rsidRPr="00BA49D7">
              <w:rPr>
                <w:rFonts w:ascii="Times New Roman" w:hAnsi="Times New Roman" w:cs="Times New Roman"/>
              </w:rPr>
              <w:t>.087</w:t>
            </w:r>
            <w:r w:rsidR="00A2232E">
              <w:rPr>
                <w:rFonts w:ascii="Times New Roman" w:hAnsi="Times New Roman" w:cs="Times New Roman"/>
              </w:rPr>
              <w:t>6</w:t>
            </w:r>
            <w:r w:rsidR="00544C2C">
              <w:rPr>
                <w:rFonts w:ascii="Times New Roman" w:hAnsi="Times New Roman" w:cs="Times New Roman"/>
              </w:rPr>
              <w:t>*</w:t>
            </w:r>
            <w:r w:rsidRPr="00BA49D7">
              <w:rPr>
                <w:rFonts w:ascii="Times New Roman" w:hAnsi="Times New Roman" w:cs="Times New Roman"/>
              </w:rPr>
              <w:t xml:space="preserve">   </w:t>
            </w:r>
          </w:p>
          <w:p w14:paraId="0E41B296" w14:textId="4C36B672" w:rsidR="0045402A" w:rsidRDefault="00147D17">
            <w:pPr>
              <w:jc w:val="center"/>
              <w:rPr>
                <w:rFonts w:ascii="Times New Roman" w:hAnsi="Times New Roman" w:cs="Times New Roman"/>
              </w:rPr>
            </w:pPr>
            <w:r>
              <w:rPr>
                <w:rFonts w:ascii="Times New Roman" w:hAnsi="Times New Roman" w:cs="Times New Roman"/>
              </w:rPr>
              <w:t>(</w:t>
            </w:r>
            <w:r w:rsidR="00BA49D7" w:rsidRPr="00BA49D7">
              <w:rPr>
                <w:rFonts w:ascii="Times New Roman" w:hAnsi="Times New Roman" w:cs="Times New Roman"/>
              </w:rPr>
              <w:t>.037</w:t>
            </w:r>
            <w:r w:rsidR="00A2232E">
              <w:rPr>
                <w:rFonts w:ascii="Times New Roman" w:hAnsi="Times New Roman" w:cs="Times New Roman"/>
              </w:rPr>
              <w:t>1</w:t>
            </w:r>
            <w:r>
              <w:rPr>
                <w:rFonts w:ascii="Times New Roman" w:hAnsi="Times New Roman" w:cs="Times New Roman"/>
              </w:rPr>
              <w:t>)</w:t>
            </w:r>
          </w:p>
        </w:tc>
        <w:tc>
          <w:tcPr>
            <w:tcW w:w="1890" w:type="dxa"/>
            <w:tcBorders>
              <w:bottom w:val="single" w:sz="4" w:space="0" w:color="auto"/>
            </w:tcBorders>
          </w:tcPr>
          <w:p w14:paraId="133E860F" w14:textId="75F7F896" w:rsidR="00147D17" w:rsidRDefault="00D501F7" w:rsidP="00147D17">
            <w:pPr>
              <w:rPr>
                <w:rFonts w:ascii="Times New Roman" w:hAnsi="Times New Roman" w:cs="Times New Roman"/>
              </w:rPr>
            </w:pPr>
            <w:r w:rsidRPr="00D501F7">
              <w:rPr>
                <w:rFonts w:ascii="Times New Roman" w:hAnsi="Times New Roman" w:cs="Times New Roman"/>
              </w:rPr>
              <w:t>.023</w:t>
            </w:r>
            <w:r w:rsidR="00A2232E">
              <w:rPr>
                <w:rFonts w:ascii="Times New Roman" w:hAnsi="Times New Roman" w:cs="Times New Roman"/>
              </w:rPr>
              <w:t>1</w:t>
            </w:r>
            <w:r w:rsidRPr="00D501F7">
              <w:rPr>
                <w:rFonts w:ascii="Times New Roman" w:hAnsi="Times New Roman" w:cs="Times New Roman"/>
              </w:rPr>
              <w:t xml:space="preserve">  </w:t>
            </w:r>
          </w:p>
          <w:p w14:paraId="3212FAD5" w14:textId="0AF9C528" w:rsidR="0045402A" w:rsidRDefault="00147D17">
            <w:pPr>
              <w:jc w:val="center"/>
              <w:rPr>
                <w:rFonts w:ascii="Times New Roman" w:hAnsi="Times New Roman" w:cs="Times New Roman"/>
              </w:rPr>
            </w:pPr>
            <w:r>
              <w:rPr>
                <w:rFonts w:ascii="Times New Roman" w:hAnsi="Times New Roman" w:cs="Times New Roman"/>
              </w:rPr>
              <w:t>(</w:t>
            </w:r>
            <w:r w:rsidR="00D501F7" w:rsidRPr="00D501F7">
              <w:rPr>
                <w:rFonts w:ascii="Times New Roman" w:hAnsi="Times New Roman" w:cs="Times New Roman"/>
              </w:rPr>
              <w:t>.052</w:t>
            </w:r>
            <w:r w:rsidR="00A2232E">
              <w:rPr>
                <w:rFonts w:ascii="Times New Roman" w:hAnsi="Times New Roman" w:cs="Times New Roman"/>
              </w:rPr>
              <w:t>1</w:t>
            </w:r>
            <w:r>
              <w:rPr>
                <w:rFonts w:ascii="Times New Roman" w:hAnsi="Times New Roman" w:cs="Times New Roman"/>
              </w:rPr>
              <w:t>)</w:t>
            </w:r>
          </w:p>
        </w:tc>
      </w:tr>
    </w:tbl>
    <w:p w14:paraId="7A245B35" w14:textId="52D0F85B" w:rsidR="00832D5B" w:rsidRDefault="0045402A" w:rsidP="004538AE">
      <w:pPr>
        <w:spacing w:line="480" w:lineRule="auto"/>
        <w:rPr>
          <w:rFonts w:ascii="Times New Roman" w:hAnsi="Times New Roman" w:cs="Times New Roman"/>
        </w:rPr>
      </w:pPr>
      <w:r>
        <w:rPr>
          <w:rFonts w:ascii="Times New Roman" w:hAnsi="Times New Roman" w:cs="Times New Roman"/>
        </w:rPr>
        <w:t>* p&lt;0.05, **p&lt;0.01, ***p&lt;0.001</w:t>
      </w:r>
    </w:p>
    <w:p w14:paraId="3FFB20FD" w14:textId="77777777" w:rsidR="004F2800" w:rsidRDefault="004F2800" w:rsidP="004F2800">
      <w:pPr>
        <w:spacing w:line="480" w:lineRule="auto"/>
        <w:rPr>
          <w:rFonts w:ascii="Times New Roman" w:hAnsi="Times New Roman" w:cs="Times New Roman"/>
        </w:rPr>
      </w:pPr>
    </w:p>
    <w:p w14:paraId="0921C55F" w14:textId="77777777" w:rsidR="004F2800" w:rsidRDefault="004F2800" w:rsidP="004F2800">
      <w:pPr>
        <w:spacing w:line="480" w:lineRule="auto"/>
        <w:rPr>
          <w:rFonts w:ascii="Times New Roman" w:hAnsi="Times New Roman" w:cs="Times New Roman"/>
        </w:rPr>
      </w:pPr>
    </w:p>
    <w:p w14:paraId="0B1C1C8C" w14:textId="77777777" w:rsidR="004F2800" w:rsidRDefault="004F2800" w:rsidP="004F2800">
      <w:pPr>
        <w:spacing w:line="480" w:lineRule="auto"/>
        <w:rPr>
          <w:rFonts w:ascii="Times New Roman" w:hAnsi="Times New Roman" w:cs="Times New Roman"/>
        </w:rPr>
      </w:pPr>
    </w:p>
    <w:p w14:paraId="551E58F2" w14:textId="77777777" w:rsidR="004F2800" w:rsidRDefault="004F2800" w:rsidP="004F2800">
      <w:pPr>
        <w:spacing w:line="480" w:lineRule="auto"/>
        <w:rPr>
          <w:rFonts w:ascii="Times New Roman" w:hAnsi="Times New Roman" w:cs="Times New Roman"/>
        </w:rPr>
      </w:pPr>
    </w:p>
    <w:p w14:paraId="575E1373" w14:textId="77777777" w:rsidR="004F2800" w:rsidRDefault="004F2800" w:rsidP="004F2800">
      <w:pPr>
        <w:spacing w:line="480" w:lineRule="auto"/>
        <w:rPr>
          <w:rFonts w:ascii="Times New Roman" w:hAnsi="Times New Roman" w:cs="Times New Roman"/>
        </w:rPr>
      </w:pPr>
    </w:p>
    <w:p w14:paraId="2C53852E" w14:textId="77777777" w:rsidR="004F2800" w:rsidRDefault="004F2800" w:rsidP="004F2800">
      <w:pPr>
        <w:spacing w:line="480" w:lineRule="auto"/>
        <w:rPr>
          <w:rFonts w:ascii="Times New Roman" w:hAnsi="Times New Roman" w:cs="Times New Roman"/>
        </w:rPr>
      </w:pPr>
    </w:p>
    <w:p w14:paraId="0FA87885" w14:textId="77777777" w:rsidR="004F2800" w:rsidRDefault="004F2800" w:rsidP="004F2800">
      <w:pPr>
        <w:spacing w:line="480" w:lineRule="auto"/>
        <w:rPr>
          <w:rFonts w:ascii="Times New Roman" w:hAnsi="Times New Roman" w:cs="Times New Roman"/>
        </w:rPr>
      </w:pPr>
    </w:p>
    <w:p w14:paraId="046A9429" w14:textId="77777777" w:rsidR="004F2800" w:rsidRDefault="004F2800" w:rsidP="004F2800">
      <w:pPr>
        <w:spacing w:line="480" w:lineRule="auto"/>
        <w:rPr>
          <w:rFonts w:ascii="Times New Roman" w:hAnsi="Times New Roman" w:cs="Times New Roman"/>
        </w:rPr>
      </w:pPr>
    </w:p>
    <w:p w14:paraId="7DC8FB24" w14:textId="4D244B53" w:rsidR="0023733D" w:rsidRDefault="00EB3288" w:rsidP="004F2800">
      <w:pPr>
        <w:spacing w:line="480" w:lineRule="auto"/>
        <w:rPr>
          <w:rFonts w:ascii="Times New Roman" w:hAnsi="Times New Roman" w:cs="Times New Roman"/>
        </w:rPr>
      </w:pPr>
      <w:r>
        <w:rPr>
          <w:rFonts w:ascii="Times New Roman" w:hAnsi="Times New Roman" w:cs="Times New Roman"/>
        </w:rPr>
        <w:lastRenderedPageBreak/>
        <w:t>Thus,</w:t>
      </w:r>
      <w:r w:rsidR="002922C6">
        <w:rPr>
          <w:rFonts w:ascii="Times New Roman" w:hAnsi="Times New Roman" w:cs="Times New Roman"/>
        </w:rPr>
        <w:t xml:space="preserve"> the first two post-treatment periods </w:t>
      </w:r>
      <w:r w:rsidR="00E722C1">
        <w:rPr>
          <w:rFonts w:ascii="Times New Roman" w:hAnsi="Times New Roman" w:cs="Times New Roman"/>
        </w:rPr>
        <w:t>were</w:t>
      </w:r>
      <w:r w:rsidR="002922C6">
        <w:rPr>
          <w:rFonts w:ascii="Times New Roman" w:hAnsi="Times New Roman" w:cs="Times New Roman"/>
        </w:rPr>
        <w:t xml:space="preserve"> less informative about the </w:t>
      </w:r>
      <w:r w:rsidR="00804445">
        <w:rPr>
          <w:rFonts w:ascii="Times New Roman" w:hAnsi="Times New Roman" w:cs="Times New Roman"/>
        </w:rPr>
        <w:t>overall effect of promise program adoption</w:t>
      </w:r>
      <w:r w:rsidRPr="00EB3288">
        <w:rPr>
          <w:rFonts w:ascii="Times New Roman" w:hAnsi="Times New Roman" w:cs="Times New Roman"/>
        </w:rPr>
        <w:t xml:space="preserve"> </w:t>
      </w:r>
      <w:r>
        <w:rPr>
          <w:rFonts w:ascii="Times New Roman" w:hAnsi="Times New Roman" w:cs="Times New Roman"/>
        </w:rPr>
        <w:t>for this set of programs</w:t>
      </w:r>
      <w:r w:rsidR="00804445">
        <w:rPr>
          <w:rFonts w:ascii="Times New Roman" w:hAnsi="Times New Roman" w:cs="Times New Roman"/>
        </w:rPr>
        <w:t xml:space="preserve">. </w:t>
      </w:r>
    </w:p>
    <w:p w14:paraId="4C13E8F6" w14:textId="73C9409D" w:rsidR="008678AF" w:rsidRDefault="001749C9" w:rsidP="004F2800">
      <w:pPr>
        <w:spacing w:line="480" w:lineRule="auto"/>
        <w:ind w:firstLine="720"/>
        <w:rPr>
          <w:rFonts w:ascii="Times New Roman" w:hAnsi="Times New Roman" w:cs="Times New Roman"/>
        </w:rPr>
      </w:pPr>
      <w:r>
        <w:rPr>
          <w:rFonts w:ascii="Times New Roman" w:hAnsi="Times New Roman" w:cs="Times New Roman"/>
        </w:rPr>
        <w:t xml:space="preserve">A caveat that requires future study </w:t>
      </w:r>
      <w:r w:rsidR="006D213C">
        <w:rPr>
          <w:rFonts w:ascii="Times New Roman" w:hAnsi="Times New Roman" w:cs="Times New Roman"/>
        </w:rPr>
        <w:t>would utilize</w:t>
      </w:r>
      <w:r>
        <w:rPr>
          <w:rFonts w:ascii="Times New Roman" w:hAnsi="Times New Roman" w:cs="Times New Roman"/>
        </w:rPr>
        <w:t xml:space="preserve"> a design that considers program features</w:t>
      </w:r>
      <w:r w:rsidR="0023733D">
        <w:rPr>
          <w:rFonts w:ascii="Times New Roman" w:hAnsi="Times New Roman" w:cs="Times New Roman"/>
        </w:rPr>
        <w:t xml:space="preserve"> such as if promise program adoption affected all students enrolled or just new, incoming students. This would allow researchers to </w:t>
      </w:r>
      <w:r w:rsidR="009F42A8">
        <w:rPr>
          <w:rFonts w:ascii="Times New Roman" w:hAnsi="Times New Roman" w:cs="Times New Roman"/>
        </w:rPr>
        <w:t>consider variation in whether a program affects only current and future in-coming students at time of adoption or affect</w:t>
      </w:r>
      <w:r w:rsidR="00B221CA">
        <w:rPr>
          <w:rFonts w:ascii="Times New Roman" w:hAnsi="Times New Roman" w:cs="Times New Roman"/>
        </w:rPr>
        <w:t>s</w:t>
      </w:r>
      <w:r w:rsidR="009F42A8">
        <w:rPr>
          <w:rFonts w:ascii="Times New Roman" w:hAnsi="Times New Roman" w:cs="Times New Roman"/>
        </w:rPr>
        <w:t xml:space="preserve"> all students currently enrolled in addition to future students</w:t>
      </w:r>
      <w:r w:rsidR="00016D5C">
        <w:rPr>
          <w:rFonts w:ascii="Times New Roman" w:hAnsi="Times New Roman" w:cs="Times New Roman"/>
        </w:rPr>
        <w:t xml:space="preserve">. Including this </w:t>
      </w:r>
      <w:r w:rsidR="00B221CA">
        <w:rPr>
          <w:rFonts w:ascii="Times New Roman" w:hAnsi="Times New Roman" w:cs="Times New Roman"/>
        </w:rPr>
        <w:t xml:space="preserve">level of </w:t>
      </w:r>
      <w:r w:rsidR="00016D5C">
        <w:rPr>
          <w:rFonts w:ascii="Times New Roman" w:hAnsi="Times New Roman" w:cs="Times New Roman"/>
        </w:rPr>
        <w:t xml:space="preserve">analysis in a future study could </w:t>
      </w:r>
      <w:r w:rsidR="00CA63DB">
        <w:rPr>
          <w:rFonts w:ascii="Times New Roman" w:hAnsi="Times New Roman" w:cs="Times New Roman"/>
        </w:rPr>
        <w:t xml:space="preserve">allow for further clarity on whether immediate effects should be expected following program adoption. However, this type of analysis is beyond the scope of this initial project. </w:t>
      </w:r>
      <w:r w:rsidR="00804445">
        <w:rPr>
          <w:rFonts w:ascii="Times New Roman" w:hAnsi="Times New Roman" w:cs="Times New Roman"/>
        </w:rPr>
        <w:t>Turning the joint tests to see if the post-treatment overall varies significantly from zero, I observe</w:t>
      </w:r>
      <w:r w:rsidR="003510E6">
        <w:rPr>
          <w:rFonts w:ascii="Times New Roman" w:hAnsi="Times New Roman" w:cs="Times New Roman"/>
        </w:rPr>
        <w:t>d</w:t>
      </w:r>
      <w:r w:rsidR="00804445">
        <w:rPr>
          <w:rFonts w:ascii="Times New Roman" w:hAnsi="Times New Roman" w:cs="Times New Roman"/>
        </w:rPr>
        <w:t xml:space="preserve"> that liberal arts </w:t>
      </w:r>
      <w:r w:rsidR="00F8376B">
        <w:rPr>
          <w:rFonts w:ascii="Times New Roman" w:hAnsi="Times New Roman" w:cs="Times New Roman"/>
        </w:rPr>
        <w:t>awards</w:t>
      </w:r>
      <w:r w:rsidR="00804445">
        <w:rPr>
          <w:rFonts w:ascii="Times New Roman" w:hAnsi="Times New Roman" w:cs="Times New Roman"/>
        </w:rPr>
        <w:t xml:space="preserve"> </w:t>
      </w:r>
      <w:r w:rsidR="00F8376B">
        <w:rPr>
          <w:rFonts w:ascii="Times New Roman" w:hAnsi="Times New Roman" w:cs="Times New Roman"/>
        </w:rPr>
        <w:t xml:space="preserve">but not STEM, trades, or human services programs </w:t>
      </w:r>
      <w:r w:rsidR="00C31942">
        <w:rPr>
          <w:rFonts w:ascii="Times New Roman" w:hAnsi="Times New Roman" w:cs="Times New Roman"/>
        </w:rPr>
        <w:t xml:space="preserve">vary significantly from zero. These joint tests results are presented below in </w:t>
      </w:r>
      <w:r w:rsidR="00C31942" w:rsidRPr="004F2800">
        <w:rPr>
          <w:rFonts w:ascii="Times New Roman" w:hAnsi="Times New Roman" w:cs="Times New Roman"/>
          <w:b/>
          <w:bCs/>
        </w:rPr>
        <w:t>Table 1</w:t>
      </w:r>
      <w:r w:rsidR="00DF4D84" w:rsidRPr="004F2800">
        <w:rPr>
          <w:rFonts w:ascii="Times New Roman" w:hAnsi="Times New Roman" w:cs="Times New Roman"/>
          <w:b/>
          <w:bCs/>
        </w:rPr>
        <w:t>0</w:t>
      </w:r>
      <w:r w:rsidR="00C31942">
        <w:rPr>
          <w:rFonts w:ascii="Times New Roman" w:hAnsi="Times New Roman" w:cs="Times New Roman"/>
        </w:rPr>
        <w:t xml:space="preserve">. </w:t>
      </w:r>
    </w:p>
    <w:p w14:paraId="5F55206A" w14:textId="609555CA" w:rsidR="00832D5B" w:rsidRDefault="00832D5B" w:rsidP="004F2800">
      <w:pPr>
        <w:spacing w:line="480" w:lineRule="auto"/>
        <w:rPr>
          <w:rFonts w:ascii="Times New Roman" w:hAnsi="Times New Roman" w:cs="Times New Roman"/>
        </w:rPr>
      </w:pPr>
      <w:r w:rsidRPr="0057249D">
        <w:rPr>
          <w:rFonts w:ascii="Times New Roman" w:hAnsi="Times New Roman" w:cs="Times New Roman"/>
        </w:rPr>
        <w:tab/>
      </w:r>
      <w:r>
        <w:rPr>
          <w:rFonts w:ascii="Times New Roman" w:hAnsi="Times New Roman" w:cs="Times New Roman"/>
        </w:rPr>
        <w:t>These results suggest</w:t>
      </w:r>
      <w:r w:rsidR="003510E6">
        <w:rPr>
          <w:rFonts w:ascii="Times New Roman" w:hAnsi="Times New Roman" w:cs="Times New Roman"/>
        </w:rPr>
        <w:t>ed</w:t>
      </w:r>
      <w:r>
        <w:rPr>
          <w:rFonts w:ascii="Times New Roman" w:hAnsi="Times New Roman" w:cs="Times New Roman"/>
        </w:rPr>
        <w:t xml:space="preserve"> that there were not significant increases regarding the number of students who graduated from specific program areas of study at institutions with free college programs when compared to institutions without these programs. These findings </w:t>
      </w:r>
      <w:r w:rsidR="003510E6">
        <w:rPr>
          <w:rFonts w:ascii="Times New Roman" w:hAnsi="Times New Roman" w:cs="Times New Roman"/>
        </w:rPr>
        <w:t>were</w:t>
      </w:r>
      <w:r>
        <w:rPr>
          <w:rFonts w:ascii="Times New Roman" w:hAnsi="Times New Roman" w:cs="Times New Roman"/>
        </w:rPr>
        <w:t xml:space="preserve"> not entirely contradictory to findings from research question one and instead merit additional study in the future. I suggest that my regression specifications returned non-significant effects because the distribution of programs of study across program length </w:t>
      </w:r>
      <w:r w:rsidR="003510E6">
        <w:rPr>
          <w:rFonts w:ascii="Times New Roman" w:hAnsi="Times New Roman" w:cs="Times New Roman"/>
        </w:rPr>
        <w:t>did</w:t>
      </w:r>
      <w:r>
        <w:rPr>
          <w:rFonts w:ascii="Times New Roman" w:hAnsi="Times New Roman" w:cs="Times New Roman"/>
        </w:rPr>
        <w:t xml:space="preserve"> not exist in a</w:t>
      </w:r>
      <w:r w:rsidRPr="00B531E3">
        <w:rPr>
          <w:rFonts w:ascii="Times New Roman" w:hAnsi="Times New Roman" w:cs="Times New Roman"/>
        </w:rPr>
        <w:t xml:space="preserve"> </w:t>
      </w:r>
      <w:r>
        <w:rPr>
          <w:rFonts w:ascii="Times New Roman" w:hAnsi="Times New Roman" w:cs="Times New Roman"/>
        </w:rPr>
        <w:t xml:space="preserve">manner that is uniform. Returning to liberal arts for example, </w:t>
      </w:r>
      <w:proofErr w:type="gramStart"/>
      <w:r>
        <w:rPr>
          <w:rFonts w:ascii="Times New Roman" w:hAnsi="Times New Roman" w:cs="Times New Roman"/>
        </w:rPr>
        <w:t>a majority of</w:t>
      </w:r>
      <w:proofErr w:type="gramEnd"/>
      <w:r>
        <w:rPr>
          <w:rFonts w:ascii="Times New Roman" w:hAnsi="Times New Roman" w:cs="Times New Roman"/>
        </w:rPr>
        <w:t xml:space="preserve"> graduates in this academic area </w:t>
      </w:r>
      <w:r w:rsidR="00597600">
        <w:rPr>
          <w:rFonts w:ascii="Times New Roman" w:hAnsi="Times New Roman" w:cs="Times New Roman"/>
        </w:rPr>
        <w:t>came</w:t>
      </w:r>
      <w:r>
        <w:rPr>
          <w:rFonts w:ascii="Times New Roman" w:hAnsi="Times New Roman" w:cs="Times New Roman"/>
        </w:rPr>
        <w:t xml:space="preserve"> from associates degree </w:t>
      </w:r>
    </w:p>
    <w:p w14:paraId="371DDC24" w14:textId="77777777" w:rsidR="004F2800" w:rsidRDefault="004F2800" w:rsidP="004F2800">
      <w:pPr>
        <w:spacing w:line="480" w:lineRule="auto"/>
        <w:rPr>
          <w:rFonts w:ascii="Times New Roman" w:hAnsi="Times New Roman" w:cs="Times New Roman"/>
        </w:rPr>
      </w:pPr>
    </w:p>
    <w:p w14:paraId="30ED2378" w14:textId="552C7242" w:rsidR="00703438" w:rsidRPr="009364DE" w:rsidRDefault="00703438" w:rsidP="004F2800">
      <w:pPr>
        <w:pStyle w:val="Caption"/>
        <w:spacing w:before="0" w:after="0" w:line="240" w:lineRule="auto"/>
      </w:pPr>
      <w:bookmarkStart w:id="131" w:name="_Toc179135221"/>
      <w:bookmarkStart w:id="132" w:name="_Toc179136140"/>
      <w:bookmarkStart w:id="133" w:name="_Toc179888485"/>
      <w:bookmarkStart w:id="134" w:name="_Toc181297766"/>
      <w:bookmarkStart w:id="135" w:name="_Toc180144573"/>
      <w:r w:rsidRPr="009364DE">
        <w:lastRenderedPageBreak/>
        <w:t>Table 1</w:t>
      </w:r>
      <w:r w:rsidR="00DF4D84" w:rsidRPr="009364DE">
        <w:t>0</w:t>
      </w:r>
      <w:bookmarkEnd w:id="131"/>
      <w:bookmarkEnd w:id="132"/>
      <w:bookmarkEnd w:id="133"/>
      <w:bookmarkEnd w:id="134"/>
      <w:bookmarkEnd w:id="135"/>
    </w:p>
    <w:p w14:paraId="14769235" w14:textId="77777777" w:rsidR="00703438" w:rsidRDefault="00703438" w:rsidP="004F2800">
      <w:pPr>
        <w:rPr>
          <w:rFonts w:ascii="Times New Roman" w:hAnsi="Times New Roman" w:cs="Times New Roman"/>
        </w:rPr>
      </w:pPr>
      <w:r>
        <w:rPr>
          <w:rFonts w:ascii="Times New Roman" w:hAnsi="Times New Roman" w:cs="Times New Roman"/>
        </w:rPr>
        <w:t xml:space="preserve">Joint Test of Post-Treatment Outputs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1530"/>
        <w:gridCol w:w="1260"/>
        <w:gridCol w:w="1170"/>
        <w:gridCol w:w="1800"/>
        <w:gridCol w:w="1890"/>
      </w:tblGrid>
      <w:tr w:rsidR="00703438" w14:paraId="2F36F697" w14:textId="77777777" w:rsidTr="00597600">
        <w:tc>
          <w:tcPr>
            <w:tcW w:w="990" w:type="dxa"/>
            <w:tcBorders>
              <w:bottom w:val="single" w:sz="4" w:space="0" w:color="auto"/>
            </w:tcBorders>
          </w:tcPr>
          <w:p w14:paraId="23D3A60A" w14:textId="77777777" w:rsidR="00703438" w:rsidRDefault="00703438" w:rsidP="00703438">
            <w:pPr>
              <w:rPr>
                <w:rFonts w:ascii="Times New Roman" w:hAnsi="Times New Roman" w:cs="Times New Roman"/>
              </w:rPr>
            </w:pPr>
          </w:p>
        </w:tc>
        <w:tc>
          <w:tcPr>
            <w:tcW w:w="1530" w:type="dxa"/>
            <w:tcBorders>
              <w:bottom w:val="single" w:sz="4" w:space="0" w:color="auto"/>
            </w:tcBorders>
          </w:tcPr>
          <w:p w14:paraId="09959C9C" w14:textId="16F347E5" w:rsidR="00703438" w:rsidRDefault="00703438" w:rsidP="00703438">
            <w:pPr>
              <w:rPr>
                <w:rFonts w:ascii="Times New Roman" w:hAnsi="Times New Roman" w:cs="Times New Roman"/>
              </w:rPr>
            </w:pPr>
            <w:r>
              <w:rPr>
                <w:rFonts w:ascii="Times New Roman" w:hAnsi="Times New Roman" w:cs="Times New Roman"/>
              </w:rPr>
              <w:t>All Awards</w:t>
            </w:r>
          </w:p>
        </w:tc>
        <w:tc>
          <w:tcPr>
            <w:tcW w:w="1260" w:type="dxa"/>
            <w:tcBorders>
              <w:bottom w:val="single" w:sz="4" w:space="0" w:color="auto"/>
            </w:tcBorders>
          </w:tcPr>
          <w:p w14:paraId="4BA5D161" w14:textId="112C2EAE" w:rsidR="00703438" w:rsidRDefault="00703438" w:rsidP="00703438">
            <w:pPr>
              <w:rPr>
                <w:rFonts w:ascii="Times New Roman" w:hAnsi="Times New Roman" w:cs="Times New Roman"/>
              </w:rPr>
            </w:pPr>
            <w:r>
              <w:rPr>
                <w:rFonts w:ascii="Times New Roman" w:hAnsi="Times New Roman" w:cs="Times New Roman"/>
              </w:rPr>
              <w:t>STEM</w:t>
            </w:r>
          </w:p>
        </w:tc>
        <w:tc>
          <w:tcPr>
            <w:tcW w:w="1170" w:type="dxa"/>
            <w:tcBorders>
              <w:bottom w:val="single" w:sz="4" w:space="0" w:color="auto"/>
            </w:tcBorders>
          </w:tcPr>
          <w:p w14:paraId="335E65BC" w14:textId="28D6749D" w:rsidR="00703438" w:rsidRDefault="00703438" w:rsidP="00703438">
            <w:pPr>
              <w:rPr>
                <w:rFonts w:ascii="Times New Roman" w:hAnsi="Times New Roman" w:cs="Times New Roman"/>
              </w:rPr>
            </w:pPr>
            <w:r>
              <w:rPr>
                <w:rFonts w:ascii="Times New Roman" w:hAnsi="Times New Roman" w:cs="Times New Roman"/>
              </w:rPr>
              <w:t>Trades</w:t>
            </w:r>
          </w:p>
        </w:tc>
        <w:tc>
          <w:tcPr>
            <w:tcW w:w="1800" w:type="dxa"/>
            <w:tcBorders>
              <w:bottom w:val="single" w:sz="4" w:space="0" w:color="auto"/>
            </w:tcBorders>
          </w:tcPr>
          <w:p w14:paraId="47719B90" w14:textId="4D4B7B50" w:rsidR="00703438" w:rsidRDefault="00703438" w:rsidP="00703438">
            <w:pPr>
              <w:rPr>
                <w:rFonts w:ascii="Times New Roman" w:hAnsi="Times New Roman" w:cs="Times New Roman"/>
              </w:rPr>
            </w:pPr>
            <w:r>
              <w:rPr>
                <w:rFonts w:ascii="Times New Roman" w:hAnsi="Times New Roman" w:cs="Times New Roman"/>
              </w:rPr>
              <w:t>Liberal Arts</w:t>
            </w:r>
          </w:p>
        </w:tc>
        <w:tc>
          <w:tcPr>
            <w:tcW w:w="1890" w:type="dxa"/>
            <w:tcBorders>
              <w:bottom w:val="single" w:sz="4" w:space="0" w:color="auto"/>
            </w:tcBorders>
          </w:tcPr>
          <w:p w14:paraId="6C69BAFA" w14:textId="551C7D48" w:rsidR="00703438" w:rsidRDefault="00703438" w:rsidP="00703438">
            <w:pPr>
              <w:rPr>
                <w:rFonts w:ascii="Times New Roman" w:hAnsi="Times New Roman" w:cs="Times New Roman"/>
              </w:rPr>
            </w:pPr>
            <w:r>
              <w:rPr>
                <w:rFonts w:ascii="Times New Roman" w:hAnsi="Times New Roman" w:cs="Times New Roman"/>
              </w:rPr>
              <w:t>Human Services</w:t>
            </w:r>
          </w:p>
        </w:tc>
      </w:tr>
      <w:tr w:rsidR="00B57D5C" w14:paraId="0BD7C803" w14:textId="77777777" w:rsidTr="00597600">
        <w:trPr>
          <w:trHeight w:val="719"/>
        </w:trPr>
        <w:tc>
          <w:tcPr>
            <w:tcW w:w="990" w:type="dxa"/>
            <w:tcBorders>
              <w:top w:val="single" w:sz="4" w:space="0" w:color="auto"/>
            </w:tcBorders>
          </w:tcPr>
          <w:p w14:paraId="6A9EDCBD" w14:textId="77777777" w:rsidR="00B57D5C" w:rsidRDefault="00B57D5C" w:rsidP="00B57D5C">
            <w:pPr>
              <w:rPr>
                <w:rFonts w:ascii="Times New Roman" w:hAnsi="Times New Roman" w:cs="Times New Roman"/>
              </w:rPr>
            </w:pPr>
            <w:r>
              <w:rPr>
                <w:rFonts w:ascii="Times New Roman" w:hAnsi="Times New Roman" w:cs="Times New Roman"/>
              </w:rPr>
              <w:t>No Lag</w:t>
            </w:r>
          </w:p>
        </w:tc>
        <w:tc>
          <w:tcPr>
            <w:tcW w:w="1530" w:type="dxa"/>
            <w:tcBorders>
              <w:top w:val="single" w:sz="4" w:space="0" w:color="auto"/>
            </w:tcBorders>
          </w:tcPr>
          <w:p w14:paraId="6B872F5A" w14:textId="5DCA9BAE" w:rsidR="00B57D5C" w:rsidRDefault="00B57D5C" w:rsidP="00B57D5C">
            <w:pPr>
              <w:rPr>
                <w:rFonts w:ascii="Times New Roman" w:hAnsi="Times New Roman" w:cs="Times New Roman"/>
              </w:rPr>
            </w:pPr>
            <w:r>
              <w:rPr>
                <w:rFonts w:ascii="Times New Roman" w:hAnsi="Times New Roman" w:cs="Times New Roman"/>
              </w:rPr>
              <w:t>0.03</w:t>
            </w:r>
            <w:r w:rsidR="000845E9">
              <w:rPr>
                <w:rFonts w:ascii="Times New Roman" w:hAnsi="Times New Roman" w:cs="Times New Roman"/>
              </w:rPr>
              <w:t>1</w:t>
            </w:r>
            <w:r>
              <w:rPr>
                <w:rFonts w:ascii="Times New Roman" w:hAnsi="Times New Roman" w:cs="Times New Roman"/>
              </w:rPr>
              <w:t>*</w:t>
            </w:r>
          </w:p>
        </w:tc>
        <w:tc>
          <w:tcPr>
            <w:tcW w:w="1260" w:type="dxa"/>
            <w:tcBorders>
              <w:top w:val="single" w:sz="4" w:space="0" w:color="auto"/>
            </w:tcBorders>
          </w:tcPr>
          <w:p w14:paraId="2961721A" w14:textId="677A4BEB" w:rsidR="00B57D5C" w:rsidRDefault="00AE03C4" w:rsidP="00B57D5C">
            <w:pPr>
              <w:rPr>
                <w:rFonts w:ascii="Times New Roman" w:hAnsi="Times New Roman" w:cs="Times New Roman"/>
              </w:rPr>
            </w:pPr>
            <w:r w:rsidRPr="00AE03C4">
              <w:rPr>
                <w:rFonts w:ascii="Times New Roman" w:hAnsi="Times New Roman" w:cs="Times New Roman"/>
              </w:rPr>
              <w:t>0.38</w:t>
            </w:r>
            <w:r w:rsidR="000845E9">
              <w:rPr>
                <w:rFonts w:ascii="Times New Roman" w:hAnsi="Times New Roman" w:cs="Times New Roman"/>
              </w:rPr>
              <w:t>2</w:t>
            </w:r>
          </w:p>
        </w:tc>
        <w:tc>
          <w:tcPr>
            <w:tcW w:w="1170" w:type="dxa"/>
            <w:tcBorders>
              <w:top w:val="single" w:sz="4" w:space="0" w:color="auto"/>
            </w:tcBorders>
          </w:tcPr>
          <w:p w14:paraId="6861D0A1" w14:textId="59BF53A8" w:rsidR="00B57D5C" w:rsidRDefault="00AE03C4" w:rsidP="00B57D5C">
            <w:pPr>
              <w:rPr>
                <w:rFonts w:ascii="Times New Roman" w:hAnsi="Times New Roman" w:cs="Times New Roman"/>
              </w:rPr>
            </w:pPr>
            <w:r w:rsidRPr="00AE03C4">
              <w:rPr>
                <w:rFonts w:ascii="Times New Roman" w:hAnsi="Times New Roman" w:cs="Times New Roman"/>
              </w:rPr>
              <w:t>0.413</w:t>
            </w:r>
          </w:p>
        </w:tc>
        <w:tc>
          <w:tcPr>
            <w:tcW w:w="1800" w:type="dxa"/>
            <w:tcBorders>
              <w:top w:val="single" w:sz="4" w:space="0" w:color="auto"/>
            </w:tcBorders>
          </w:tcPr>
          <w:p w14:paraId="4B42377E" w14:textId="7E337E4B" w:rsidR="00B57D5C" w:rsidRDefault="00B57D5C" w:rsidP="00B57D5C">
            <w:pPr>
              <w:rPr>
                <w:rFonts w:ascii="Times New Roman" w:hAnsi="Times New Roman" w:cs="Times New Roman"/>
              </w:rPr>
            </w:pPr>
            <w:r w:rsidRPr="00436434">
              <w:rPr>
                <w:rFonts w:ascii="Times New Roman" w:hAnsi="Times New Roman" w:cs="Times New Roman"/>
              </w:rPr>
              <w:t>0.000</w:t>
            </w:r>
            <w:r w:rsidR="00AE03C4">
              <w:rPr>
                <w:rFonts w:ascii="Times New Roman" w:hAnsi="Times New Roman" w:cs="Times New Roman"/>
              </w:rPr>
              <w:t>***</w:t>
            </w:r>
          </w:p>
          <w:p w14:paraId="54C63339" w14:textId="77777777" w:rsidR="00B57D5C" w:rsidRDefault="00B57D5C" w:rsidP="00B57D5C">
            <w:pPr>
              <w:rPr>
                <w:rFonts w:ascii="Times New Roman" w:hAnsi="Times New Roman" w:cs="Times New Roman"/>
              </w:rPr>
            </w:pPr>
          </w:p>
        </w:tc>
        <w:tc>
          <w:tcPr>
            <w:tcW w:w="1890" w:type="dxa"/>
            <w:tcBorders>
              <w:top w:val="single" w:sz="4" w:space="0" w:color="auto"/>
            </w:tcBorders>
          </w:tcPr>
          <w:p w14:paraId="4376337B" w14:textId="18811117" w:rsidR="00B57D5C" w:rsidRDefault="00B57D5C" w:rsidP="00B57D5C">
            <w:pPr>
              <w:rPr>
                <w:rFonts w:ascii="Times New Roman" w:hAnsi="Times New Roman" w:cs="Times New Roman"/>
              </w:rPr>
            </w:pPr>
            <w:r w:rsidRPr="00F40731">
              <w:rPr>
                <w:rFonts w:ascii="Times New Roman" w:hAnsi="Times New Roman" w:cs="Times New Roman"/>
              </w:rPr>
              <w:t>0.403</w:t>
            </w:r>
          </w:p>
          <w:p w14:paraId="570F9519" w14:textId="77777777" w:rsidR="00B57D5C" w:rsidRDefault="00B57D5C" w:rsidP="00B57D5C">
            <w:pPr>
              <w:jc w:val="center"/>
              <w:rPr>
                <w:rFonts w:ascii="Times New Roman" w:hAnsi="Times New Roman" w:cs="Times New Roman"/>
              </w:rPr>
            </w:pPr>
          </w:p>
        </w:tc>
      </w:tr>
      <w:tr w:rsidR="00B57D5C" w14:paraId="4D2616AD" w14:textId="77777777" w:rsidTr="00597600">
        <w:trPr>
          <w:trHeight w:val="891"/>
        </w:trPr>
        <w:tc>
          <w:tcPr>
            <w:tcW w:w="990" w:type="dxa"/>
          </w:tcPr>
          <w:p w14:paraId="7020CC17" w14:textId="77777777" w:rsidR="00B57D5C" w:rsidRDefault="00B57D5C" w:rsidP="00B57D5C">
            <w:pPr>
              <w:rPr>
                <w:rFonts w:ascii="Times New Roman" w:hAnsi="Times New Roman" w:cs="Times New Roman"/>
              </w:rPr>
            </w:pPr>
            <w:r>
              <w:rPr>
                <w:rFonts w:ascii="Times New Roman" w:hAnsi="Times New Roman" w:cs="Times New Roman"/>
              </w:rPr>
              <w:t>1 Year Lag</w:t>
            </w:r>
          </w:p>
        </w:tc>
        <w:tc>
          <w:tcPr>
            <w:tcW w:w="1530" w:type="dxa"/>
          </w:tcPr>
          <w:p w14:paraId="3542869E" w14:textId="40C33827" w:rsidR="00B57D5C" w:rsidRDefault="00B57D5C" w:rsidP="00B57D5C">
            <w:pPr>
              <w:rPr>
                <w:rFonts w:ascii="Times New Roman" w:hAnsi="Times New Roman" w:cs="Times New Roman"/>
              </w:rPr>
            </w:pPr>
            <w:r w:rsidRPr="00811A5D">
              <w:rPr>
                <w:rFonts w:ascii="Times New Roman" w:hAnsi="Times New Roman" w:cs="Times New Roman"/>
              </w:rPr>
              <w:t>0.016</w:t>
            </w:r>
            <w:r>
              <w:rPr>
                <w:rFonts w:ascii="Times New Roman" w:hAnsi="Times New Roman" w:cs="Times New Roman"/>
              </w:rPr>
              <w:t>**</w:t>
            </w:r>
          </w:p>
        </w:tc>
        <w:tc>
          <w:tcPr>
            <w:tcW w:w="1260" w:type="dxa"/>
          </w:tcPr>
          <w:p w14:paraId="54332367" w14:textId="73C3D64D" w:rsidR="00B57D5C" w:rsidRDefault="00AE03C4" w:rsidP="00B57D5C">
            <w:pPr>
              <w:rPr>
                <w:rFonts w:ascii="Times New Roman" w:hAnsi="Times New Roman" w:cs="Times New Roman"/>
              </w:rPr>
            </w:pPr>
            <w:r w:rsidRPr="00AE03C4">
              <w:rPr>
                <w:rFonts w:ascii="Times New Roman" w:hAnsi="Times New Roman" w:cs="Times New Roman"/>
              </w:rPr>
              <w:t>0.28</w:t>
            </w:r>
            <w:r w:rsidR="000845E9">
              <w:rPr>
                <w:rFonts w:ascii="Times New Roman" w:hAnsi="Times New Roman" w:cs="Times New Roman"/>
              </w:rPr>
              <w:t>5</w:t>
            </w:r>
          </w:p>
        </w:tc>
        <w:tc>
          <w:tcPr>
            <w:tcW w:w="1170" w:type="dxa"/>
          </w:tcPr>
          <w:p w14:paraId="48E2159D" w14:textId="1BF93358" w:rsidR="00B57D5C" w:rsidRDefault="00AE03C4" w:rsidP="00B57D5C">
            <w:pPr>
              <w:rPr>
                <w:rFonts w:ascii="Times New Roman" w:hAnsi="Times New Roman" w:cs="Times New Roman"/>
              </w:rPr>
            </w:pPr>
            <w:r w:rsidRPr="00AE03C4">
              <w:rPr>
                <w:rFonts w:ascii="Times New Roman" w:hAnsi="Times New Roman" w:cs="Times New Roman"/>
              </w:rPr>
              <w:t>0.320</w:t>
            </w:r>
          </w:p>
        </w:tc>
        <w:tc>
          <w:tcPr>
            <w:tcW w:w="1800" w:type="dxa"/>
          </w:tcPr>
          <w:p w14:paraId="2463F0CB" w14:textId="327644A0" w:rsidR="00B57D5C" w:rsidRDefault="00B57D5C" w:rsidP="00B57D5C">
            <w:pPr>
              <w:rPr>
                <w:rFonts w:ascii="Times New Roman" w:hAnsi="Times New Roman" w:cs="Times New Roman"/>
              </w:rPr>
            </w:pPr>
            <w:r w:rsidRPr="00436434">
              <w:rPr>
                <w:rFonts w:ascii="Times New Roman" w:hAnsi="Times New Roman" w:cs="Times New Roman"/>
              </w:rPr>
              <w:t>0.000</w:t>
            </w:r>
            <w:r w:rsidR="00AE03C4">
              <w:rPr>
                <w:rFonts w:ascii="Times New Roman" w:hAnsi="Times New Roman" w:cs="Times New Roman"/>
              </w:rPr>
              <w:t>***</w:t>
            </w:r>
          </w:p>
        </w:tc>
        <w:tc>
          <w:tcPr>
            <w:tcW w:w="1890" w:type="dxa"/>
          </w:tcPr>
          <w:p w14:paraId="29195D89" w14:textId="1DB493A5" w:rsidR="00B57D5C" w:rsidRDefault="00B57D5C" w:rsidP="00B57D5C">
            <w:pPr>
              <w:rPr>
                <w:rFonts w:ascii="Times New Roman" w:hAnsi="Times New Roman" w:cs="Times New Roman"/>
              </w:rPr>
            </w:pPr>
            <w:r w:rsidRPr="00F40731">
              <w:rPr>
                <w:rFonts w:ascii="Times New Roman" w:hAnsi="Times New Roman" w:cs="Times New Roman"/>
              </w:rPr>
              <w:t>0.38</w:t>
            </w:r>
            <w:r w:rsidR="000845E9">
              <w:rPr>
                <w:rFonts w:ascii="Times New Roman" w:hAnsi="Times New Roman" w:cs="Times New Roman"/>
              </w:rPr>
              <w:t>6</w:t>
            </w:r>
          </w:p>
        </w:tc>
      </w:tr>
      <w:tr w:rsidR="00B57D5C" w14:paraId="40EE22A8" w14:textId="77777777" w:rsidTr="00597600">
        <w:trPr>
          <w:trHeight w:val="719"/>
        </w:trPr>
        <w:tc>
          <w:tcPr>
            <w:tcW w:w="990" w:type="dxa"/>
            <w:tcBorders>
              <w:bottom w:val="single" w:sz="4" w:space="0" w:color="auto"/>
            </w:tcBorders>
          </w:tcPr>
          <w:p w14:paraId="4940D6BF" w14:textId="77777777" w:rsidR="00B57D5C" w:rsidRDefault="00B57D5C" w:rsidP="00B57D5C">
            <w:pPr>
              <w:rPr>
                <w:rFonts w:ascii="Times New Roman" w:hAnsi="Times New Roman" w:cs="Times New Roman"/>
              </w:rPr>
            </w:pPr>
            <w:r>
              <w:rPr>
                <w:rFonts w:ascii="Times New Roman" w:hAnsi="Times New Roman" w:cs="Times New Roman"/>
              </w:rPr>
              <w:t>2 Year Lag</w:t>
            </w:r>
          </w:p>
        </w:tc>
        <w:tc>
          <w:tcPr>
            <w:tcW w:w="1530" w:type="dxa"/>
            <w:tcBorders>
              <w:bottom w:val="single" w:sz="4" w:space="0" w:color="auto"/>
            </w:tcBorders>
          </w:tcPr>
          <w:p w14:paraId="577B2671" w14:textId="101E4550" w:rsidR="00B57D5C" w:rsidRDefault="00B57D5C" w:rsidP="00B57D5C">
            <w:pPr>
              <w:rPr>
                <w:rFonts w:ascii="Times New Roman" w:hAnsi="Times New Roman" w:cs="Times New Roman"/>
              </w:rPr>
            </w:pPr>
            <w:r w:rsidRPr="00811A5D">
              <w:rPr>
                <w:rFonts w:ascii="Times New Roman" w:hAnsi="Times New Roman" w:cs="Times New Roman"/>
              </w:rPr>
              <w:t>0.00</w:t>
            </w:r>
            <w:r w:rsidR="000845E9">
              <w:rPr>
                <w:rFonts w:ascii="Times New Roman" w:hAnsi="Times New Roman" w:cs="Times New Roman"/>
              </w:rPr>
              <w:t>8</w:t>
            </w:r>
            <w:r>
              <w:rPr>
                <w:rFonts w:ascii="Times New Roman" w:hAnsi="Times New Roman" w:cs="Times New Roman"/>
              </w:rPr>
              <w:t>**</w:t>
            </w:r>
          </w:p>
        </w:tc>
        <w:tc>
          <w:tcPr>
            <w:tcW w:w="1260" w:type="dxa"/>
            <w:tcBorders>
              <w:bottom w:val="single" w:sz="4" w:space="0" w:color="auto"/>
            </w:tcBorders>
          </w:tcPr>
          <w:p w14:paraId="2A7E9AB6" w14:textId="7455D11F" w:rsidR="00B57D5C" w:rsidRDefault="00AE03C4" w:rsidP="00B57D5C">
            <w:pPr>
              <w:rPr>
                <w:rFonts w:ascii="Times New Roman" w:hAnsi="Times New Roman" w:cs="Times New Roman"/>
              </w:rPr>
            </w:pPr>
            <w:r w:rsidRPr="00AE03C4">
              <w:rPr>
                <w:rFonts w:ascii="Times New Roman" w:hAnsi="Times New Roman" w:cs="Times New Roman"/>
              </w:rPr>
              <w:t>0.350</w:t>
            </w:r>
          </w:p>
        </w:tc>
        <w:tc>
          <w:tcPr>
            <w:tcW w:w="1170" w:type="dxa"/>
            <w:tcBorders>
              <w:bottom w:val="single" w:sz="4" w:space="0" w:color="auto"/>
            </w:tcBorders>
          </w:tcPr>
          <w:p w14:paraId="560213E7" w14:textId="42336C3E" w:rsidR="00B57D5C" w:rsidRDefault="00B57D5C" w:rsidP="00B57D5C">
            <w:pPr>
              <w:rPr>
                <w:rFonts w:ascii="Times New Roman" w:hAnsi="Times New Roman" w:cs="Times New Roman"/>
              </w:rPr>
            </w:pPr>
            <w:r w:rsidRPr="00B57D5C">
              <w:rPr>
                <w:rFonts w:ascii="Times New Roman" w:hAnsi="Times New Roman" w:cs="Times New Roman"/>
              </w:rPr>
              <w:t>0.229</w:t>
            </w:r>
          </w:p>
        </w:tc>
        <w:tc>
          <w:tcPr>
            <w:tcW w:w="1800" w:type="dxa"/>
            <w:tcBorders>
              <w:bottom w:val="single" w:sz="4" w:space="0" w:color="auto"/>
            </w:tcBorders>
          </w:tcPr>
          <w:p w14:paraId="28C27251" w14:textId="2F74E4B2" w:rsidR="00B57D5C" w:rsidRDefault="00B57D5C" w:rsidP="00B57D5C">
            <w:pPr>
              <w:rPr>
                <w:rFonts w:ascii="Times New Roman" w:hAnsi="Times New Roman" w:cs="Times New Roman"/>
              </w:rPr>
            </w:pPr>
            <w:r w:rsidRPr="00436434">
              <w:rPr>
                <w:rFonts w:ascii="Times New Roman" w:hAnsi="Times New Roman" w:cs="Times New Roman"/>
              </w:rPr>
              <w:t>0.00</w:t>
            </w:r>
            <w:r w:rsidR="000845E9">
              <w:rPr>
                <w:rFonts w:ascii="Times New Roman" w:hAnsi="Times New Roman" w:cs="Times New Roman"/>
              </w:rPr>
              <w:t>2</w:t>
            </w:r>
            <w:r w:rsidR="00AE03C4">
              <w:rPr>
                <w:rFonts w:ascii="Times New Roman" w:hAnsi="Times New Roman" w:cs="Times New Roman"/>
              </w:rPr>
              <w:t>**</w:t>
            </w:r>
          </w:p>
        </w:tc>
        <w:tc>
          <w:tcPr>
            <w:tcW w:w="1890" w:type="dxa"/>
            <w:tcBorders>
              <w:bottom w:val="single" w:sz="4" w:space="0" w:color="auto"/>
            </w:tcBorders>
          </w:tcPr>
          <w:p w14:paraId="46A84865" w14:textId="3390D1F2" w:rsidR="00B57D5C" w:rsidRDefault="00B57D5C" w:rsidP="00B57D5C">
            <w:pPr>
              <w:rPr>
                <w:rFonts w:ascii="Times New Roman" w:hAnsi="Times New Roman" w:cs="Times New Roman"/>
              </w:rPr>
            </w:pPr>
            <w:r w:rsidRPr="00F40731">
              <w:rPr>
                <w:rFonts w:ascii="Times New Roman" w:hAnsi="Times New Roman" w:cs="Times New Roman"/>
              </w:rPr>
              <w:t>0.267</w:t>
            </w:r>
          </w:p>
        </w:tc>
      </w:tr>
    </w:tbl>
    <w:p w14:paraId="0AB46A51" w14:textId="4726D7C6" w:rsidR="00703438" w:rsidRDefault="00CF4BB9" w:rsidP="00703438">
      <w:pPr>
        <w:spacing w:line="480" w:lineRule="auto"/>
        <w:rPr>
          <w:rFonts w:ascii="Times New Roman" w:hAnsi="Times New Roman" w:cs="Times New Roman"/>
        </w:rPr>
      </w:pPr>
      <w:r>
        <w:rPr>
          <w:rFonts w:ascii="Times New Roman" w:hAnsi="Times New Roman" w:cs="Times New Roman"/>
        </w:rPr>
        <w:t>* p&lt;0.05, **p&lt;0.01, ***p&lt;0.001</w:t>
      </w:r>
    </w:p>
    <w:p w14:paraId="60A51904" w14:textId="77777777" w:rsidR="004F2800" w:rsidRDefault="004F2800" w:rsidP="00703438">
      <w:pPr>
        <w:spacing w:line="480" w:lineRule="auto"/>
        <w:rPr>
          <w:rFonts w:ascii="Times New Roman" w:hAnsi="Times New Roman" w:cs="Times New Roman"/>
        </w:rPr>
      </w:pPr>
    </w:p>
    <w:p w14:paraId="5B41E9FC" w14:textId="77777777" w:rsidR="004F2800" w:rsidRDefault="004F2800" w:rsidP="00703438">
      <w:pPr>
        <w:spacing w:line="480" w:lineRule="auto"/>
        <w:rPr>
          <w:rFonts w:ascii="Times New Roman" w:hAnsi="Times New Roman" w:cs="Times New Roman"/>
        </w:rPr>
      </w:pPr>
    </w:p>
    <w:p w14:paraId="5C245704" w14:textId="77777777" w:rsidR="004F2800" w:rsidRDefault="004F2800" w:rsidP="00703438">
      <w:pPr>
        <w:spacing w:line="480" w:lineRule="auto"/>
        <w:rPr>
          <w:rFonts w:ascii="Times New Roman" w:hAnsi="Times New Roman" w:cs="Times New Roman"/>
        </w:rPr>
      </w:pPr>
    </w:p>
    <w:p w14:paraId="55898BFB" w14:textId="77777777" w:rsidR="004F2800" w:rsidRDefault="004F2800" w:rsidP="00703438">
      <w:pPr>
        <w:spacing w:line="480" w:lineRule="auto"/>
        <w:rPr>
          <w:rFonts w:ascii="Times New Roman" w:hAnsi="Times New Roman" w:cs="Times New Roman"/>
        </w:rPr>
      </w:pPr>
    </w:p>
    <w:p w14:paraId="00E0EA55" w14:textId="77777777" w:rsidR="004F2800" w:rsidRDefault="004F2800" w:rsidP="00703438">
      <w:pPr>
        <w:spacing w:line="480" w:lineRule="auto"/>
        <w:rPr>
          <w:rFonts w:ascii="Times New Roman" w:hAnsi="Times New Roman" w:cs="Times New Roman"/>
        </w:rPr>
      </w:pPr>
    </w:p>
    <w:p w14:paraId="3A2474AD" w14:textId="77777777" w:rsidR="004F2800" w:rsidRDefault="004F2800" w:rsidP="00703438">
      <w:pPr>
        <w:spacing w:line="480" w:lineRule="auto"/>
        <w:rPr>
          <w:rFonts w:ascii="Times New Roman" w:hAnsi="Times New Roman" w:cs="Times New Roman"/>
        </w:rPr>
      </w:pPr>
    </w:p>
    <w:p w14:paraId="767714A0" w14:textId="77777777" w:rsidR="004F2800" w:rsidRDefault="004F2800" w:rsidP="00703438">
      <w:pPr>
        <w:spacing w:line="480" w:lineRule="auto"/>
        <w:rPr>
          <w:rFonts w:ascii="Times New Roman" w:hAnsi="Times New Roman" w:cs="Times New Roman"/>
        </w:rPr>
      </w:pPr>
    </w:p>
    <w:p w14:paraId="79EC54F6" w14:textId="77777777" w:rsidR="004F2800" w:rsidRDefault="004F2800" w:rsidP="00703438">
      <w:pPr>
        <w:spacing w:line="480" w:lineRule="auto"/>
        <w:rPr>
          <w:rFonts w:ascii="Times New Roman" w:hAnsi="Times New Roman" w:cs="Times New Roman"/>
        </w:rPr>
      </w:pPr>
    </w:p>
    <w:p w14:paraId="285E45C4" w14:textId="77777777" w:rsidR="004F2800" w:rsidRDefault="004F2800" w:rsidP="00703438">
      <w:pPr>
        <w:spacing w:line="480" w:lineRule="auto"/>
        <w:rPr>
          <w:rFonts w:ascii="Times New Roman" w:hAnsi="Times New Roman" w:cs="Times New Roman"/>
        </w:rPr>
      </w:pPr>
    </w:p>
    <w:p w14:paraId="20E6867D" w14:textId="77777777" w:rsidR="004F2800" w:rsidRDefault="004F2800" w:rsidP="00703438">
      <w:pPr>
        <w:spacing w:line="480" w:lineRule="auto"/>
        <w:rPr>
          <w:rFonts w:ascii="Times New Roman" w:hAnsi="Times New Roman" w:cs="Times New Roman"/>
        </w:rPr>
      </w:pPr>
    </w:p>
    <w:p w14:paraId="72F09E79" w14:textId="77777777" w:rsidR="004F2800" w:rsidRDefault="004F2800" w:rsidP="00703438">
      <w:pPr>
        <w:spacing w:line="480" w:lineRule="auto"/>
        <w:rPr>
          <w:rFonts w:ascii="Times New Roman" w:hAnsi="Times New Roman" w:cs="Times New Roman"/>
        </w:rPr>
      </w:pPr>
    </w:p>
    <w:p w14:paraId="2BDD0F5A" w14:textId="77777777" w:rsidR="004F2800" w:rsidRDefault="004F2800" w:rsidP="00703438">
      <w:pPr>
        <w:spacing w:line="480" w:lineRule="auto"/>
        <w:rPr>
          <w:rFonts w:ascii="Times New Roman" w:hAnsi="Times New Roman" w:cs="Times New Roman"/>
        </w:rPr>
      </w:pPr>
    </w:p>
    <w:p w14:paraId="4A829AB3" w14:textId="77777777" w:rsidR="004F2800" w:rsidRDefault="004F2800" w:rsidP="00703438">
      <w:pPr>
        <w:spacing w:line="480" w:lineRule="auto"/>
        <w:rPr>
          <w:rFonts w:ascii="Times New Roman" w:hAnsi="Times New Roman" w:cs="Times New Roman"/>
        </w:rPr>
      </w:pPr>
    </w:p>
    <w:p w14:paraId="5D0B701C" w14:textId="77777777" w:rsidR="004F2800" w:rsidRDefault="004F2800" w:rsidP="00703438">
      <w:pPr>
        <w:spacing w:line="480" w:lineRule="auto"/>
        <w:rPr>
          <w:rFonts w:ascii="Times New Roman" w:hAnsi="Times New Roman" w:cs="Times New Roman"/>
        </w:rPr>
      </w:pPr>
    </w:p>
    <w:p w14:paraId="3171A52A" w14:textId="77777777" w:rsidR="004F2800" w:rsidRDefault="004F2800" w:rsidP="00703438">
      <w:pPr>
        <w:spacing w:line="480" w:lineRule="auto"/>
        <w:rPr>
          <w:rFonts w:ascii="Times New Roman" w:hAnsi="Times New Roman" w:cs="Times New Roman"/>
        </w:rPr>
      </w:pPr>
    </w:p>
    <w:p w14:paraId="3FFAC608" w14:textId="664CACC7" w:rsidR="004F2800" w:rsidRPr="0057249D" w:rsidRDefault="004F2800" w:rsidP="004F2800">
      <w:pPr>
        <w:spacing w:line="480" w:lineRule="auto"/>
        <w:rPr>
          <w:rFonts w:ascii="Times New Roman" w:hAnsi="Times New Roman" w:cs="Times New Roman"/>
        </w:rPr>
      </w:pPr>
      <w:r>
        <w:rPr>
          <w:rFonts w:ascii="Times New Roman" w:hAnsi="Times New Roman" w:cs="Times New Roman"/>
        </w:rPr>
        <w:lastRenderedPageBreak/>
        <w:t xml:space="preserve">programs while </w:t>
      </w:r>
      <w:proofErr w:type="gramStart"/>
      <w:r>
        <w:rPr>
          <w:rFonts w:ascii="Times New Roman" w:hAnsi="Times New Roman" w:cs="Times New Roman"/>
        </w:rPr>
        <w:t>a majority of</w:t>
      </w:r>
      <w:proofErr w:type="gramEnd"/>
      <w:r>
        <w:rPr>
          <w:rFonts w:ascii="Times New Roman" w:hAnsi="Times New Roman" w:cs="Times New Roman"/>
        </w:rPr>
        <w:t xml:space="preserve"> trades program graduates came from credential length programs.</w:t>
      </w:r>
    </w:p>
    <w:p w14:paraId="0718A053" w14:textId="04C3B193" w:rsidR="00C31942" w:rsidRDefault="00CF5439" w:rsidP="004F2800">
      <w:pPr>
        <w:pStyle w:val="Heading2"/>
        <w:spacing w:before="0" w:after="0"/>
      </w:pPr>
      <w:bookmarkStart w:id="136" w:name="_Toc183282285"/>
      <w:r>
        <w:t>Robustness Tests</w:t>
      </w:r>
      <w:bookmarkEnd w:id="136"/>
    </w:p>
    <w:p w14:paraId="63F4BD55" w14:textId="0D66CFD5" w:rsidR="00CF5439" w:rsidRDefault="00CF5439" w:rsidP="004F2800">
      <w:pPr>
        <w:spacing w:line="480" w:lineRule="auto"/>
        <w:rPr>
          <w:rFonts w:ascii="Times New Roman" w:hAnsi="Times New Roman" w:cs="Times New Roman"/>
        </w:rPr>
      </w:pPr>
      <w:r>
        <w:rPr>
          <w:rFonts w:ascii="Times New Roman" w:hAnsi="Times New Roman" w:cs="Times New Roman"/>
        </w:rPr>
        <w:tab/>
        <w:t>I utilize</w:t>
      </w:r>
      <w:r w:rsidR="00597600">
        <w:rPr>
          <w:rFonts w:ascii="Times New Roman" w:hAnsi="Times New Roman" w:cs="Times New Roman"/>
        </w:rPr>
        <w:t>d</w:t>
      </w:r>
      <w:r>
        <w:rPr>
          <w:rFonts w:ascii="Times New Roman" w:hAnsi="Times New Roman" w:cs="Times New Roman"/>
        </w:rPr>
        <w:t xml:space="preserve"> both my </w:t>
      </w:r>
      <w:r w:rsidR="00ED35B0">
        <w:rPr>
          <w:rFonts w:ascii="Times New Roman" w:hAnsi="Times New Roman" w:cs="Times New Roman"/>
        </w:rPr>
        <w:t xml:space="preserve">imputation models and </w:t>
      </w:r>
      <w:r w:rsidR="00146EA0">
        <w:rPr>
          <w:rFonts w:ascii="Times New Roman" w:hAnsi="Times New Roman" w:cs="Times New Roman"/>
        </w:rPr>
        <w:t>estimates from</w:t>
      </w:r>
      <w:r w:rsidR="00ED35B0">
        <w:rPr>
          <w:rFonts w:ascii="Times New Roman" w:hAnsi="Times New Roman" w:cs="Times New Roman"/>
        </w:rPr>
        <w:t xml:space="preserve"> </w:t>
      </w:r>
      <w:r w:rsidR="00146EA0" w:rsidRPr="00546D52">
        <w:rPr>
          <w:rFonts w:ascii="Times New Roman" w:hAnsi="Times New Roman" w:cs="Times New Roman"/>
        </w:rPr>
        <w:t xml:space="preserve">de Chaisemartin </w:t>
      </w:r>
      <w:r w:rsidR="00165FDD">
        <w:rPr>
          <w:rFonts w:ascii="Times New Roman" w:hAnsi="Times New Roman" w:cs="Times New Roman"/>
        </w:rPr>
        <w:t>and</w:t>
      </w:r>
      <w:r w:rsidR="00146EA0" w:rsidRPr="00546D52">
        <w:rPr>
          <w:rFonts w:ascii="Times New Roman" w:hAnsi="Times New Roman" w:cs="Times New Roman"/>
        </w:rPr>
        <w:t xml:space="preserve"> D'Haultfœuille’s </w:t>
      </w:r>
      <w:sdt>
        <w:sdtPr>
          <w:rPr>
            <w:rFonts w:ascii="Times New Roman" w:hAnsi="Times New Roman" w:cs="Times New Roman"/>
          </w:rPr>
          <w:id w:val="2055963565"/>
          <w:citation/>
        </w:sdtPr>
        <w:sdtContent>
          <w:r w:rsidR="00505E4F">
            <w:rPr>
              <w:rFonts w:ascii="Times New Roman" w:hAnsi="Times New Roman" w:cs="Times New Roman"/>
            </w:rPr>
            <w:fldChar w:fldCharType="begin"/>
          </w:r>
          <w:r w:rsidR="00505E4F">
            <w:rPr>
              <w:rFonts w:ascii="Times New Roman" w:hAnsi="Times New Roman" w:cs="Times New Roman"/>
            </w:rPr>
            <w:instrText xml:space="preserve">CITATION DeC20 \n  \t  \l 1033 </w:instrText>
          </w:r>
          <w:r w:rsidR="00505E4F">
            <w:rPr>
              <w:rFonts w:ascii="Times New Roman" w:hAnsi="Times New Roman" w:cs="Times New Roman"/>
            </w:rPr>
            <w:fldChar w:fldCharType="separate"/>
          </w:r>
          <w:r w:rsidR="00A10468" w:rsidRPr="00A10468">
            <w:rPr>
              <w:rFonts w:ascii="Times New Roman" w:hAnsi="Times New Roman" w:cs="Times New Roman"/>
              <w:noProof/>
            </w:rPr>
            <w:t>(2020)</w:t>
          </w:r>
          <w:r w:rsidR="00505E4F">
            <w:rPr>
              <w:rFonts w:ascii="Times New Roman" w:hAnsi="Times New Roman" w:cs="Times New Roman"/>
            </w:rPr>
            <w:fldChar w:fldCharType="end"/>
          </w:r>
        </w:sdtContent>
      </w:sdt>
      <w:r w:rsidR="00146EA0" w:rsidRPr="00546D52">
        <w:rPr>
          <w:rFonts w:ascii="Times New Roman" w:hAnsi="Times New Roman" w:cs="Times New Roman"/>
        </w:rPr>
        <w:t xml:space="preserve"> decomposition</w:t>
      </w:r>
      <w:r w:rsidR="00146EA0">
        <w:rPr>
          <w:rFonts w:ascii="Times New Roman" w:hAnsi="Times New Roman" w:cs="Times New Roman"/>
        </w:rPr>
        <w:t xml:space="preserve"> approach to test the robustness of my results. </w:t>
      </w:r>
      <w:r w:rsidR="001A2767">
        <w:rPr>
          <w:rFonts w:ascii="Times New Roman" w:hAnsi="Times New Roman" w:cs="Times New Roman"/>
        </w:rPr>
        <w:t xml:space="preserve">I present the results of these </w:t>
      </w:r>
      <w:r w:rsidR="00937B7E">
        <w:rPr>
          <w:rFonts w:ascii="Times New Roman" w:hAnsi="Times New Roman" w:cs="Times New Roman"/>
        </w:rPr>
        <w:t xml:space="preserve">approaches in this section. I then close this chapter with </w:t>
      </w:r>
      <w:r w:rsidR="00060AA6">
        <w:rPr>
          <w:rFonts w:ascii="Times New Roman" w:hAnsi="Times New Roman" w:cs="Times New Roman"/>
        </w:rPr>
        <w:t>a summary</w:t>
      </w:r>
      <w:r w:rsidR="00937B7E">
        <w:rPr>
          <w:rFonts w:ascii="Times New Roman" w:hAnsi="Times New Roman" w:cs="Times New Roman"/>
        </w:rPr>
        <w:t xml:space="preserve"> </w:t>
      </w:r>
      <w:r w:rsidR="008F2310">
        <w:rPr>
          <w:rFonts w:ascii="Times New Roman" w:hAnsi="Times New Roman" w:cs="Times New Roman"/>
        </w:rPr>
        <w:t xml:space="preserve">before moving on to </w:t>
      </w:r>
      <w:r w:rsidR="00135FD5">
        <w:rPr>
          <w:rFonts w:ascii="Times New Roman" w:hAnsi="Times New Roman" w:cs="Times New Roman"/>
        </w:rPr>
        <w:t xml:space="preserve">Chapter 5 where I discuss implications for my study’s results. </w:t>
      </w:r>
    </w:p>
    <w:p w14:paraId="6926C035" w14:textId="43BE0589" w:rsidR="00135FD5" w:rsidRDefault="00135FD5" w:rsidP="004F2800">
      <w:pPr>
        <w:spacing w:line="480" w:lineRule="auto"/>
        <w:rPr>
          <w:rFonts w:ascii="Times New Roman" w:hAnsi="Times New Roman" w:cs="Times New Roman"/>
          <w:b/>
          <w:bCs/>
        </w:rPr>
      </w:pPr>
      <w:r>
        <w:rPr>
          <w:rFonts w:ascii="Times New Roman" w:hAnsi="Times New Roman" w:cs="Times New Roman"/>
          <w:b/>
          <w:bCs/>
        </w:rPr>
        <w:t>Imputation Approach Model</w:t>
      </w:r>
      <w:r w:rsidR="001C456E">
        <w:rPr>
          <w:rFonts w:ascii="Times New Roman" w:hAnsi="Times New Roman" w:cs="Times New Roman"/>
          <w:b/>
          <w:bCs/>
        </w:rPr>
        <w:t xml:space="preserve"> Results</w:t>
      </w:r>
    </w:p>
    <w:p w14:paraId="23E92B3D" w14:textId="307DF06C" w:rsidR="00902ABC" w:rsidRDefault="00E72E77" w:rsidP="004F2800">
      <w:pPr>
        <w:spacing w:line="480" w:lineRule="auto"/>
        <w:rPr>
          <w:rFonts w:ascii="Times New Roman" w:hAnsi="Times New Roman" w:cs="Times New Roman"/>
        </w:rPr>
      </w:pPr>
      <w:r>
        <w:rPr>
          <w:rFonts w:ascii="Times New Roman" w:hAnsi="Times New Roman" w:cs="Times New Roman"/>
        </w:rPr>
        <w:tab/>
      </w:r>
      <w:r w:rsidR="00BA3168">
        <w:rPr>
          <w:rFonts w:ascii="Times New Roman" w:hAnsi="Times New Roman" w:cs="Times New Roman"/>
        </w:rPr>
        <w:t xml:space="preserve">While Borusyak et al.’s </w:t>
      </w:r>
      <w:r w:rsidR="00165FDD">
        <w:rPr>
          <w:rFonts w:ascii="Times New Roman" w:hAnsi="Times New Roman" w:cs="Times New Roman"/>
        </w:rPr>
        <w:t>(</w:t>
      </w:r>
      <w:r w:rsidR="004120E5">
        <w:rPr>
          <w:rFonts w:ascii="Times New Roman" w:hAnsi="Times New Roman" w:cs="Times New Roman"/>
        </w:rPr>
        <w:t>2020</w:t>
      </w:r>
      <w:r w:rsidR="00165FDD">
        <w:rPr>
          <w:rFonts w:ascii="Times New Roman" w:hAnsi="Times New Roman" w:cs="Times New Roman"/>
        </w:rPr>
        <w:t xml:space="preserve">) </w:t>
      </w:r>
      <w:r w:rsidR="00BA3168">
        <w:rPr>
          <w:rFonts w:ascii="Times New Roman" w:hAnsi="Times New Roman" w:cs="Times New Roman"/>
        </w:rPr>
        <w:t xml:space="preserve">imputation approach was not selected as the preferred model for this </w:t>
      </w:r>
      <w:r w:rsidR="000D39D2">
        <w:rPr>
          <w:rFonts w:ascii="Times New Roman" w:hAnsi="Times New Roman" w:cs="Times New Roman"/>
        </w:rPr>
        <w:t xml:space="preserve">study, </w:t>
      </w:r>
      <w:r w:rsidR="004438A2">
        <w:rPr>
          <w:rFonts w:ascii="Times New Roman" w:hAnsi="Times New Roman" w:cs="Times New Roman"/>
        </w:rPr>
        <w:t xml:space="preserve">I believed that </w:t>
      </w:r>
      <w:r w:rsidR="00E30BCF">
        <w:rPr>
          <w:rFonts w:ascii="Times New Roman" w:hAnsi="Times New Roman" w:cs="Times New Roman"/>
        </w:rPr>
        <w:t xml:space="preserve">the output of these models </w:t>
      </w:r>
      <w:r w:rsidR="00F9224E">
        <w:rPr>
          <w:rFonts w:ascii="Times New Roman" w:hAnsi="Times New Roman" w:cs="Times New Roman"/>
        </w:rPr>
        <w:t>may</w:t>
      </w:r>
      <w:r w:rsidR="00E30BCF">
        <w:rPr>
          <w:rFonts w:ascii="Times New Roman" w:hAnsi="Times New Roman" w:cs="Times New Roman"/>
        </w:rPr>
        <w:t xml:space="preserve"> still be informative</w:t>
      </w:r>
      <w:r w:rsidR="005B7B54">
        <w:rPr>
          <w:rFonts w:ascii="Times New Roman" w:hAnsi="Times New Roman" w:cs="Times New Roman"/>
        </w:rPr>
        <w:t xml:space="preserve"> regarding </w:t>
      </w:r>
      <w:r w:rsidR="00BA48A3">
        <w:rPr>
          <w:rFonts w:ascii="Times New Roman" w:hAnsi="Times New Roman" w:cs="Times New Roman"/>
        </w:rPr>
        <w:t xml:space="preserve">the validity of the estimates produced by the Sun </w:t>
      </w:r>
      <w:r w:rsidR="00165FDD">
        <w:rPr>
          <w:rFonts w:ascii="Times New Roman" w:hAnsi="Times New Roman" w:cs="Times New Roman"/>
        </w:rPr>
        <w:t>and</w:t>
      </w:r>
      <w:r w:rsidR="00BA48A3">
        <w:rPr>
          <w:rFonts w:ascii="Times New Roman" w:hAnsi="Times New Roman" w:cs="Times New Roman"/>
        </w:rPr>
        <w:t xml:space="preserve"> Abraham </w:t>
      </w:r>
      <w:r w:rsidR="0015363C">
        <w:rPr>
          <w:rFonts w:ascii="Times New Roman" w:hAnsi="Times New Roman" w:cs="Times New Roman"/>
        </w:rPr>
        <w:t xml:space="preserve">models. </w:t>
      </w:r>
      <w:r w:rsidR="00715981">
        <w:rPr>
          <w:rFonts w:ascii="Times New Roman" w:hAnsi="Times New Roman" w:cs="Times New Roman"/>
        </w:rPr>
        <w:t xml:space="preserve">Referencing </w:t>
      </w:r>
      <w:r w:rsidR="00715981" w:rsidRPr="004F2800">
        <w:rPr>
          <w:rFonts w:ascii="Times New Roman" w:hAnsi="Times New Roman" w:cs="Times New Roman"/>
          <w:b/>
          <w:bCs/>
        </w:rPr>
        <w:t>Table</w:t>
      </w:r>
      <w:r w:rsidR="00FC3F15" w:rsidRPr="004F2800">
        <w:rPr>
          <w:rFonts w:ascii="Times New Roman" w:hAnsi="Times New Roman" w:cs="Times New Roman"/>
          <w:b/>
          <w:bCs/>
        </w:rPr>
        <w:t xml:space="preserve">s 6 and </w:t>
      </w:r>
      <w:r w:rsidR="00715981" w:rsidRPr="004F2800">
        <w:rPr>
          <w:rFonts w:ascii="Times New Roman" w:hAnsi="Times New Roman" w:cs="Times New Roman"/>
          <w:b/>
          <w:bCs/>
        </w:rPr>
        <w:t>7</w:t>
      </w:r>
      <w:r w:rsidR="00715981">
        <w:rPr>
          <w:rFonts w:ascii="Times New Roman" w:hAnsi="Times New Roman" w:cs="Times New Roman"/>
        </w:rPr>
        <w:t xml:space="preserve"> in</w:t>
      </w:r>
      <w:r w:rsidR="00C2558F">
        <w:rPr>
          <w:rFonts w:ascii="Times New Roman" w:hAnsi="Times New Roman" w:cs="Times New Roman"/>
        </w:rPr>
        <w:t xml:space="preserve"> C</w:t>
      </w:r>
      <w:r w:rsidR="00715981">
        <w:rPr>
          <w:rFonts w:ascii="Times New Roman" w:hAnsi="Times New Roman" w:cs="Times New Roman"/>
        </w:rPr>
        <w:t xml:space="preserve">hapter 3 </w:t>
      </w:r>
      <w:r w:rsidR="008B5291">
        <w:rPr>
          <w:rFonts w:ascii="Times New Roman" w:hAnsi="Times New Roman" w:cs="Times New Roman"/>
        </w:rPr>
        <w:t>reveal</w:t>
      </w:r>
      <w:r w:rsidR="00EB441D">
        <w:rPr>
          <w:rFonts w:ascii="Times New Roman" w:hAnsi="Times New Roman" w:cs="Times New Roman"/>
        </w:rPr>
        <w:t>ed</w:t>
      </w:r>
      <w:r w:rsidR="008B5291">
        <w:rPr>
          <w:rFonts w:ascii="Times New Roman" w:hAnsi="Times New Roman" w:cs="Times New Roman"/>
        </w:rPr>
        <w:t xml:space="preserve"> </w:t>
      </w:r>
      <w:r w:rsidR="00832D5B">
        <w:rPr>
          <w:rFonts w:ascii="Times New Roman" w:hAnsi="Times New Roman" w:cs="Times New Roman"/>
        </w:rPr>
        <w:t xml:space="preserve">a </w:t>
      </w:r>
      <w:r w:rsidR="008B5291">
        <w:rPr>
          <w:rFonts w:ascii="Times New Roman" w:hAnsi="Times New Roman" w:cs="Times New Roman"/>
        </w:rPr>
        <w:t xml:space="preserve">similar </w:t>
      </w:r>
      <w:r w:rsidR="00FC3F15">
        <w:rPr>
          <w:rFonts w:ascii="Times New Roman" w:hAnsi="Times New Roman" w:cs="Times New Roman"/>
        </w:rPr>
        <w:t xml:space="preserve">pattern in what models </w:t>
      </w:r>
      <w:r w:rsidR="004438A2">
        <w:rPr>
          <w:rFonts w:ascii="Times New Roman" w:hAnsi="Times New Roman" w:cs="Times New Roman"/>
        </w:rPr>
        <w:t>I can</w:t>
      </w:r>
      <w:r w:rsidR="00FC3F15">
        <w:rPr>
          <w:rFonts w:ascii="Times New Roman" w:hAnsi="Times New Roman" w:cs="Times New Roman"/>
        </w:rPr>
        <w:t xml:space="preserve"> </w:t>
      </w:r>
      <w:r w:rsidR="00CE59E4">
        <w:rPr>
          <w:rFonts w:ascii="Times New Roman" w:hAnsi="Times New Roman" w:cs="Times New Roman"/>
        </w:rPr>
        <w:t xml:space="preserve">interpret </w:t>
      </w:r>
      <w:r w:rsidR="00933D1D">
        <w:rPr>
          <w:rFonts w:ascii="Times New Roman" w:hAnsi="Times New Roman" w:cs="Times New Roman"/>
        </w:rPr>
        <w:t xml:space="preserve">as meeting the </w:t>
      </w:r>
      <w:r w:rsidR="003116F1">
        <w:rPr>
          <w:rFonts w:ascii="Times New Roman" w:hAnsi="Times New Roman" w:cs="Times New Roman"/>
        </w:rPr>
        <w:t xml:space="preserve">pre-treatment </w:t>
      </w:r>
      <w:r w:rsidR="00933D1D">
        <w:rPr>
          <w:rFonts w:ascii="Times New Roman" w:hAnsi="Times New Roman" w:cs="Times New Roman"/>
        </w:rPr>
        <w:t xml:space="preserve">parallel trends assumption. </w:t>
      </w:r>
      <w:r w:rsidR="009B0E25">
        <w:rPr>
          <w:rFonts w:ascii="Times New Roman" w:hAnsi="Times New Roman" w:cs="Times New Roman"/>
        </w:rPr>
        <w:t>However, th</w:t>
      </w:r>
      <w:r w:rsidR="00D84F8C">
        <w:rPr>
          <w:rFonts w:ascii="Times New Roman" w:hAnsi="Times New Roman" w:cs="Times New Roman"/>
        </w:rPr>
        <w:t xml:space="preserve">is imputation-based model found that the models for associates degrees, trades, and liberal arts did not provide evidence of meeting the parallel trends assumption. </w:t>
      </w:r>
      <w:r w:rsidR="00B22007">
        <w:rPr>
          <w:rFonts w:ascii="Times New Roman" w:hAnsi="Times New Roman" w:cs="Times New Roman"/>
        </w:rPr>
        <w:t>The</w:t>
      </w:r>
      <w:r w:rsidR="009B0E25">
        <w:rPr>
          <w:rFonts w:ascii="Times New Roman" w:hAnsi="Times New Roman" w:cs="Times New Roman"/>
        </w:rPr>
        <w:t xml:space="preserve"> use of</w:t>
      </w:r>
      <w:r w:rsidR="0055069C">
        <w:rPr>
          <w:rFonts w:ascii="Times New Roman" w:hAnsi="Times New Roman" w:cs="Times New Roman"/>
        </w:rPr>
        <w:t xml:space="preserve"> the</w:t>
      </w:r>
      <w:r w:rsidR="009B0E25">
        <w:rPr>
          <w:rFonts w:ascii="Times New Roman" w:hAnsi="Times New Roman" w:cs="Times New Roman"/>
        </w:rPr>
        <w:t xml:space="preserve"> </w:t>
      </w:r>
      <w:r w:rsidR="009B0E25" w:rsidRPr="00832D5B">
        <w:rPr>
          <w:rFonts w:ascii="Times New Roman" w:hAnsi="Times New Roman" w:cs="Times New Roman"/>
          <w:i/>
          <w:iCs/>
        </w:rPr>
        <w:t>honestdid</w:t>
      </w:r>
      <w:r w:rsidR="009B0E25">
        <w:rPr>
          <w:rFonts w:ascii="Times New Roman" w:hAnsi="Times New Roman" w:cs="Times New Roman"/>
        </w:rPr>
        <w:t xml:space="preserve"> </w:t>
      </w:r>
      <w:r w:rsidR="0055069C">
        <w:rPr>
          <w:rFonts w:ascii="Times New Roman" w:hAnsi="Times New Roman" w:cs="Times New Roman"/>
        </w:rPr>
        <w:t xml:space="preserve">package </w:t>
      </w:r>
      <w:r w:rsidR="001D2D51">
        <w:rPr>
          <w:rFonts w:ascii="Times New Roman" w:hAnsi="Times New Roman" w:cs="Times New Roman"/>
        </w:rPr>
        <w:t xml:space="preserve">did not </w:t>
      </w:r>
      <w:r w:rsidR="00E938F6">
        <w:rPr>
          <w:rFonts w:ascii="Times New Roman" w:hAnsi="Times New Roman" w:cs="Times New Roman"/>
        </w:rPr>
        <w:t xml:space="preserve">identify </w:t>
      </w:r>
      <w:r w:rsidR="00D84F8C">
        <w:rPr>
          <w:rFonts w:ascii="Times New Roman" w:hAnsi="Times New Roman" w:cs="Times New Roman"/>
        </w:rPr>
        <w:t xml:space="preserve">any of these three outcome variables that were appropriate for </w:t>
      </w:r>
      <w:r w:rsidR="00FC3262">
        <w:rPr>
          <w:rFonts w:ascii="Times New Roman" w:hAnsi="Times New Roman" w:cs="Times New Roman"/>
        </w:rPr>
        <w:t xml:space="preserve">analysis through a staggered difference-in-difference approach. </w:t>
      </w:r>
      <w:r w:rsidR="00F75EB9">
        <w:rPr>
          <w:rFonts w:ascii="Times New Roman" w:hAnsi="Times New Roman" w:cs="Times New Roman"/>
        </w:rPr>
        <w:t xml:space="preserve">Examining the outputs for these </w:t>
      </w:r>
      <w:r w:rsidR="00056E61">
        <w:rPr>
          <w:rFonts w:ascii="Times New Roman" w:hAnsi="Times New Roman" w:cs="Times New Roman"/>
        </w:rPr>
        <w:t>imputation-based</w:t>
      </w:r>
      <w:r w:rsidR="00F75EB9">
        <w:rPr>
          <w:rFonts w:ascii="Times New Roman" w:hAnsi="Times New Roman" w:cs="Times New Roman"/>
        </w:rPr>
        <w:t xml:space="preserve"> models as provided in </w:t>
      </w:r>
      <w:r w:rsidR="00987B18">
        <w:rPr>
          <w:rFonts w:ascii="Times New Roman" w:hAnsi="Times New Roman" w:cs="Times New Roman"/>
        </w:rPr>
        <w:t xml:space="preserve">Appendix </w:t>
      </w:r>
      <w:r w:rsidR="00B83B17">
        <w:rPr>
          <w:rFonts w:ascii="Times New Roman" w:hAnsi="Times New Roman" w:cs="Times New Roman"/>
        </w:rPr>
        <w:t>I</w:t>
      </w:r>
      <w:r w:rsidR="007C454A">
        <w:rPr>
          <w:rFonts w:ascii="Times New Roman" w:hAnsi="Times New Roman" w:cs="Times New Roman"/>
        </w:rPr>
        <w:t xml:space="preserve"> reveal</w:t>
      </w:r>
      <w:r w:rsidR="00EB441D">
        <w:rPr>
          <w:rFonts w:ascii="Times New Roman" w:hAnsi="Times New Roman" w:cs="Times New Roman"/>
        </w:rPr>
        <w:t>ed</w:t>
      </w:r>
      <w:r w:rsidR="007C454A">
        <w:rPr>
          <w:rFonts w:ascii="Times New Roman" w:hAnsi="Times New Roman" w:cs="Times New Roman"/>
        </w:rPr>
        <w:t xml:space="preserve"> issues </w:t>
      </w:r>
      <w:r w:rsidR="00DE2677">
        <w:rPr>
          <w:rFonts w:ascii="Times New Roman" w:hAnsi="Times New Roman" w:cs="Times New Roman"/>
        </w:rPr>
        <w:t xml:space="preserve">regarding the robustness </w:t>
      </w:r>
      <w:r w:rsidR="005E0776">
        <w:rPr>
          <w:rFonts w:ascii="Times New Roman" w:hAnsi="Times New Roman" w:cs="Times New Roman"/>
        </w:rPr>
        <w:t xml:space="preserve">of </w:t>
      </w:r>
      <w:r w:rsidR="00131BC2">
        <w:rPr>
          <w:rFonts w:ascii="Times New Roman" w:hAnsi="Times New Roman" w:cs="Times New Roman"/>
        </w:rPr>
        <w:t>my</w:t>
      </w:r>
      <w:r w:rsidR="005E0776">
        <w:rPr>
          <w:rFonts w:ascii="Times New Roman" w:hAnsi="Times New Roman" w:cs="Times New Roman"/>
        </w:rPr>
        <w:t xml:space="preserve"> </w:t>
      </w:r>
      <w:r w:rsidR="000843A3">
        <w:rPr>
          <w:rFonts w:ascii="Times New Roman" w:hAnsi="Times New Roman" w:cs="Times New Roman"/>
        </w:rPr>
        <w:t>findings using Sun and Abraham’s (2021) event study estimates.</w:t>
      </w:r>
      <w:r w:rsidR="004A4412">
        <w:rPr>
          <w:rFonts w:ascii="Times New Roman" w:hAnsi="Times New Roman" w:cs="Times New Roman"/>
        </w:rPr>
        <w:t xml:space="preserve"> This </w:t>
      </w:r>
      <w:r w:rsidR="00EB441D">
        <w:rPr>
          <w:rFonts w:ascii="Times New Roman" w:hAnsi="Times New Roman" w:cs="Times New Roman"/>
        </w:rPr>
        <w:t>was</w:t>
      </w:r>
      <w:r w:rsidR="004A4412">
        <w:rPr>
          <w:rFonts w:ascii="Times New Roman" w:hAnsi="Times New Roman" w:cs="Times New Roman"/>
        </w:rPr>
        <w:t xml:space="preserve"> because the </w:t>
      </w:r>
      <w:r w:rsidR="004C3348">
        <w:rPr>
          <w:rFonts w:ascii="Times New Roman" w:hAnsi="Times New Roman" w:cs="Times New Roman"/>
        </w:rPr>
        <w:t>Borusyak</w:t>
      </w:r>
      <w:r w:rsidR="004A4412">
        <w:rPr>
          <w:rFonts w:ascii="Times New Roman" w:hAnsi="Times New Roman" w:cs="Times New Roman"/>
        </w:rPr>
        <w:t xml:space="preserve"> et al. (2021) model </w:t>
      </w:r>
      <w:r w:rsidR="00EB441D">
        <w:rPr>
          <w:rFonts w:ascii="Times New Roman" w:hAnsi="Times New Roman" w:cs="Times New Roman"/>
        </w:rPr>
        <w:t>did</w:t>
      </w:r>
      <w:r w:rsidR="004A4412">
        <w:rPr>
          <w:rFonts w:ascii="Times New Roman" w:hAnsi="Times New Roman" w:cs="Times New Roman"/>
        </w:rPr>
        <w:t xml:space="preserve"> not find </w:t>
      </w:r>
      <w:r w:rsidR="004A4412">
        <w:rPr>
          <w:rFonts w:ascii="Times New Roman" w:hAnsi="Times New Roman" w:cs="Times New Roman"/>
        </w:rPr>
        <w:lastRenderedPageBreak/>
        <w:t xml:space="preserve">that the adoption of a free college program increased </w:t>
      </w:r>
      <w:r w:rsidR="00197BBA">
        <w:rPr>
          <w:rFonts w:ascii="Times New Roman" w:hAnsi="Times New Roman" w:cs="Times New Roman"/>
        </w:rPr>
        <w:t>the number of sub-</w:t>
      </w:r>
      <w:r w:rsidR="00E17342">
        <w:rPr>
          <w:rFonts w:ascii="Times New Roman" w:hAnsi="Times New Roman" w:cs="Times New Roman"/>
        </w:rPr>
        <w:t>baccalaureate</w:t>
      </w:r>
      <w:r w:rsidR="00197BBA">
        <w:rPr>
          <w:rFonts w:ascii="Times New Roman" w:hAnsi="Times New Roman" w:cs="Times New Roman"/>
        </w:rPr>
        <w:t xml:space="preserve"> </w:t>
      </w:r>
      <w:r w:rsidR="00857860">
        <w:rPr>
          <w:rFonts w:ascii="Times New Roman" w:hAnsi="Times New Roman" w:cs="Times New Roman"/>
        </w:rPr>
        <w:t xml:space="preserve">awards </w:t>
      </w:r>
      <w:r w:rsidR="00197BBA">
        <w:rPr>
          <w:rFonts w:ascii="Times New Roman" w:hAnsi="Times New Roman" w:cs="Times New Roman"/>
        </w:rPr>
        <w:t xml:space="preserve">for any of my outcome measures. </w:t>
      </w:r>
    </w:p>
    <w:p w14:paraId="430CB937" w14:textId="3B8C3BA4" w:rsidR="00EC6640" w:rsidRDefault="00C84962" w:rsidP="001311CA">
      <w:pPr>
        <w:spacing w:line="480" w:lineRule="auto"/>
        <w:ind w:firstLine="720"/>
        <w:rPr>
          <w:rFonts w:ascii="Times New Roman" w:hAnsi="Times New Roman" w:cs="Times New Roman"/>
        </w:rPr>
      </w:pPr>
      <w:r>
        <w:rPr>
          <w:rFonts w:ascii="Times New Roman" w:hAnsi="Times New Roman" w:cs="Times New Roman"/>
        </w:rPr>
        <w:t xml:space="preserve">Below </w:t>
      </w:r>
      <w:r w:rsidR="00C6136A">
        <w:rPr>
          <w:rFonts w:ascii="Times New Roman" w:hAnsi="Times New Roman" w:cs="Times New Roman"/>
        </w:rPr>
        <w:t xml:space="preserve">I present </w:t>
      </w:r>
      <w:r w:rsidR="00744C14">
        <w:rPr>
          <w:rFonts w:ascii="Times New Roman" w:hAnsi="Times New Roman" w:cs="Times New Roman"/>
        </w:rPr>
        <w:t xml:space="preserve">combined event study plots of the coefficients </w:t>
      </w:r>
      <w:r w:rsidR="00902ABC">
        <w:rPr>
          <w:rFonts w:ascii="Times New Roman" w:hAnsi="Times New Roman" w:cs="Times New Roman"/>
        </w:rPr>
        <w:t xml:space="preserve">for both the Imputation and </w:t>
      </w:r>
      <w:r w:rsidR="0087756D">
        <w:rPr>
          <w:rFonts w:ascii="Times New Roman" w:hAnsi="Times New Roman" w:cs="Times New Roman"/>
        </w:rPr>
        <w:t xml:space="preserve">OLS models for comparisons of my estimators. </w:t>
      </w:r>
      <w:r w:rsidR="008C508C">
        <w:rPr>
          <w:rFonts w:ascii="Times New Roman" w:hAnsi="Times New Roman" w:cs="Times New Roman"/>
        </w:rPr>
        <w:t xml:space="preserve">Providing </w:t>
      </w:r>
      <w:r w:rsidR="00EC6640">
        <w:rPr>
          <w:rFonts w:ascii="Times New Roman" w:hAnsi="Times New Roman" w:cs="Times New Roman"/>
        </w:rPr>
        <w:t>these</w:t>
      </w:r>
      <w:r w:rsidR="008C508C">
        <w:rPr>
          <w:rFonts w:ascii="Times New Roman" w:hAnsi="Times New Roman" w:cs="Times New Roman"/>
        </w:rPr>
        <w:t xml:space="preserve"> joint event study plots </w:t>
      </w:r>
      <w:r w:rsidR="00EC6640">
        <w:rPr>
          <w:rFonts w:ascii="Times New Roman" w:hAnsi="Times New Roman" w:cs="Times New Roman"/>
        </w:rPr>
        <w:t>allow</w:t>
      </w:r>
      <w:r w:rsidR="00672DE6">
        <w:rPr>
          <w:rFonts w:ascii="Times New Roman" w:hAnsi="Times New Roman" w:cs="Times New Roman"/>
        </w:rPr>
        <w:t>ed</w:t>
      </w:r>
      <w:r w:rsidR="008C508C">
        <w:rPr>
          <w:rFonts w:ascii="Times New Roman" w:hAnsi="Times New Roman" w:cs="Times New Roman"/>
        </w:rPr>
        <w:t xml:space="preserve"> for the comparison of </w:t>
      </w:r>
      <w:r w:rsidR="00187989">
        <w:rPr>
          <w:rFonts w:ascii="Times New Roman" w:hAnsi="Times New Roman" w:cs="Times New Roman"/>
        </w:rPr>
        <w:t>effect sizes</w:t>
      </w:r>
      <w:r w:rsidR="008F2475">
        <w:rPr>
          <w:rFonts w:ascii="Times New Roman" w:hAnsi="Times New Roman" w:cs="Times New Roman"/>
        </w:rPr>
        <w:t xml:space="preserve">; however, with </w:t>
      </w:r>
      <w:r w:rsidR="003B02C3">
        <w:rPr>
          <w:rFonts w:ascii="Times New Roman" w:hAnsi="Times New Roman" w:cs="Times New Roman"/>
        </w:rPr>
        <w:t>differen</w:t>
      </w:r>
      <w:r w:rsidR="00D55242">
        <w:rPr>
          <w:rFonts w:ascii="Times New Roman" w:hAnsi="Times New Roman" w:cs="Times New Roman"/>
        </w:rPr>
        <w:t xml:space="preserve">ces between tests of </w:t>
      </w:r>
      <w:r w:rsidR="009A65C7">
        <w:rPr>
          <w:rFonts w:ascii="Times New Roman" w:hAnsi="Times New Roman" w:cs="Times New Roman"/>
        </w:rPr>
        <w:t>sign</w:t>
      </w:r>
      <w:r w:rsidR="00A9181C">
        <w:rPr>
          <w:rFonts w:ascii="Times New Roman" w:hAnsi="Times New Roman" w:cs="Times New Roman"/>
        </w:rPr>
        <w:t>ificance</w:t>
      </w:r>
      <w:r w:rsidR="00B51E71">
        <w:rPr>
          <w:rFonts w:ascii="Times New Roman" w:hAnsi="Times New Roman" w:cs="Times New Roman"/>
        </w:rPr>
        <w:t xml:space="preserve"> between my event study and imputation-based models</w:t>
      </w:r>
      <w:r w:rsidR="00D55242">
        <w:rPr>
          <w:rFonts w:ascii="Times New Roman" w:hAnsi="Times New Roman" w:cs="Times New Roman"/>
        </w:rPr>
        <w:t xml:space="preserve">, </w:t>
      </w:r>
      <w:r w:rsidR="00A9181C">
        <w:rPr>
          <w:rFonts w:ascii="Times New Roman" w:hAnsi="Times New Roman" w:cs="Times New Roman"/>
        </w:rPr>
        <w:t xml:space="preserve">my findings face </w:t>
      </w:r>
      <w:r w:rsidR="0081118F">
        <w:rPr>
          <w:rFonts w:ascii="Times New Roman" w:hAnsi="Times New Roman" w:cs="Times New Roman"/>
        </w:rPr>
        <w:t>considerable limitations</w:t>
      </w:r>
      <w:r w:rsidR="009C5C67">
        <w:rPr>
          <w:rFonts w:ascii="Times New Roman" w:hAnsi="Times New Roman" w:cs="Times New Roman"/>
        </w:rPr>
        <w:t>.</w:t>
      </w:r>
      <w:r w:rsidR="00D55242">
        <w:rPr>
          <w:rFonts w:ascii="Times New Roman" w:hAnsi="Times New Roman" w:cs="Times New Roman"/>
        </w:rPr>
        <w:t xml:space="preserve"> </w:t>
      </w:r>
      <w:r w:rsidR="0087756D">
        <w:rPr>
          <w:rFonts w:ascii="Times New Roman" w:hAnsi="Times New Roman" w:cs="Times New Roman"/>
        </w:rPr>
        <w:t xml:space="preserve">I provide </w:t>
      </w:r>
      <w:r w:rsidR="00D24F8B">
        <w:rPr>
          <w:rFonts w:ascii="Times New Roman" w:hAnsi="Times New Roman" w:cs="Times New Roman"/>
        </w:rPr>
        <w:t xml:space="preserve">these </w:t>
      </w:r>
      <w:r w:rsidR="0012286A">
        <w:rPr>
          <w:rFonts w:ascii="Times New Roman" w:hAnsi="Times New Roman" w:cs="Times New Roman"/>
        </w:rPr>
        <w:t xml:space="preserve">joint event </w:t>
      </w:r>
      <w:r w:rsidR="008C508C">
        <w:rPr>
          <w:rFonts w:ascii="Times New Roman" w:hAnsi="Times New Roman" w:cs="Times New Roman"/>
        </w:rPr>
        <w:t xml:space="preserve">study </w:t>
      </w:r>
      <w:r w:rsidR="0012286A">
        <w:rPr>
          <w:rFonts w:ascii="Times New Roman" w:hAnsi="Times New Roman" w:cs="Times New Roman"/>
        </w:rPr>
        <w:t xml:space="preserve">plots </w:t>
      </w:r>
      <w:r w:rsidR="00D24F8B">
        <w:rPr>
          <w:rFonts w:ascii="Times New Roman" w:hAnsi="Times New Roman" w:cs="Times New Roman"/>
        </w:rPr>
        <w:t xml:space="preserve">in </w:t>
      </w:r>
      <w:r w:rsidR="00D24F8B" w:rsidRPr="004F2800">
        <w:rPr>
          <w:rFonts w:ascii="Times New Roman" w:hAnsi="Times New Roman" w:cs="Times New Roman"/>
          <w:b/>
          <w:bCs/>
        </w:rPr>
        <w:t xml:space="preserve">figures 16 through </w:t>
      </w:r>
      <w:r w:rsidR="008542A1" w:rsidRPr="004F2800">
        <w:rPr>
          <w:rFonts w:ascii="Times New Roman" w:hAnsi="Times New Roman" w:cs="Times New Roman"/>
          <w:b/>
          <w:bCs/>
        </w:rPr>
        <w:t>2</w:t>
      </w:r>
      <w:r w:rsidR="008524FA">
        <w:rPr>
          <w:rFonts w:ascii="Times New Roman" w:hAnsi="Times New Roman" w:cs="Times New Roman"/>
          <w:b/>
          <w:bCs/>
        </w:rPr>
        <w:t>5</w:t>
      </w:r>
      <w:r w:rsidR="008542A1">
        <w:rPr>
          <w:rFonts w:ascii="Times New Roman" w:hAnsi="Times New Roman" w:cs="Times New Roman"/>
        </w:rPr>
        <w:t xml:space="preserve"> for</w:t>
      </w:r>
      <w:r w:rsidR="008908C9">
        <w:rPr>
          <w:rFonts w:ascii="Times New Roman" w:hAnsi="Times New Roman" w:cs="Times New Roman"/>
        </w:rPr>
        <w:t xml:space="preserve"> my dependent variables in the following order: all awards, associates degrees, all credentials, credentials from programs that last one-to-two years, credentials from programs that take less than a year to complete, </w:t>
      </w:r>
      <w:r w:rsidR="009B5830">
        <w:rPr>
          <w:rFonts w:ascii="Times New Roman" w:hAnsi="Times New Roman" w:cs="Times New Roman"/>
        </w:rPr>
        <w:t xml:space="preserve">STEM programs, trades programs, liberal arts programs, </w:t>
      </w:r>
      <w:r w:rsidR="00F7680E">
        <w:rPr>
          <w:rFonts w:ascii="Times New Roman" w:hAnsi="Times New Roman" w:cs="Times New Roman"/>
        </w:rPr>
        <w:t>human services programs</w:t>
      </w:r>
      <w:r w:rsidR="00624053">
        <w:rPr>
          <w:rFonts w:ascii="Times New Roman" w:hAnsi="Times New Roman" w:cs="Times New Roman"/>
        </w:rPr>
        <w:t>, and professional services programs</w:t>
      </w:r>
      <w:r w:rsidR="00F7680E">
        <w:rPr>
          <w:rFonts w:ascii="Times New Roman" w:hAnsi="Times New Roman" w:cs="Times New Roman"/>
        </w:rPr>
        <w:t xml:space="preserve">. </w:t>
      </w:r>
    </w:p>
    <w:p w14:paraId="73515231" w14:textId="4EE2F375" w:rsidR="00FC4944" w:rsidRDefault="00624053" w:rsidP="001311CA">
      <w:pPr>
        <w:spacing w:line="480" w:lineRule="auto"/>
        <w:ind w:firstLine="720"/>
        <w:rPr>
          <w:rFonts w:ascii="Times New Roman" w:hAnsi="Times New Roman" w:cs="Times New Roman"/>
        </w:rPr>
      </w:pPr>
      <w:r>
        <w:rPr>
          <w:rFonts w:ascii="Times New Roman" w:hAnsi="Times New Roman" w:cs="Times New Roman"/>
        </w:rPr>
        <w:t>While a</w:t>
      </w:r>
      <w:r w:rsidR="00F7680E">
        <w:rPr>
          <w:rFonts w:ascii="Times New Roman" w:hAnsi="Times New Roman" w:cs="Times New Roman"/>
        </w:rPr>
        <w:t>wards from the professional services lack</w:t>
      </w:r>
      <w:r w:rsidR="00D35FCB">
        <w:rPr>
          <w:rFonts w:ascii="Times New Roman" w:hAnsi="Times New Roman" w:cs="Times New Roman"/>
        </w:rPr>
        <w:t xml:space="preserve">ed </w:t>
      </w:r>
      <w:r w:rsidR="00F7680E">
        <w:rPr>
          <w:rFonts w:ascii="Times New Roman" w:hAnsi="Times New Roman" w:cs="Times New Roman"/>
        </w:rPr>
        <w:t xml:space="preserve">evidence </w:t>
      </w:r>
      <w:r>
        <w:rPr>
          <w:rFonts w:ascii="Times New Roman" w:hAnsi="Times New Roman" w:cs="Times New Roman"/>
        </w:rPr>
        <w:t>to</w:t>
      </w:r>
      <w:r w:rsidR="00F7680E">
        <w:rPr>
          <w:rFonts w:ascii="Times New Roman" w:hAnsi="Times New Roman" w:cs="Times New Roman"/>
        </w:rPr>
        <w:t xml:space="preserve"> me</w:t>
      </w:r>
      <w:r w:rsidR="008D57AD">
        <w:rPr>
          <w:rFonts w:ascii="Times New Roman" w:hAnsi="Times New Roman" w:cs="Times New Roman"/>
        </w:rPr>
        <w:t>e</w:t>
      </w:r>
      <w:r w:rsidR="00F7680E">
        <w:rPr>
          <w:rFonts w:ascii="Times New Roman" w:hAnsi="Times New Roman" w:cs="Times New Roman"/>
        </w:rPr>
        <w:t>t the parallel trends assumption</w:t>
      </w:r>
      <w:r>
        <w:rPr>
          <w:rFonts w:ascii="Times New Roman" w:hAnsi="Times New Roman" w:cs="Times New Roman"/>
        </w:rPr>
        <w:t xml:space="preserve">, </w:t>
      </w:r>
      <w:r w:rsidR="00774592">
        <w:rPr>
          <w:rFonts w:ascii="Times New Roman" w:hAnsi="Times New Roman" w:cs="Times New Roman"/>
        </w:rPr>
        <w:t xml:space="preserve">I include them in these figures for </w:t>
      </w:r>
      <w:r w:rsidR="00F334BC">
        <w:rPr>
          <w:rFonts w:ascii="Times New Roman" w:hAnsi="Times New Roman" w:cs="Times New Roman"/>
        </w:rPr>
        <w:t>transparency</w:t>
      </w:r>
      <w:r w:rsidR="00F7680E">
        <w:rPr>
          <w:rFonts w:ascii="Times New Roman" w:hAnsi="Times New Roman" w:cs="Times New Roman"/>
        </w:rPr>
        <w:t xml:space="preserve">. </w:t>
      </w:r>
      <w:r w:rsidR="00CB167A">
        <w:rPr>
          <w:rFonts w:ascii="Times New Roman" w:hAnsi="Times New Roman" w:cs="Times New Roman"/>
        </w:rPr>
        <w:t xml:space="preserve">I include OLS estimates not for purposes of analysis but </w:t>
      </w:r>
      <w:r w:rsidR="00300D85">
        <w:rPr>
          <w:rFonts w:ascii="Times New Roman" w:hAnsi="Times New Roman" w:cs="Times New Roman"/>
        </w:rPr>
        <w:t xml:space="preserve">rather as an additional reference point of how these other two estimates differ from each other. </w:t>
      </w:r>
      <w:r w:rsidR="00774BAA">
        <w:rPr>
          <w:rFonts w:ascii="Times New Roman" w:hAnsi="Times New Roman" w:cs="Times New Roman"/>
        </w:rPr>
        <w:t>Outputs fo</w:t>
      </w:r>
      <w:r w:rsidR="000166C5">
        <w:rPr>
          <w:rFonts w:ascii="Times New Roman" w:hAnsi="Times New Roman" w:cs="Times New Roman"/>
        </w:rPr>
        <w:t xml:space="preserve">r each </w:t>
      </w:r>
      <w:r w:rsidR="00EF63F3">
        <w:rPr>
          <w:rFonts w:ascii="Times New Roman" w:hAnsi="Times New Roman" w:cs="Times New Roman"/>
        </w:rPr>
        <w:t xml:space="preserve">of </w:t>
      </w:r>
      <w:r w:rsidR="000166C5">
        <w:rPr>
          <w:rFonts w:ascii="Times New Roman" w:hAnsi="Times New Roman" w:cs="Times New Roman"/>
        </w:rPr>
        <w:t xml:space="preserve">these combined event plots for the three samples other than the public institutions sample </w:t>
      </w:r>
      <w:r w:rsidR="00D35FCB">
        <w:rPr>
          <w:rFonts w:ascii="Times New Roman" w:hAnsi="Times New Roman" w:cs="Times New Roman"/>
        </w:rPr>
        <w:t>have been</w:t>
      </w:r>
      <w:r w:rsidR="000166C5">
        <w:rPr>
          <w:rFonts w:ascii="Times New Roman" w:hAnsi="Times New Roman" w:cs="Times New Roman"/>
        </w:rPr>
        <w:t xml:space="preserve"> included in Appendix </w:t>
      </w:r>
      <w:r w:rsidR="009D4BB5">
        <w:rPr>
          <w:rFonts w:ascii="Times New Roman" w:hAnsi="Times New Roman" w:cs="Times New Roman"/>
        </w:rPr>
        <w:t>J</w:t>
      </w:r>
      <w:r w:rsidR="00EE1E2D">
        <w:rPr>
          <w:rFonts w:ascii="Times New Roman" w:hAnsi="Times New Roman" w:cs="Times New Roman"/>
        </w:rPr>
        <w:t xml:space="preserve"> for my primary, public institutions only sample, Appendix </w:t>
      </w:r>
      <w:r w:rsidR="00B83B17">
        <w:rPr>
          <w:rFonts w:ascii="Times New Roman" w:hAnsi="Times New Roman" w:cs="Times New Roman"/>
        </w:rPr>
        <w:t>K</w:t>
      </w:r>
      <w:r w:rsidR="00EE1E2D">
        <w:rPr>
          <w:rFonts w:ascii="Times New Roman" w:hAnsi="Times New Roman" w:cs="Times New Roman"/>
        </w:rPr>
        <w:t xml:space="preserve"> </w:t>
      </w:r>
      <w:r w:rsidR="00B13F63">
        <w:rPr>
          <w:rFonts w:ascii="Times New Roman" w:hAnsi="Times New Roman" w:cs="Times New Roman"/>
        </w:rPr>
        <w:t>for the sample restricted to state-funded public institutions</w:t>
      </w:r>
      <w:r w:rsidR="00EE1E2D">
        <w:rPr>
          <w:rFonts w:ascii="Times New Roman" w:hAnsi="Times New Roman" w:cs="Times New Roman"/>
        </w:rPr>
        <w:t xml:space="preserve">, Appendix </w:t>
      </w:r>
      <w:r w:rsidR="00B83B17">
        <w:rPr>
          <w:rFonts w:ascii="Times New Roman" w:hAnsi="Times New Roman" w:cs="Times New Roman"/>
        </w:rPr>
        <w:t>L</w:t>
      </w:r>
      <w:r w:rsidR="00EE1E2D">
        <w:rPr>
          <w:rFonts w:ascii="Times New Roman" w:hAnsi="Times New Roman" w:cs="Times New Roman"/>
        </w:rPr>
        <w:t xml:space="preserve"> for the sample only including non-profits, and Appendix </w:t>
      </w:r>
      <w:r w:rsidR="00B83B17">
        <w:rPr>
          <w:rFonts w:ascii="Times New Roman" w:hAnsi="Times New Roman" w:cs="Times New Roman"/>
        </w:rPr>
        <w:t>M</w:t>
      </w:r>
      <w:r w:rsidR="00B13F63" w:rsidRPr="00B13F63">
        <w:rPr>
          <w:rFonts w:ascii="Times New Roman" w:hAnsi="Times New Roman" w:cs="Times New Roman"/>
        </w:rPr>
        <w:t xml:space="preserve"> </w:t>
      </w:r>
      <w:r w:rsidR="00B13F63">
        <w:rPr>
          <w:rFonts w:ascii="Times New Roman" w:hAnsi="Times New Roman" w:cs="Times New Roman"/>
        </w:rPr>
        <w:t>for the sample including for-profits</w:t>
      </w:r>
      <w:r w:rsidR="000166C5">
        <w:rPr>
          <w:rFonts w:ascii="Times New Roman" w:hAnsi="Times New Roman" w:cs="Times New Roman"/>
        </w:rPr>
        <w:t xml:space="preserve">. </w:t>
      </w:r>
    </w:p>
    <w:p w14:paraId="578F0FEC" w14:textId="77777777" w:rsidR="001D3DF4" w:rsidRDefault="001D3DF4" w:rsidP="004120E5">
      <w:pPr>
        <w:pStyle w:val="TableofFigs"/>
      </w:pPr>
      <w:bookmarkStart w:id="137" w:name="_Toc179135813"/>
      <w:bookmarkStart w:id="138" w:name="_Toc180144596"/>
    </w:p>
    <w:p w14:paraId="355B76DD" w14:textId="77777777" w:rsidR="001D3DF4" w:rsidRDefault="001D3DF4" w:rsidP="004120E5">
      <w:pPr>
        <w:pStyle w:val="TableofFigs"/>
      </w:pPr>
    </w:p>
    <w:p w14:paraId="41FE213F" w14:textId="77777777" w:rsidR="001D3DF4" w:rsidRDefault="001D3DF4" w:rsidP="004120E5">
      <w:pPr>
        <w:pStyle w:val="TableofFigs"/>
      </w:pPr>
    </w:p>
    <w:bookmarkEnd w:id="137"/>
    <w:bookmarkEnd w:id="138"/>
    <w:p w14:paraId="77960826" w14:textId="54BB580C" w:rsidR="00B83FE8" w:rsidRPr="00B06ECA" w:rsidRDefault="00F54C9F" w:rsidP="00B06ECA">
      <w:pPr>
        <w:spacing w:line="480" w:lineRule="auto"/>
        <w:jc w:val="center"/>
        <w:rPr>
          <w:rFonts w:ascii="Times New Roman" w:hAnsi="Times New Roman"/>
        </w:rPr>
      </w:pPr>
      <w:r w:rsidRPr="00F54C9F">
        <w:rPr>
          <w:rFonts w:ascii="Times New Roman" w:hAnsi="Times New Roman" w:cs="Times New Roman"/>
          <w:noProof/>
        </w:rPr>
        <w:lastRenderedPageBreak/>
        <w:drawing>
          <wp:inline distT="0" distB="0" distL="0" distR="0" wp14:anchorId="3AD6B311" wp14:editId="25E9CF46">
            <wp:extent cx="5401734" cy="3928533"/>
            <wp:effectExtent l="0" t="0" r="0" b="0"/>
            <wp:docPr id="551936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36755" name=""/>
                    <pic:cNvPicPr/>
                  </pic:nvPicPr>
                  <pic:blipFill>
                    <a:blip r:embed="rId26"/>
                    <a:stretch>
                      <a:fillRect/>
                    </a:stretch>
                  </pic:blipFill>
                  <pic:spPr>
                    <a:xfrm>
                      <a:off x="0" y="0"/>
                      <a:ext cx="5524995" cy="4018178"/>
                    </a:xfrm>
                    <a:prstGeom prst="rect">
                      <a:avLst/>
                    </a:prstGeom>
                  </pic:spPr>
                </pic:pic>
              </a:graphicData>
            </a:graphic>
          </wp:inline>
        </w:drawing>
      </w:r>
    </w:p>
    <w:p w14:paraId="33457053" w14:textId="77777777" w:rsidR="004F2800" w:rsidRDefault="004F2800" w:rsidP="004F2800">
      <w:pPr>
        <w:pStyle w:val="TableofFigs"/>
        <w:spacing w:line="240" w:lineRule="auto"/>
        <w:ind w:left="0" w:firstLine="0"/>
      </w:pPr>
      <w:r>
        <w:t>Figure 16</w:t>
      </w:r>
    </w:p>
    <w:p w14:paraId="09F2F653" w14:textId="77777777" w:rsidR="004F2800" w:rsidRPr="00C21408" w:rsidRDefault="004F2800" w:rsidP="004F2800">
      <w:pPr>
        <w:rPr>
          <w:rFonts w:ascii="Times New Roman" w:hAnsi="Times New Roman" w:cs="Times New Roman"/>
          <w:i/>
          <w:iCs/>
        </w:rPr>
      </w:pPr>
      <w:r w:rsidRPr="00C21408">
        <w:rPr>
          <w:rFonts w:ascii="Times New Roman" w:hAnsi="Times New Roman" w:cs="Times New Roman"/>
          <w:i/>
          <w:iCs/>
        </w:rPr>
        <w:t>Combined Event Plot: All Awards</w:t>
      </w:r>
    </w:p>
    <w:p w14:paraId="77DD2508" w14:textId="53F01850" w:rsidR="00D202EA" w:rsidRPr="008536C7" w:rsidRDefault="00D202EA" w:rsidP="00D202EA">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w:t>
      </w:r>
      <w:r w:rsidR="00F81AF4">
        <w:rPr>
          <w:rFonts w:ascii="Times New Roman" w:hAnsi="Times New Roman" w:cs="Times New Roman"/>
        </w:rPr>
        <w:t>all sub-baccalaureate awards</w:t>
      </w:r>
      <w:r>
        <w:rPr>
          <w:rFonts w:ascii="Times New Roman" w:hAnsi="Times New Roman" w:cs="Times New Roman"/>
        </w:rPr>
        <w:t xml:space="preserve"> within the public institutions only sample. This event study visualization combines multiple estimators. The Borusyak et al. </w:t>
      </w:r>
      <w:r w:rsidRPr="000E348D">
        <w:rPr>
          <w:rFonts w:ascii="Times New Roman" w:hAnsi="Times New Roman" w:cs="Times New Roman"/>
          <w:i/>
          <w:iCs/>
        </w:rPr>
        <w:t>did_imputation</w:t>
      </w:r>
      <w:r>
        <w:rPr>
          <w:rFonts w:ascii="Times New Roman" w:hAnsi="Times New Roman" w:cs="Times New Roman"/>
          <w:i/>
          <w:iCs/>
        </w:rPr>
        <w:t xml:space="preserve"> </w:t>
      </w:r>
      <w:r>
        <w:rPr>
          <w:rFonts w:ascii="Times New Roman" w:hAnsi="Times New Roman" w:cs="Times New Roman"/>
        </w:rPr>
        <w:t xml:space="preserve">command is visualized in green. The Sun &amp; Abraham </w:t>
      </w:r>
      <w:r w:rsidRPr="00210BEB">
        <w:rPr>
          <w:rFonts w:ascii="Times New Roman" w:hAnsi="Times New Roman" w:cs="Times New Roman"/>
          <w:i/>
          <w:iCs/>
        </w:rPr>
        <w:t>eventstudyinteract</w:t>
      </w:r>
      <w:r>
        <w:rPr>
          <w:rFonts w:ascii="Times New Roman" w:hAnsi="Times New Roman" w:cs="Times New Roman"/>
        </w:rPr>
        <w:t xml:space="preserve"> command is visualized in blue. The OLS </w:t>
      </w:r>
      <w:r>
        <w:rPr>
          <w:rFonts w:ascii="Times New Roman" w:hAnsi="Times New Roman" w:cs="Times New Roman"/>
          <w:i/>
          <w:iCs/>
        </w:rPr>
        <w:t>reghdfe</w:t>
      </w:r>
      <w:r>
        <w:rPr>
          <w:rFonts w:ascii="Times New Roman" w:hAnsi="Times New Roman" w:cs="Times New Roman"/>
        </w:rPr>
        <w:t xml:space="preserve"> command is visualized in orange. Period zero indicates the year of promise program adoption and each period on the x-axis reflects a year. The y-axis reflects treatment effect on the treated group compared to the comparison group. </w:t>
      </w:r>
    </w:p>
    <w:p w14:paraId="0705FB1F" w14:textId="6B64C107" w:rsidR="00876401" w:rsidRPr="00D202EA" w:rsidRDefault="00D202EA" w:rsidP="00D202EA">
      <w:pPr>
        <w:rPr>
          <w:rFonts w:ascii="Times New Roman" w:hAnsi="Times New Roman"/>
          <w:b/>
        </w:rPr>
      </w:pPr>
      <w:r>
        <w:br w:type="page"/>
      </w:r>
    </w:p>
    <w:p w14:paraId="35F333FF" w14:textId="06CB35A7" w:rsidR="00FC4944" w:rsidRPr="00B06ECA" w:rsidRDefault="007D7846" w:rsidP="00B06ECA">
      <w:pPr>
        <w:spacing w:line="480" w:lineRule="auto"/>
        <w:jc w:val="center"/>
        <w:rPr>
          <w:rFonts w:ascii="Times New Roman" w:hAnsi="Times New Roman"/>
        </w:rPr>
      </w:pPr>
      <w:r w:rsidRPr="007D7846">
        <w:rPr>
          <w:rFonts w:ascii="Times New Roman" w:hAnsi="Times New Roman" w:cs="Times New Roman"/>
          <w:noProof/>
        </w:rPr>
        <w:lastRenderedPageBreak/>
        <w:drawing>
          <wp:inline distT="0" distB="0" distL="0" distR="0" wp14:anchorId="6A8CA662" wp14:editId="5F22D6F1">
            <wp:extent cx="5471584" cy="3979334"/>
            <wp:effectExtent l="0" t="0" r="2540" b="0"/>
            <wp:docPr id="1897489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89177" name=""/>
                    <pic:cNvPicPr/>
                  </pic:nvPicPr>
                  <pic:blipFill>
                    <a:blip r:embed="rId27"/>
                    <a:stretch>
                      <a:fillRect/>
                    </a:stretch>
                  </pic:blipFill>
                  <pic:spPr>
                    <a:xfrm>
                      <a:off x="0" y="0"/>
                      <a:ext cx="5591205" cy="4066331"/>
                    </a:xfrm>
                    <a:prstGeom prst="rect">
                      <a:avLst/>
                    </a:prstGeom>
                  </pic:spPr>
                </pic:pic>
              </a:graphicData>
            </a:graphic>
          </wp:inline>
        </w:drawing>
      </w:r>
    </w:p>
    <w:p w14:paraId="503D9CE2" w14:textId="77777777" w:rsidR="004F2800" w:rsidRDefault="004F2800" w:rsidP="004F2800">
      <w:pPr>
        <w:pStyle w:val="TableofFigs"/>
        <w:spacing w:line="240" w:lineRule="auto"/>
      </w:pPr>
      <w:bookmarkStart w:id="139" w:name="_Toc179135815"/>
      <w:bookmarkStart w:id="140" w:name="_Toc179135814"/>
      <w:bookmarkStart w:id="141" w:name="_Toc180144597"/>
      <w:r>
        <w:t>Figure 17</w:t>
      </w:r>
      <w:bookmarkEnd w:id="140"/>
      <w:bookmarkEnd w:id="141"/>
    </w:p>
    <w:p w14:paraId="66B87AB7" w14:textId="77777777" w:rsidR="004F2800" w:rsidRPr="00C21408" w:rsidRDefault="004F2800" w:rsidP="004F2800">
      <w:pPr>
        <w:rPr>
          <w:rFonts w:ascii="Times New Roman" w:hAnsi="Times New Roman" w:cs="Times New Roman"/>
          <w:i/>
          <w:iCs/>
        </w:rPr>
      </w:pPr>
      <w:r w:rsidRPr="00C21408">
        <w:rPr>
          <w:rFonts w:ascii="Times New Roman" w:hAnsi="Times New Roman" w:cs="Times New Roman"/>
          <w:i/>
          <w:iCs/>
        </w:rPr>
        <w:t xml:space="preserve">Combined Event Plot: </w:t>
      </w:r>
      <w:r>
        <w:rPr>
          <w:rFonts w:ascii="Times New Roman" w:hAnsi="Times New Roman" w:cs="Times New Roman"/>
          <w:i/>
          <w:iCs/>
        </w:rPr>
        <w:t>Associate degrees</w:t>
      </w:r>
    </w:p>
    <w:p w14:paraId="579F94AF" w14:textId="06B1537B" w:rsidR="00D76476" w:rsidRPr="008536C7" w:rsidRDefault="00D76476" w:rsidP="00D76476">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w:t>
      </w:r>
      <w:r w:rsidR="009D1222">
        <w:rPr>
          <w:rFonts w:ascii="Times New Roman" w:hAnsi="Times New Roman" w:cs="Times New Roman"/>
        </w:rPr>
        <w:t>associates degree awards</w:t>
      </w:r>
      <w:r>
        <w:rPr>
          <w:rFonts w:ascii="Times New Roman" w:hAnsi="Times New Roman" w:cs="Times New Roman"/>
        </w:rPr>
        <w:t xml:space="preserve"> within the public institutions only sample. This event study visualization combines multiple estimators. The Borusyak et al. </w:t>
      </w:r>
      <w:r w:rsidRPr="000E348D">
        <w:rPr>
          <w:rFonts w:ascii="Times New Roman" w:hAnsi="Times New Roman" w:cs="Times New Roman"/>
          <w:i/>
          <w:iCs/>
        </w:rPr>
        <w:t>did_imputation</w:t>
      </w:r>
      <w:r>
        <w:rPr>
          <w:rFonts w:ascii="Times New Roman" w:hAnsi="Times New Roman" w:cs="Times New Roman"/>
          <w:i/>
          <w:iCs/>
        </w:rPr>
        <w:t xml:space="preserve"> </w:t>
      </w:r>
      <w:r>
        <w:rPr>
          <w:rFonts w:ascii="Times New Roman" w:hAnsi="Times New Roman" w:cs="Times New Roman"/>
        </w:rPr>
        <w:t xml:space="preserve">command is visualized in green. The Sun &amp; Abraham </w:t>
      </w:r>
      <w:r w:rsidRPr="00210BEB">
        <w:rPr>
          <w:rFonts w:ascii="Times New Roman" w:hAnsi="Times New Roman" w:cs="Times New Roman"/>
          <w:i/>
          <w:iCs/>
        </w:rPr>
        <w:t>eventstudyinteract</w:t>
      </w:r>
      <w:r>
        <w:rPr>
          <w:rFonts w:ascii="Times New Roman" w:hAnsi="Times New Roman" w:cs="Times New Roman"/>
        </w:rPr>
        <w:t xml:space="preserve"> command is visualized in blue. The OLS </w:t>
      </w:r>
      <w:r>
        <w:rPr>
          <w:rFonts w:ascii="Times New Roman" w:hAnsi="Times New Roman" w:cs="Times New Roman"/>
          <w:i/>
          <w:iCs/>
        </w:rPr>
        <w:t>reghdfe</w:t>
      </w:r>
      <w:r>
        <w:rPr>
          <w:rFonts w:ascii="Times New Roman" w:hAnsi="Times New Roman" w:cs="Times New Roman"/>
        </w:rPr>
        <w:t xml:space="preserve"> command is visualized in orange. Period zero indicates the year of promise program adoption and each period on the x-axis reflects a year. The y-axis reflects treatment effect on the treated group compared to the comparison group. </w:t>
      </w:r>
    </w:p>
    <w:p w14:paraId="125C7F2E" w14:textId="77777777" w:rsidR="00490BE2" w:rsidRDefault="00490BE2">
      <w:pPr>
        <w:rPr>
          <w:rFonts w:ascii="Times New Roman" w:hAnsi="Times New Roman"/>
          <w:b/>
        </w:rPr>
      </w:pPr>
      <w:r>
        <w:br w:type="page"/>
      </w:r>
    </w:p>
    <w:bookmarkEnd w:id="139"/>
    <w:p w14:paraId="2E8569A1" w14:textId="3CD6003D" w:rsidR="00C80B63" w:rsidRPr="00B06ECA" w:rsidRDefault="007D7846" w:rsidP="00B06ECA">
      <w:pPr>
        <w:spacing w:line="480" w:lineRule="auto"/>
        <w:jc w:val="center"/>
        <w:rPr>
          <w:rFonts w:ascii="Times New Roman" w:hAnsi="Times New Roman"/>
          <w:i/>
        </w:rPr>
      </w:pPr>
      <w:r w:rsidRPr="007D7846">
        <w:rPr>
          <w:rFonts w:ascii="Times New Roman" w:hAnsi="Times New Roman" w:cs="Times New Roman"/>
          <w:i/>
          <w:iCs/>
          <w:noProof/>
        </w:rPr>
        <w:lastRenderedPageBreak/>
        <w:drawing>
          <wp:inline distT="0" distB="0" distL="0" distR="0" wp14:anchorId="71CA0876" wp14:editId="73A20DD3">
            <wp:extent cx="5553075" cy="4038600"/>
            <wp:effectExtent l="0" t="0" r="0" b="0"/>
            <wp:docPr id="1369464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64665" name=""/>
                    <pic:cNvPicPr/>
                  </pic:nvPicPr>
                  <pic:blipFill>
                    <a:blip r:embed="rId28"/>
                    <a:stretch>
                      <a:fillRect/>
                    </a:stretch>
                  </pic:blipFill>
                  <pic:spPr>
                    <a:xfrm>
                      <a:off x="0" y="0"/>
                      <a:ext cx="5629168" cy="4093940"/>
                    </a:xfrm>
                    <a:prstGeom prst="rect">
                      <a:avLst/>
                    </a:prstGeom>
                  </pic:spPr>
                </pic:pic>
              </a:graphicData>
            </a:graphic>
          </wp:inline>
        </w:drawing>
      </w:r>
    </w:p>
    <w:p w14:paraId="42153BFC" w14:textId="77777777" w:rsidR="004F2800" w:rsidRDefault="004F2800" w:rsidP="004F2800">
      <w:pPr>
        <w:pStyle w:val="TableofFigs"/>
        <w:spacing w:line="240" w:lineRule="auto"/>
      </w:pPr>
      <w:bookmarkStart w:id="142" w:name="_Toc179135816"/>
      <w:bookmarkStart w:id="143" w:name="_Toc180144598"/>
      <w:r>
        <w:t>Figure 18</w:t>
      </w:r>
      <w:bookmarkEnd w:id="143"/>
    </w:p>
    <w:p w14:paraId="43AB03D8" w14:textId="77777777" w:rsidR="004F2800" w:rsidRPr="00C21408" w:rsidRDefault="004F2800" w:rsidP="004F2800">
      <w:pPr>
        <w:rPr>
          <w:rFonts w:ascii="Times New Roman" w:hAnsi="Times New Roman" w:cs="Times New Roman"/>
          <w:i/>
          <w:iCs/>
        </w:rPr>
      </w:pPr>
      <w:r w:rsidRPr="00C21408">
        <w:rPr>
          <w:rFonts w:ascii="Times New Roman" w:hAnsi="Times New Roman" w:cs="Times New Roman"/>
          <w:i/>
          <w:iCs/>
        </w:rPr>
        <w:t xml:space="preserve">Combined Event Plot: </w:t>
      </w:r>
      <w:r>
        <w:rPr>
          <w:rFonts w:ascii="Times New Roman" w:hAnsi="Times New Roman" w:cs="Times New Roman"/>
          <w:i/>
          <w:iCs/>
        </w:rPr>
        <w:t xml:space="preserve">All Credentials </w:t>
      </w:r>
    </w:p>
    <w:p w14:paraId="11CFFBEB" w14:textId="51EFC779" w:rsidR="00E13AD6" w:rsidRPr="008536C7" w:rsidRDefault="00E13AD6" w:rsidP="00E13AD6">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sidR="009D1222">
        <w:rPr>
          <w:rFonts w:ascii="Times New Roman" w:hAnsi="Times New Roman" w:cs="Times New Roman"/>
        </w:rPr>
        <w:t xml:space="preserve"> all</w:t>
      </w:r>
      <w:r>
        <w:rPr>
          <w:rFonts w:ascii="Times New Roman" w:hAnsi="Times New Roman" w:cs="Times New Roman"/>
        </w:rPr>
        <w:t xml:space="preserve"> </w:t>
      </w:r>
      <w:r w:rsidR="009D1222">
        <w:rPr>
          <w:rFonts w:ascii="Times New Roman" w:hAnsi="Times New Roman" w:cs="Times New Roman"/>
        </w:rPr>
        <w:t xml:space="preserve">credential awards </w:t>
      </w:r>
      <w:r>
        <w:rPr>
          <w:rFonts w:ascii="Times New Roman" w:hAnsi="Times New Roman" w:cs="Times New Roman"/>
        </w:rPr>
        <w:t xml:space="preserve">that were granted within the public institutions only sample. This event study visualization combines multiple estimators. The Borusyak et al. </w:t>
      </w:r>
      <w:r w:rsidRPr="000E348D">
        <w:rPr>
          <w:rFonts w:ascii="Times New Roman" w:hAnsi="Times New Roman" w:cs="Times New Roman"/>
          <w:i/>
          <w:iCs/>
        </w:rPr>
        <w:t>did_imputation</w:t>
      </w:r>
      <w:r>
        <w:rPr>
          <w:rFonts w:ascii="Times New Roman" w:hAnsi="Times New Roman" w:cs="Times New Roman"/>
          <w:i/>
          <w:iCs/>
        </w:rPr>
        <w:t xml:space="preserve"> </w:t>
      </w:r>
      <w:r>
        <w:rPr>
          <w:rFonts w:ascii="Times New Roman" w:hAnsi="Times New Roman" w:cs="Times New Roman"/>
        </w:rPr>
        <w:t xml:space="preserve">command is visualized in green. The Sun &amp; Abraham </w:t>
      </w:r>
      <w:r w:rsidRPr="00210BEB">
        <w:rPr>
          <w:rFonts w:ascii="Times New Roman" w:hAnsi="Times New Roman" w:cs="Times New Roman"/>
          <w:i/>
          <w:iCs/>
        </w:rPr>
        <w:t>eventstudyinteract</w:t>
      </w:r>
      <w:r>
        <w:rPr>
          <w:rFonts w:ascii="Times New Roman" w:hAnsi="Times New Roman" w:cs="Times New Roman"/>
        </w:rPr>
        <w:t xml:space="preserve"> command is visualized in blue. The OLS </w:t>
      </w:r>
      <w:r>
        <w:rPr>
          <w:rFonts w:ascii="Times New Roman" w:hAnsi="Times New Roman" w:cs="Times New Roman"/>
          <w:i/>
          <w:iCs/>
        </w:rPr>
        <w:t>reghdfe</w:t>
      </w:r>
      <w:r>
        <w:rPr>
          <w:rFonts w:ascii="Times New Roman" w:hAnsi="Times New Roman" w:cs="Times New Roman"/>
        </w:rPr>
        <w:t xml:space="preserve"> command is visualized in orange. Period zero indicates the year of promise program adoption and each period on the x-axis reflects a year. The y-axis reflects treatment effect on the treated group compared to the comparison group. </w:t>
      </w:r>
    </w:p>
    <w:p w14:paraId="17B96D6B" w14:textId="77777777" w:rsidR="00490BE2" w:rsidRDefault="00490BE2">
      <w:pPr>
        <w:rPr>
          <w:rFonts w:ascii="Times New Roman" w:hAnsi="Times New Roman"/>
          <w:b/>
        </w:rPr>
      </w:pPr>
      <w:r>
        <w:br w:type="page"/>
      </w:r>
    </w:p>
    <w:bookmarkEnd w:id="142"/>
    <w:p w14:paraId="02B50264" w14:textId="157DB1A9" w:rsidR="00FC4944" w:rsidRPr="00B06ECA" w:rsidRDefault="008F70A8" w:rsidP="00B06ECA">
      <w:pPr>
        <w:spacing w:line="480" w:lineRule="auto"/>
        <w:jc w:val="center"/>
        <w:rPr>
          <w:rFonts w:ascii="Times New Roman" w:hAnsi="Times New Roman"/>
          <w:i/>
        </w:rPr>
      </w:pPr>
      <w:r w:rsidRPr="008F70A8">
        <w:rPr>
          <w:rFonts w:ascii="Times New Roman" w:hAnsi="Times New Roman" w:cs="Times New Roman"/>
          <w:i/>
          <w:iCs/>
          <w:noProof/>
        </w:rPr>
        <w:lastRenderedPageBreak/>
        <w:drawing>
          <wp:inline distT="0" distB="0" distL="0" distR="0" wp14:anchorId="3ABF9506" wp14:editId="6FB06614">
            <wp:extent cx="5459941" cy="3970867"/>
            <wp:effectExtent l="0" t="0" r="1270" b="4445"/>
            <wp:docPr id="2055780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80745" name=""/>
                    <pic:cNvPicPr/>
                  </pic:nvPicPr>
                  <pic:blipFill>
                    <a:blip r:embed="rId29"/>
                    <a:stretch>
                      <a:fillRect/>
                    </a:stretch>
                  </pic:blipFill>
                  <pic:spPr>
                    <a:xfrm>
                      <a:off x="0" y="0"/>
                      <a:ext cx="5501149" cy="4000837"/>
                    </a:xfrm>
                    <a:prstGeom prst="rect">
                      <a:avLst/>
                    </a:prstGeom>
                  </pic:spPr>
                </pic:pic>
              </a:graphicData>
            </a:graphic>
          </wp:inline>
        </w:drawing>
      </w:r>
    </w:p>
    <w:p w14:paraId="317F6F0D" w14:textId="77777777" w:rsidR="004F2800" w:rsidRDefault="004F2800" w:rsidP="004F2800">
      <w:pPr>
        <w:pStyle w:val="TableofFigs"/>
        <w:spacing w:line="240" w:lineRule="auto"/>
      </w:pPr>
      <w:bookmarkStart w:id="144" w:name="_Toc179135817"/>
      <w:bookmarkStart w:id="145" w:name="_Toc180144599"/>
      <w:r>
        <w:t>Figure 19</w:t>
      </w:r>
      <w:bookmarkEnd w:id="145"/>
    </w:p>
    <w:p w14:paraId="00D40710" w14:textId="77777777" w:rsidR="004F2800" w:rsidRDefault="004F2800" w:rsidP="004F2800">
      <w:pPr>
        <w:rPr>
          <w:rFonts w:ascii="Times New Roman" w:hAnsi="Times New Roman" w:cs="Times New Roman"/>
          <w:i/>
          <w:iCs/>
        </w:rPr>
      </w:pPr>
      <w:r w:rsidRPr="00C21408">
        <w:rPr>
          <w:rFonts w:ascii="Times New Roman" w:hAnsi="Times New Roman" w:cs="Times New Roman"/>
          <w:i/>
          <w:iCs/>
        </w:rPr>
        <w:t xml:space="preserve">Combined Event Plot: </w:t>
      </w:r>
      <w:r>
        <w:rPr>
          <w:rFonts w:ascii="Times New Roman" w:hAnsi="Times New Roman" w:cs="Times New Roman"/>
          <w:i/>
          <w:iCs/>
        </w:rPr>
        <w:t xml:space="preserve">One-to-two Year Credentials </w:t>
      </w:r>
    </w:p>
    <w:p w14:paraId="31BB9FEA" w14:textId="77C669A6" w:rsidR="00E13AD6" w:rsidRPr="008536C7" w:rsidRDefault="00E13AD6" w:rsidP="00E13AD6">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awards from credential awards that take between one and two years to complete that were granted within the public institutions only sample. This event study visualization combines multiple estimators. The Borusyak et al. </w:t>
      </w:r>
      <w:r w:rsidRPr="000E348D">
        <w:rPr>
          <w:rFonts w:ascii="Times New Roman" w:hAnsi="Times New Roman" w:cs="Times New Roman"/>
          <w:i/>
          <w:iCs/>
        </w:rPr>
        <w:t>did_imputation</w:t>
      </w:r>
      <w:r>
        <w:rPr>
          <w:rFonts w:ascii="Times New Roman" w:hAnsi="Times New Roman" w:cs="Times New Roman"/>
          <w:i/>
          <w:iCs/>
        </w:rPr>
        <w:t xml:space="preserve"> </w:t>
      </w:r>
      <w:r>
        <w:rPr>
          <w:rFonts w:ascii="Times New Roman" w:hAnsi="Times New Roman" w:cs="Times New Roman"/>
        </w:rPr>
        <w:t xml:space="preserve">command is visualized in green. The Sun &amp; Abraham </w:t>
      </w:r>
      <w:r w:rsidRPr="00210BEB">
        <w:rPr>
          <w:rFonts w:ascii="Times New Roman" w:hAnsi="Times New Roman" w:cs="Times New Roman"/>
          <w:i/>
          <w:iCs/>
        </w:rPr>
        <w:t>eventstudyinteract</w:t>
      </w:r>
      <w:r>
        <w:rPr>
          <w:rFonts w:ascii="Times New Roman" w:hAnsi="Times New Roman" w:cs="Times New Roman"/>
        </w:rPr>
        <w:t xml:space="preserve"> command is visualized in blue. The OLS </w:t>
      </w:r>
      <w:r>
        <w:rPr>
          <w:rFonts w:ascii="Times New Roman" w:hAnsi="Times New Roman" w:cs="Times New Roman"/>
          <w:i/>
          <w:iCs/>
        </w:rPr>
        <w:t>reghdfe</w:t>
      </w:r>
      <w:r>
        <w:rPr>
          <w:rFonts w:ascii="Times New Roman" w:hAnsi="Times New Roman" w:cs="Times New Roman"/>
        </w:rPr>
        <w:t xml:space="preserve"> command is visualized in orange. Period zero indicates the year of promise program adoption and each period on the x-axis reflects a year. The y-axis reflects treatment effect on the treated group compared to the comparison group. </w:t>
      </w:r>
    </w:p>
    <w:p w14:paraId="3A05FEEB" w14:textId="77777777" w:rsidR="00490BE2" w:rsidRDefault="00490BE2">
      <w:pPr>
        <w:rPr>
          <w:rFonts w:ascii="Times New Roman" w:hAnsi="Times New Roman"/>
          <w:b/>
        </w:rPr>
      </w:pPr>
      <w:r>
        <w:br w:type="page"/>
      </w:r>
    </w:p>
    <w:bookmarkEnd w:id="144"/>
    <w:p w14:paraId="4F0989D0" w14:textId="12156375" w:rsidR="00FC4944" w:rsidRPr="00FC4944" w:rsidRDefault="008F70A8" w:rsidP="00B06ECA">
      <w:pPr>
        <w:spacing w:line="480" w:lineRule="auto"/>
        <w:jc w:val="center"/>
        <w:rPr>
          <w:rFonts w:ascii="Times New Roman" w:hAnsi="Times New Roman" w:cs="Times New Roman"/>
          <w:i/>
          <w:iCs/>
        </w:rPr>
      </w:pPr>
      <w:r w:rsidRPr="008F70A8">
        <w:rPr>
          <w:rFonts w:ascii="Times New Roman" w:hAnsi="Times New Roman" w:cs="Times New Roman"/>
          <w:i/>
          <w:iCs/>
          <w:noProof/>
        </w:rPr>
        <w:lastRenderedPageBreak/>
        <w:drawing>
          <wp:inline distT="0" distB="0" distL="0" distR="0" wp14:anchorId="700DA871" wp14:editId="1C175314">
            <wp:extent cx="5471583" cy="3979333"/>
            <wp:effectExtent l="0" t="0" r="2540" b="0"/>
            <wp:docPr id="256312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12893" name=""/>
                    <pic:cNvPicPr/>
                  </pic:nvPicPr>
                  <pic:blipFill>
                    <a:blip r:embed="rId30"/>
                    <a:stretch>
                      <a:fillRect/>
                    </a:stretch>
                  </pic:blipFill>
                  <pic:spPr>
                    <a:xfrm>
                      <a:off x="0" y="0"/>
                      <a:ext cx="5559627" cy="4043365"/>
                    </a:xfrm>
                    <a:prstGeom prst="rect">
                      <a:avLst/>
                    </a:prstGeom>
                  </pic:spPr>
                </pic:pic>
              </a:graphicData>
            </a:graphic>
          </wp:inline>
        </w:drawing>
      </w:r>
    </w:p>
    <w:p w14:paraId="7B125D1B" w14:textId="77777777" w:rsidR="004F2800" w:rsidRDefault="004F2800" w:rsidP="004F2800">
      <w:pPr>
        <w:pStyle w:val="TableofFigs"/>
        <w:spacing w:line="240" w:lineRule="auto"/>
      </w:pPr>
      <w:bookmarkStart w:id="146" w:name="_Toc179135818"/>
      <w:bookmarkStart w:id="147" w:name="_Toc180144600"/>
      <w:r>
        <w:t>Figure 20</w:t>
      </w:r>
      <w:bookmarkEnd w:id="147"/>
    </w:p>
    <w:p w14:paraId="0A8AC8E0" w14:textId="77777777" w:rsidR="004F2800" w:rsidRDefault="004F2800" w:rsidP="004F2800">
      <w:pPr>
        <w:rPr>
          <w:rFonts w:ascii="Times New Roman" w:hAnsi="Times New Roman" w:cs="Times New Roman"/>
          <w:i/>
          <w:iCs/>
        </w:rPr>
      </w:pPr>
      <w:r w:rsidRPr="00C21408">
        <w:rPr>
          <w:rFonts w:ascii="Times New Roman" w:hAnsi="Times New Roman" w:cs="Times New Roman"/>
          <w:i/>
          <w:iCs/>
        </w:rPr>
        <w:t xml:space="preserve">Combined Event Plot: </w:t>
      </w:r>
      <w:r>
        <w:rPr>
          <w:rFonts w:ascii="Times New Roman" w:hAnsi="Times New Roman" w:cs="Times New Roman"/>
          <w:i/>
          <w:iCs/>
        </w:rPr>
        <w:t xml:space="preserve">Less Than One Year Credentials </w:t>
      </w:r>
    </w:p>
    <w:p w14:paraId="4800CEC7" w14:textId="4AE50CDE" w:rsidR="00E13AD6" w:rsidRPr="008536C7" w:rsidRDefault="00E13AD6" w:rsidP="00E13AD6">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awards from credential awards that take less than a year to complete that were granted within the public institutions only sample. This event study visualization combines multiple estimators. The Borusyak et al. </w:t>
      </w:r>
      <w:r w:rsidRPr="000E348D">
        <w:rPr>
          <w:rFonts w:ascii="Times New Roman" w:hAnsi="Times New Roman" w:cs="Times New Roman"/>
          <w:i/>
          <w:iCs/>
        </w:rPr>
        <w:t>did_imputation</w:t>
      </w:r>
      <w:r>
        <w:rPr>
          <w:rFonts w:ascii="Times New Roman" w:hAnsi="Times New Roman" w:cs="Times New Roman"/>
          <w:i/>
          <w:iCs/>
        </w:rPr>
        <w:t xml:space="preserve"> </w:t>
      </w:r>
      <w:r>
        <w:rPr>
          <w:rFonts w:ascii="Times New Roman" w:hAnsi="Times New Roman" w:cs="Times New Roman"/>
        </w:rPr>
        <w:t xml:space="preserve">command is visualized in green. The Sun &amp; Abraham </w:t>
      </w:r>
      <w:r w:rsidRPr="00210BEB">
        <w:rPr>
          <w:rFonts w:ascii="Times New Roman" w:hAnsi="Times New Roman" w:cs="Times New Roman"/>
          <w:i/>
          <w:iCs/>
        </w:rPr>
        <w:t>eventstudyinteract</w:t>
      </w:r>
      <w:r>
        <w:rPr>
          <w:rFonts w:ascii="Times New Roman" w:hAnsi="Times New Roman" w:cs="Times New Roman"/>
        </w:rPr>
        <w:t xml:space="preserve"> command is visualized in blue. The OLS </w:t>
      </w:r>
      <w:r>
        <w:rPr>
          <w:rFonts w:ascii="Times New Roman" w:hAnsi="Times New Roman" w:cs="Times New Roman"/>
          <w:i/>
          <w:iCs/>
        </w:rPr>
        <w:t>reghdfe</w:t>
      </w:r>
      <w:r>
        <w:rPr>
          <w:rFonts w:ascii="Times New Roman" w:hAnsi="Times New Roman" w:cs="Times New Roman"/>
        </w:rPr>
        <w:t xml:space="preserve"> command is visualized in orange. Period zero indicates the year of promise program adoption and each period on the x-axis reflects a year. The y-axis reflects treatment effect on the treated group compared to the comparison group. </w:t>
      </w:r>
    </w:p>
    <w:p w14:paraId="0B3BF8EB" w14:textId="77777777" w:rsidR="00490BE2" w:rsidRDefault="00490BE2">
      <w:pPr>
        <w:rPr>
          <w:rFonts w:ascii="Times New Roman" w:hAnsi="Times New Roman"/>
          <w:b/>
        </w:rPr>
      </w:pPr>
      <w:r>
        <w:br w:type="page"/>
      </w:r>
    </w:p>
    <w:bookmarkEnd w:id="146"/>
    <w:p w14:paraId="448749E9" w14:textId="599548C8" w:rsidR="00742319" w:rsidRDefault="00C716CA" w:rsidP="00B06ECA">
      <w:pPr>
        <w:spacing w:line="480" w:lineRule="auto"/>
        <w:jc w:val="center"/>
        <w:rPr>
          <w:rFonts w:ascii="Times New Roman" w:hAnsi="Times New Roman" w:cs="Times New Roman"/>
          <w:i/>
          <w:iCs/>
        </w:rPr>
      </w:pPr>
      <w:r w:rsidRPr="00C716CA">
        <w:rPr>
          <w:rFonts w:ascii="Times New Roman" w:hAnsi="Times New Roman" w:cs="Times New Roman"/>
          <w:i/>
          <w:iCs/>
          <w:noProof/>
        </w:rPr>
        <w:lastRenderedPageBreak/>
        <w:drawing>
          <wp:inline distT="0" distB="0" distL="0" distR="0" wp14:anchorId="7987D840" wp14:editId="29DCA189">
            <wp:extent cx="5425016" cy="3945467"/>
            <wp:effectExtent l="0" t="0" r="0" b="4445"/>
            <wp:docPr id="1446774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74878" name=""/>
                    <pic:cNvPicPr/>
                  </pic:nvPicPr>
                  <pic:blipFill>
                    <a:blip r:embed="rId31"/>
                    <a:stretch>
                      <a:fillRect/>
                    </a:stretch>
                  </pic:blipFill>
                  <pic:spPr>
                    <a:xfrm>
                      <a:off x="0" y="0"/>
                      <a:ext cx="5543311" cy="4031500"/>
                    </a:xfrm>
                    <a:prstGeom prst="rect">
                      <a:avLst/>
                    </a:prstGeom>
                  </pic:spPr>
                </pic:pic>
              </a:graphicData>
            </a:graphic>
          </wp:inline>
        </w:drawing>
      </w:r>
    </w:p>
    <w:p w14:paraId="15DA2AFF" w14:textId="77777777" w:rsidR="004F2800" w:rsidRDefault="004F2800" w:rsidP="004F2800">
      <w:pPr>
        <w:pStyle w:val="TableofFigs"/>
        <w:spacing w:line="240" w:lineRule="auto"/>
      </w:pPr>
      <w:bookmarkStart w:id="148" w:name="_Toc179135819"/>
      <w:bookmarkStart w:id="149" w:name="_Toc180144601"/>
      <w:r>
        <w:t>Figure 21</w:t>
      </w:r>
      <w:bookmarkEnd w:id="149"/>
    </w:p>
    <w:p w14:paraId="6DB02345" w14:textId="77777777" w:rsidR="004F2800" w:rsidRDefault="004F2800" w:rsidP="004F2800">
      <w:pPr>
        <w:rPr>
          <w:rFonts w:ascii="Times New Roman" w:hAnsi="Times New Roman" w:cs="Times New Roman"/>
          <w:i/>
          <w:iCs/>
        </w:rPr>
      </w:pPr>
      <w:r w:rsidRPr="00C21408">
        <w:rPr>
          <w:rFonts w:ascii="Times New Roman" w:hAnsi="Times New Roman" w:cs="Times New Roman"/>
          <w:i/>
          <w:iCs/>
        </w:rPr>
        <w:t xml:space="preserve">Combined Event Plot: </w:t>
      </w:r>
      <w:r>
        <w:rPr>
          <w:rFonts w:ascii="Times New Roman" w:hAnsi="Times New Roman" w:cs="Times New Roman"/>
          <w:i/>
          <w:iCs/>
        </w:rPr>
        <w:t xml:space="preserve">STEM Awards </w:t>
      </w:r>
    </w:p>
    <w:p w14:paraId="380F939E" w14:textId="77777777" w:rsidR="001E4FEB" w:rsidRPr="008536C7" w:rsidRDefault="001E4FEB" w:rsidP="001E4FEB">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awards from </w:t>
      </w:r>
      <w:r w:rsidRPr="004911F8">
        <w:rPr>
          <w:rFonts w:ascii="Times New Roman" w:hAnsi="Times New Roman" w:cs="Times New Roman"/>
        </w:rPr>
        <w:t xml:space="preserve">sub-baccalaureate </w:t>
      </w:r>
      <w:r>
        <w:rPr>
          <w:rFonts w:ascii="Times New Roman" w:hAnsi="Times New Roman" w:cs="Times New Roman"/>
        </w:rPr>
        <w:t xml:space="preserve">STEM programs that were granted within the public institutions only sample. This event study visualization combines multiple estimators. The Borusyak et al. </w:t>
      </w:r>
      <w:r w:rsidRPr="000E348D">
        <w:rPr>
          <w:rFonts w:ascii="Times New Roman" w:hAnsi="Times New Roman" w:cs="Times New Roman"/>
          <w:i/>
          <w:iCs/>
        </w:rPr>
        <w:t>did_imputation</w:t>
      </w:r>
      <w:r>
        <w:rPr>
          <w:rFonts w:ascii="Times New Roman" w:hAnsi="Times New Roman" w:cs="Times New Roman"/>
          <w:i/>
          <w:iCs/>
        </w:rPr>
        <w:t xml:space="preserve"> </w:t>
      </w:r>
      <w:r>
        <w:rPr>
          <w:rFonts w:ascii="Times New Roman" w:hAnsi="Times New Roman" w:cs="Times New Roman"/>
        </w:rPr>
        <w:t xml:space="preserve">command is visualized in green. The Sun &amp; Abraham </w:t>
      </w:r>
      <w:r w:rsidRPr="00210BEB">
        <w:rPr>
          <w:rFonts w:ascii="Times New Roman" w:hAnsi="Times New Roman" w:cs="Times New Roman"/>
          <w:i/>
          <w:iCs/>
        </w:rPr>
        <w:t>eventstudyinteract</w:t>
      </w:r>
      <w:r>
        <w:rPr>
          <w:rFonts w:ascii="Times New Roman" w:hAnsi="Times New Roman" w:cs="Times New Roman"/>
        </w:rPr>
        <w:t xml:space="preserve"> command is visualized in blue. The OLS </w:t>
      </w:r>
      <w:r>
        <w:rPr>
          <w:rFonts w:ascii="Times New Roman" w:hAnsi="Times New Roman" w:cs="Times New Roman"/>
          <w:i/>
          <w:iCs/>
        </w:rPr>
        <w:t>reghdfe</w:t>
      </w:r>
      <w:r>
        <w:rPr>
          <w:rFonts w:ascii="Times New Roman" w:hAnsi="Times New Roman" w:cs="Times New Roman"/>
        </w:rPr>
        <w:t xml:space="preserve"> command is visualized in orange. Period zero indicates the year of promise program adoption and each period on the x-axis reflects a year. The y-axis reflects treatment effect on the treated group compared to the comparison group. STEM programs include the following programs from the 2-digit CIP designations: </w:t>
      </w:r>
      <w:r w:rsidRPr="007A2C64">
        <w:rPr>
          <w:rFonts w:ascii="Times New Roman" w:hAnsi="Times New Roman" w:cs="Times New Roman"/>
        </w:rPr>
        <w:t>Agriculture, Agriculture Operations, and Related Sciences</w:t>
      </w:r>
      <w:r>
        <w:rPr>
          <w:rFonts w:ascii="Times New Roman" w:hAnsi="Times New Roman" w:cs="Times New Roman"/>
        </w:rPr>
        <w:t xml:space="preserve">, </w:t>
      </w:r>
      <w:r w:rsidRPr="007A2C64">
        <w:rPr>
          <w:rFonts w:ascii="Times New Roman" w:hAnsi="Times New Roman" w:cs="Times New Roman"/>
        </w:rPr>
        <w:t>Natural Resources and Conservation</w:t>
      </w:r>
      <w:r>
        <w:rPr>
          <w:rFonts w:ascii="Times New Roman" w:hAnsi="Times New Roman" w:cs="Times New Roman"/>
        </w:rPr>
        <w:t xml:space="preserve">, </w:t>
      </w:r>
      <w:r w:rsidRPr="007A2C64">
        <w:rPr>
          <w:rFonts w:ascii="Times New Roman" w:hAnsi="Times New Roman" w:cs="Times New Roman"/>
        </w:rPr>
        <w:t>Computer and Information Sciences and Support Services</w:t>
      </w:r>
      <w:r>
        <w:rPr>
          <w:rFonts w:ascii="Times New Roman" w:hAnsi="Times New Roman" w:cs="Times New Roman"/>
        </w:rPr>
        <w:t xml:space="preserve">, </w:t>
      </w:r>
      <w:r w:rsidRPr="007A2C64">
        <w:rPr>
          <w:rFonts w:ascii="Times New Roman" w:hAnsi="Times New Roman" w:cs="Times New Roman"/>
        </w:rPr>
        <w:t>Engineering</w:t>
      </w:r>
      <w:r>
        <w:rPr>
          <w:rFonts w:ascii="Times New Roman" w:hAnsi="Times New Roman" w:cs="Times New Roman"/>
        </w:rPr>
        <w:t xml:space="preserve">, </w:t>
      </w:r>
      <w:r w:rsidRPr="007A2C64">
        <w:rPr>
          <w:rFonts w:ascii="Times New Roman" w:hAnsi="Times New Roman" w:cs="Times New Roman"/>
        </w:rPr>
        <w:t>Engineering  Technologies/Technicians</w:t>
      </w:r>
      <w:r>
        <w:rPr>
          <w:rFonts w:ascii="Times New Roman" w:hAnsi="Times New Roman" w:cs="Times New Roman"/>
        </w:rPr>
        <w:t xml:space="preserve">, </w:t>
      </w:r>
      <w:r w:rsidRPr="007A2C64">
        <w:rPr>
          <w:rFonts w:ascii="Times New Roman" w:hAnsi="Times New Roman" w:cs="Times New Roman"/>
        </w:rPr>
        <w:t>Biological and Biomedical Sciences</w:t>
      </w:r>
      <w:r>
        <w:rPr>
          <w:rFonts w:ascii="Times New Roman" w:hAnsi="Times New Roman" w:cs="Times New Roman"/>
        </w:rPr>
        <w:t xml:space="preserve">, </w:t>
      </w:r>
      <w:r w:rsidRPr="007A2C64">
        <w:rPr>
          <w:rFonts w:ascii="Times New Roman" w:hAnsi="Times New Roman" w:cs="Times New Roman"/>
        </w:rPr>
        <w:t>Mathematics and Statistics</w:t>
      </w:r>
      <w:r>
        <w:rPr>
          <w:rFonts w:ascii="Times New Roman" w:hAnsi="Times New Roman" w:cs="Times New Roman"/>
        </w:rPr>
        <w:t xml:space="preserve">, </w:t>
      </w:r>
      <w:r w:rsidRPr="007A2C64">
        <w:rPr>
          <w:rFonts w:ascii="Times New Roman" w:hAnsi="Times New Roman" w:cs="Times New Roman"/>
        </w:rPr>
        <w:t>Physical Sciences</w:t>
      </w:r>
      <w:r>
        <w:rPr>
          <w:rFonts w:ascii="Times New Roman" w:hAnsi="Times New Roman" w:cs="Times New Roman"/>
        </w:rPr>
        <w:t xml:space="preserve">, and </w:t>
      </w:r>
      <w:r w:rsidRPr="007A2C64">
        <w:rPr>
          <w:rFonts w:ascii="Times New Roman" w:hAnsi="Times New Roman" w:cs="Times New Roman"/>
        </w:rPr>
        <w:t>Science Technologies/Technicians</w:t>
      </w:r>
      <w:r>
        <w:rPr>
          <w:rFonts w:ascii="Times New Roman" w:hAnsi="Times New Roman" w:cs="Times New Roman"/>
        </w:rPr>
        <w:t>.</w:t>
      </w:r>
    </w:p>
    <w:p w14:paraId="0DA91621" w14:textId="489EF475" w:rsidR="00490BE2" w:rsidRDefault="00490BE2">
      <w:pPr>
        <w:rPr>
          <w:rFonts w:ascii="Times New Roman" w:hAnsi="Times New Roman"/>
          <w:b/>
        </w:rPr>
      </w:pPr>
      <w:r>
        <w:br w:type="page"/>
      </w:r>
    </w:p>
    <w:bookmarkEnd w:id="148"/>
    <w:p w14:paraId="69FA9C1B" w14:textId="4F161339" w:rsidR="001525F6" w:rsidRDefault="00E96419" w:rsidP="00B06ECA">
      <w:pPr>
        <w:spacing w:line="480" w:lineRule="auto"/>
        <w:jc w:val="center"/>
        <w:rPr>
          <w:rFonts w:ascii="Times New Roman" w:hAnsi="Times New Roman" w:cs="Times New Roman"/>
          <w:i/>
          <w:iCs/>
        </w:rPr>
      </w:pPr>
      <w:r w:rsidRPr="00E96419">
        <w:rPr>
          <w:rFonts w:ascii="Times New Roman" w:hAnsi="Times New Roman" w:cs="Times New Roman"/>
          <w:i/>
          <w:iCs/>
          <w:noProof/>
        </w:rPr>
        <w:lastRenderedPageBreak/>
        <w:drawing>
          <wp:inline distT="0" distB="0" distL="0" distR="0" wp14:anchorId="6B329FC1" wp14:editId="5C04FB61">
            <wp:extent cx="5401733" cy="3928533"/>
            <wp:effectExtent l="0" t="0" r="0" b="0"/>
            <wp:docPr id="1835852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52563" name=""/>
                    <pic:cNvPicPr/>
                  </pic:nvPicPr>
                  <pic:blipFill>
                    <a:blip r:embed="rId32"/>
                    <a:stretch>
                      <a:fillRect/>
                    </a:stretch>
                  </pic:blipFill>
                  <pic:spPr>
                    <a:xfrm>
                      <a:off x="0" y="0"/>
                      <a:ext cx="5498629" cy="3999003"/>
                    </a:xfrm>
                    <a:prstGeom prst="rect">
                      <a:avLst/>
                    </a:prstGeom>
                  </pic:spPr>
                </pic:pic>
              </a:graphicData>
            </a:graphic>
          </wp:inline>
        </w:drawing>
      </w:r>
    </w:p>
    <w:p w14:paraId="309CBB89" w14:textId="77777777" w:rsidR="004F2800" w:rsidRDefault="004F2800" w:rsidP="004F2800">
      <w:pPr>
        <w:pStyle w:val="TableofFigs"/>
        <w:spacing w:line="240" w:lineRule="auto"/>
      </w:pPr>
      <w:bookmarkStart w:id="150" w:name="_Toc179135820"/>
      <w:bookmarkStart w:id="151" w:name="_Toc180144602"/>
      <w:r>
        <w:t>Figure 22</w:t>
      </w:r>
      <w:bookmarkEnd w:id="151"/>
    </w:p>
    <w:p w14:paraId="07D341DA" w14:textId="77777777" w:rsidR="004F2800" w:rsidRDefault="004F2800" w:rsidP="004F2800">
      <w:pPr>
        <w:rPr>
          <w:rFonts w:ascii="Times New Roman" w:hAnsi="Times New Roman" w:cs="Times New Roman"/>
          <w:i/>
          <w:iCs/>
        </w:rPr>
      </w:pPr>
      <w:r w:rsidRPr="00C21408">
        <w:rPr>
          <w:rFonts w:ascii="Times New Roman" w:hAnsi="Times New Roman" w:cs="Times New Roman"/>
          <w:i/>
          <w:iCs/>
        </w:rPr>
        <w:t xml:space="preserve">Combined Event Plot: </w:t>
      </w:r>
      <w:r>
        <w:rPr>
          <w:rFonts w:ascii="Times New Roman" w:hAnsi="Times New Roman" w:cs="Times New Roman"/>
          <w:i/>
          <w:iCs/>
        </w:rPr>
        <w:t xml:space="preserve">Trades Awards </w:t>
      </w:r>
    </w:p>
    <w:p w14:paraId="05FA8FEF" w14:textId="5D613729" w:rsidR="00490BE2" w:rsidRDefault="001E4FEB">
      <w:pPr>
        <w:rPr>
          <w:rFonts w:ascii="Times New Roman" w:hAnsi="Times New Roman"/>
          <w:b/>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awards from </w:t>
      </w:r>
      <w:r w:rsidRPr="004911F8">
        <w:rPr>
          <w:rFonts w:ascii="Times New Roman" w:hAnsi="Times New Roman" w:cs="Times New Roman"/>
        </w:rPr>
        <w:t xml:space="preserve">sub-baccalaureate </w:t>
      </w:r>
      <w:r>
        <w:rPr>
          <w:rFonts w:ascii="Times New Roman" w:hAnsi="Times New Roman" w:cs="Times New Roman"/>
        </w:rPr>
        <w:t xml:space="preserve">trades programs that were granted within the public institutions only sample. This event study visualization combines multiple estimators. The Borusyak et al. </w:t>
      </w:r>
      <w:r w:rsidRPr="000E348D">
        <w:rPr>
          <w:rFonts w:ascii="Times New Roman" w:hAnsi="Times New Roman" w:cs="Times New Roman"/>
          <w:i/>
          <w:iCs/>
        </w:rPr>
        <w:t>did_imputation</w:t>
      </w:r>
      <w:r>
        <w:rPr>
          <w:rFonts w:ascii="Times New Roman" w:hAnsi="Times New Roman" w:cs="Times New Roman"/>
          <w:i/>
          <w:iCs/>
        </w:rPr>
        <w:t xml:space="preserve"> </w:t>
      </w:r>
      <w:r>
        <w:rPr>
          <w:rFonts w:ascii="Times New Roman" w:hAnsi="Times New Roman" w:cs="Times New Roman"/>
        </w:rPr>
        <w:t xml:space="preserve">command is visualized in green. The Sun &amp; Abraham </w:t>
      </w:r>
      <w:r w:rsidRPr="00210BEB">
        <w:rPr>
          <w:rFonts w:ascii="Times New Roman" w:hAnsi="Times New Roman" w:cs="Times New Roman"/>
          <w:i/>
          <w:iCs/>
        </w:rPr>
        <w:t>eventstudyinteract</w:t>
      </w:r>
      <w:r>
        <w:rPr>
          <w:rFonts w:ascii="Times New Roman" w:hAnsi="Times New Roman" w:cs="Times New Roman"/>
        </w:rPr>
        <w:t xml:space="preserve"> command is visualized in blue. The OLS </w:t>
      </w:r>
      <w:r>
        <w:rPr>
          <w:rFonts w:ascii="Times New Roman" w:hAnsi="Times New Roman" w:cs="Times New Roman"/>
          <w:i/>
          <w:iCs/>
        </w:rPr>
        <w:t>reghdfe</w:t>
      </w:r>
      <w:r>
        <w:rPr>
          <w:rFonts w:ascii="Times New Roman" w:hAnsi="Times New Roman" w:cs="Times New Roman"/>
        </w:rPr>
        <w:t xml:space="preserve"> command is visualized in orange. Period zero indicates the year of promise program adoption and each period on the x-axis reflects a year. The y-axis reflects treatment effect on the treated group compared to the comparison group. Trades programs include the following programs from the 2-digit CIP designations: </w:t>
      </w:r>
      <w:r w:rsidRPr="00390080">
        <w:rPr>
          <w:rFonts w:ascii="Times New Roman" w:hAnsi="Times New Roman" w:cs="Times New Roman"/>
        </w:rPr>
        <w:t>Construction Trades</w:t>
      </w:r>
      <w:r>
        <w:rPr>
          <w:rFonts w:ascii="Times New Roman" w:hAnsi="Times New Roman" w:cs="Times New Roman"/>
        </w:rPr>
        <w:t xml:space="preserve">, </w:t>
      </w:r>
      <w:r w:rsidRPr="00390080">
        <w:rPr>
          <w:rFonts w:ascii="Times New Roman" w:hAnsi="Times New Roman" w:cs="Times New Roman"/>
        </w:rPr>
        <w:t>Mechanic and Repair Technologies/Technicians</w:t>
      </w:r>
      <w:r>
        <w:rPr>
          <w:rFonts w:ascii="Times New Roman" w:hAnsi="Times New Roman" w:cs="Times New Roman"/>
        </w:rPr>
        <w:t xml:space="preserve">, </w:t>
      </w:r>
      <w:r w:rsidRPr="00390080">
        <w:rPr>
          <w:rFonts w:ascii="Times New Roman" w:hAnsi="Times New Roman" w:cs="Times New Roman"/>
        </w:rPr>
        <w:t>Precision Production</w:t>
      </w:r>
      <w:r>
        <w:rPr>
          <w:rFonts w:ascii="Times New Roman" w:hAnsi="Times New Roman" w:cs="Times New Roman"/>
        </w:rPr>
        <w:t xml:space="preserve">, and </w:t>
      </w:r>
      <w:r w:rsidRPr="00390080">
        <w:rPr>
          <w:rFonts w:ascii="Times New Roman" w:hAnsi="Times New Roman" w:cs="Times New Roman"/>
        </w:rPr>
        <w:t>Transportation and Materials Moving</w:t>
      </w:r>
      <w:r>
        <w:rPr>
          <w:rFonts w:ascii="Times New Roman" w:hAnsi="Times New Roman" w:cs="Times New Roman"/>
        </w:rPr>
        <w:t>.</w:t>
      </w:r>
      <w:r w:rsidR="00490BE2">
        <w:br w:type="page"/>
      </w:r>
    </w:p>
    <w:bookmarkEnd w:id="150"/>
    <w:p w14:paraId="26D04591" w14:textId="1CEC4122" w:rsidR="00542FCE" w:rsidRDefault="00091C49" w:rsidP="00B06ECA">
      <w:pPr>
        <w:spacing w:line="480" w:lineRule="auto"/>
        <w:jc w:val="center"/>
        <w:rPr>
          <w:rFonts w:ascii="Times New Roman" w:hAnsi="Times New Roman" w:cs="Times New Roman"/>
          <w:i/>
          <w:iCs/>
        </w:rPr>
      </w:pPr>
      <w:r w:rsidRPr="00091C49">
        <w:rPr>
          <w:rFonts w:ascii="Times New Roman" w:hAnsi="Times New Roman" w:cs="Times New Roman"/>
          <w:i/>
          <w:iCs/>
          <w:noProof/>
        </w:rPr>
        <w:lastRenderedPageBreak/>
        <w:drawing>
          <wp:inline distT="0" distB="0" distL="0" distR="0" wp14:anchorId="2FED0A04" wp14:editId="2C81D3EA">
            <wp:extent cx="5436659" cy="3953933"/>
            <wp:effectExtent l="0" t="0" r="0" b="0"/>
            <wp:docPr id="309006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06899" name=""/>
                    <pic:cNvPicPr/>
                  </pic:nvPicPr>
                  <pic:blipFill>
                    <a:blip r:embed="rId33"/>
                    <a:stretch>
                      <a:fillRect/>
                    </a:stretch>
                  </pic:blipFill>
                  <pic:spPr>
                    <a:xfrm>
                      <a:off x="0" y="0"/>
                      <a:ext cx="5499758" cy="3999823"/>
                    </a:xfrm>
                    <a:prstGeom prst="rect">
                      <a:avLst/>
                    </a:prstGeom>
                  </pic:spPr>
                </pic:pic>
              </a:graphicData>
            </a:graphic>
          </wp:inline>
        </w:drawing>
      </w:r>
    </w:p>
    <w:p w14:paraId="148060C9" w14:textId="77777777" w:rsidR="004F2800" w:rsidRDefault="004F2800" w:rsidP="004F2800">
      <w:pPr>
        <w:pStyle w:val="TableofFigs"/>
        <w:spacing w:line="240" w:lineRule="auto"/>
      </w:pPr>
      <w:bookmarkStart w:id="152" w:name="_Toc179135821"/>
      <w:bookmarkStart w:id="153" w:name="_Toc180144603"/>
      <w:r>
        <w:t>Figure 23</w:t>
      </w:r>
      <w:bookmarkEnd w:id="153"/>
    </w:p>
    <w:p w14:paraId="1C0DB1AC" w14:textId="77777777" w:rsidR="004F2800" w:rsidRDefault="004F2800" w:rsidP="004F2800">
      <w:pPr>
        <w:rPr>
          <w:rFonts w:ascii="Times New Roman" w:hAnsi="Times New Roman" w:cs="Times New Roman"/>
          <w:i/>
          <w:iCs/>
        </w:rPr>
      </w:pPr>
      <w:r w:rsidRPr="00C21408">
        <w:rPr>
          <w:rFonts w:ascii="Times New Roman" w:hAnsi="Times New Roman" w:cs="Times New Roman"/>
          <w:i/>
          <w:iCs/>
        </w:rPr>
        <w:t xml:space="preserve">Combined Event Plot: </w:t>
      </w:r>
      <w:r>
        <w:rPr>
          <w:rFonts w:ascii="Times New Roman" w:hAnsi="Times New Roman" w:cs="Times New Roman"/>
          <w:i/>
          <w:iCs/>
        </w:rPr>
        <w:t xml:space="preserve">Liberal Arts Awards </w:t>
      </w:r>
    </w:p>
    <w:p w14:paraId="597803FD" w14:textId="23316D01" w:rsidR="00C37E44" w:rsidRPr="008536C7" w:rsidRDefault="00C37E44" w:rsidP="00C37E44">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awards from </w:t>
      </w:r>
      <w:r w:rsidRPr="004911F8">
        <w:rPr>
          <w:rFonts w:ascii="Times New Roman" w:hAnsi="Times New Roman" w:cs="Times New Roman"/>
        </w:rPr>
        <w:t xml:space="preserve">sub-baccalaureate </w:t>
      </w:r>
      <w:r>
        <w:rPr>
          <w:rFonts w:ascii="Times New Roman" w:hAnsi="Times New Roman" w:cs="Times New Roman"/>
        </w:rPr>
        <w:t xml:space="preserve">liberal arts programs that were granted within the public institutions only sample. This event study visualization combines multiple estimators. The Borusyak et al. </w:t>
      </w:r>
      <w:r w:rsidR="000E348D" w:rsidRPr="000E348D">
        <w:rPr>
          <w:rFonts w:ascii="Times New Roman" w:hAnsi="Times New Roman" w:cs="Times New Roman"/>
          <w:i/>
          <w:iCs/>
        </w:rPr>
        <w:t>did_imputation</w:t>
      </w:r>
      <w:r w:rsidR="000E348D">
        <w:rPr>
          <w:rFonts w:ascii="Times New Roman" w:hAnsi="Times New Roman" w:cs="Times New Roman"/>
          <w:i/>
          <w:iCs/>
        </w:rPr>
        <w:t xml:space="preserve"> </w:t>
      </w:r>
      <w:r>
        <w:rPr>
          <w:rFonts w:ascii="Times New Roman" w:hAnsi="Times New Roman" w:cs="Times New Roman"/>
        </w:rPr>
        <w:t xml:space="preserve">command is visualized in green. The Sun &amp; Abraham </w:t>
      </w:r>
      <w:r w:rsidRPr="00210BEB">
        <w:rPr>
          <w:rFonts w:ascii="Times New Roman" w:hAnsi="Times New Roman" w:cs="Times New Roman"/>
          <w:i/>
          <w:iCs/>
        </w:rPr>
        <w:t>eventstudyinteract</w:t>
      </w:r>
      <w:r>
        <w:rPr>
          <w:rFonts w:ascii="Times New Roman" w:hAnsi="Times New Roman" w:cs="Times New Roman"/>
        </w:rPr>
        <w:t xml:space="preserve"> command is visualized in blue. The OLS </w:t>
      </w:r>
      <w:r>
        <w:rPr>
          <w:rFonts w:ascii="Times New Roman" w:hAnsi="Times New Roman" w:cs="Times New Roman"/>
          <w:i/>
          <w:iCs/>
        </w:rPr>
        <w:t>reghdfe</w:t>
      </w:r>
      <w:r>
        <w:rPr>
          <w:rFonts w:ascii="Times New Roman" w:hAnsi="Times New Roman" w:cs="Times New Roman"/>
        </w:rPr>
        <w:t xml:space="preserve"> command is visualized in orange. Period zero indicates the year of promise program adoption and each period on the x-axis reflects a year. The y-axis reflects treatment effect on the treated group compared to the comparison group. </w:t>
      </w:r>
      <w:r w:rsidR="001E4FEB">
        <w:rPr>
          <w:rFonts w:ascii="Times New Roman" w:hAnsi="Times New Roman" w:cs="Times New Roman"/>
        </w:rPr>
        <w:t>Liberal arts</w:t>
      </w:r>
      <w:r>
        <w:rPr>
          <w:rFonts w:ascii="Times New Roman" w:hAnsi="Times New Roman" w:cs="Times New Roman"/>
        </w:rPr>
        <w:t xml:space="preserve"> programs include the following programs from the 2-digit CIP designations: </w:t>
      </w:r>
      <w:r w:rsidRPr="00EF2C5C">
        <w:rPr>
          <w:rFonts w:ascii="Times New Roman" w:hAnsi="Times New Roman" w:cs="Times New Roman"/>
        </w:rPr>
        <w:t>Area, Ethnic, Cultural, and Gender Studies</w:t>
      </w:r>
      <w:r>
        <w:rPr>
          <w:rFonts w:ascii="Times New Roman" w:hAnsi="Times New Roman" w:cs="Times New Roman"/>
        </w:rPr>
        <w:t xml:space="preserve">; </w:t>
      </w:r>
      <w:r w:rsidRPr="00EF2C5C">
        <w:rPr>
          <w:rFonts w:ascii="Times New Roman" w:hAnsi="Times New Roman" w:cs="Times New Roman"/>
        </w:rPr>
        <w:t>Foreign Languages, Literatures, and Linguistics</w:t>
      </w:r>
      <w:r>
        <w:rPr>
          <w:rFonts w:ascii="Times New Roman" w:hAnsi="Times New Roman" w:cs="Times New Roman"/>
        </w:rPr>
        <w:t xml:space="preserve">; </w:t>
      </w:r>
      <w:r w:rsidRPr="00EF2C5C">
        <w:rPr>
          <w:rFonts w:ascii="Times New Roman" w:hAnsi="Times New Roman" w:cs="Times New Roman"/>
        </w:rPr>
        <w:t>English Language and Literature/Letters</w:t>
      </w:r>
      <w:r>
        <w:rPr>
          <w:rFonts w:ascii="Times New Roman" w:hAnsi="Times New Roman" w:cs="Times New Roman"/>
        </w:rPr>
        <w:t xml:space="preserve">; </w:t>
      </w:r>
      <w:r w:rsidRPr="00EF2C5C">
        <w:rPr>
          <w:rFonts w:ascii="Times New Roman" w:hAnsi="Times New Roman" w:cs="Times New Roman"/>
        </w:rPr>
        <w:t>Liberal Arts and Sciences, General Studies and Humanities</w:t>
      </w:r>
      <w:r>
        <w:rPr>
          <w:rFonts w:ascii="Times New Roman" w:hAnsi="Times New Roman" w:cs="Times New Roman"/>
        </w:rPr>
        <w:t xml:space="preserve">; </w:t>
      </w:r>
      <w:r w:rsidRPr="00EF2C5C">
        <w:rPr>
          <w:rFonts w:ascii="Times New Roman" w:hAnsi="Times New Roman" w:cs="Times New Roman"/>
        </w:rPr>
        <w:t>Philosophy and Religious Studies</w:t>
      </w:r>
      <w:r>
        <w:rPr>
          <w:rFonts w:ascii="Times New Roman" w:hAnsi="Times New Roman" w:cs="Times New Roman"/>
        </w:rPr>
        <w:t xml:space="preserve">; </w:t>
      </w:r>
      <w:r w:rsidRPr="00EF2C5C">
        <w:rPr>
          <w:rFonts w:ascii="Times New Roman" w:hAnsi="Times New Roman" w:cs="Times New Roman"/>
        </w:rPr>
        <w:t>Theology and Religious Vocations</w:t>
      </w:r>
      <w:r>
        <w:rPr>
          <w:rFonts w:ascii="Times New Roman" w:hAnsi="Times New Roman" w:cs="Times New Roman"/>
        </w:rPr>
        <w:t xml:space="preserve">; </w:t>
      </w:r>
      <w:r w:rsidRPr="00EF2C5C">
        <w:rPr>
          <w:rFonts w:ascii="Times New Roman" w:hAnsi="Times New Roman" w:cs="Times New Roman"/>
        </w:rPr>
        <w:t>Psychology</w:t>
      </w:r>
      <w:r>
        <w:rPr>
          <w:rFonts w:ascii="Times New Roman" w:hAnsi="Times New Roman" w:cs="Times New Roman"/>
        </w:rPr>
        <w:t xml:space="preserve">; </w:t>
      </w:r>
      <w:r w:rsidRPr="00EF2C5C">
        <w:rPr>
          <w:rFonts w:ascii="Times New Roman" w:hAnsi="Times New Roman" w:cs="Times New Roman"/>
        </w:rPr>
        <w:t>Multi/Interdisciplinary Studies</w:t>
      </w:r>
      <w:r>
        <w:rPr>
          <w:rFonts w:ascii="Times New Roman" w:hAnsi="Times New Roman" w:cs="Times New Roman"/>
        </w:rPr>
        <w:t xml:space="preserve">; </w:t>
      </w:r>
      <w:r w:rsidRPr="00EF2C5C">
        <w:rPr>
          <w:rFonts w:ascii="Times New Roman" w:hAnsi="Times New Roman" w:cs="Times New Roman"/>
        </w:rPr>
        <w:t>Social Sciences</w:t>
      </w:r>
      <w:r>
        <w:rPr>
          <w:rFonts w:ascii="Times New Roman" w:hAnsi="Times New Roman" w:cs="Times New Roman"/>
        </w:rPr>
        <w:t xml:space="preserve">; </w:t>
      </w:r>
      <w:r w:rsidRPr="00EF2C5C">
        <w:rPr>
          <w:rFonts w:ascii="Times New Roman" w:hAnsi="Times New Roman" w:cs="Times New Roman"/>
        </w:rPr>
        <w:t>Visual and Preforming Arts</w:t>
      </w:r>
      <w:r>
        <w:rPr>
          <w:rFonts w:ascii="Times New Roman" w:hAnsi="Times New Roman" w:cs="Times New Roman"/>
        </w:rPr>
        <w:t xml:space="preserve">; and </w:t>
      </w:r>
      <w:r w:rsidRPr="00EF2C5C">
        <w:rPr>
          <w:rFonts w:ascii="Times New Roman" w:hAnsi="Times New Roman" w:cs="Times New Roman"/>
        </w:rPr>
        <w:t>History</w:t>
      </w:r>
      <w:r>
        <w:rPr>
          <w:rFonts w:ascii="Times New Roman" w:hAnsi="Times New Roman" w:cs="Times New Roman"/>
        </w:rPr>
        <w:t xml:space="preserve">. </w:t>
      </w:r>
    </w:p>
    <w:p w14:paraId="2409360E" w14:textId="77777777" w:rsidR="00490BE2" w:rsidRDefault="00490BE2">
      <w:pPr>
        <w:rPr>
          <w:rFonts w:ascii="Times New Roman" w:hAnsi="Times New Roman"/>
          <w:b/>
        </w:rPr>
      </w:pPr>
      <w:r>
        <w:br w:type="page"/>
      </w:r>
    </w:p>
    <w:bookmarkEnd w:id="152"/>
    <w:p w14:paraId="1D67B97F" w14:textId="2E8B7D82" w:rsidR="00E0300F" w:rsidRPr="000166C5" w:rsidRDefault="00091C49" w:rsidP="00B06ECA">
      <w:pPr>
        <w:spacing w:line="480" w:lineRule="auto"/>
        <w:jc w:val="center"/>
        <w:rPr>
          <w:rFonts w:ascii="Times New Roman" w:hAnsi="Times New Roman" w:cs="Times New Roman"/>
        </w:rPr>
      </w:pPr>
      <w:r w:rsidRPr="00091C49">
        <w:rPr>
          <w:rFonts w:ascii="Times New Roman" w:hAnsi="Times New Roman" w:cs="Times New Roman"/>
          <w:noProof/>
        </w:rPr>
        <w:lastRenderedPageBreak/>
        <w:drawing>
          <wp:inline distT="0" distB="0" distL="0" distR="0" wp14:anchorId="093EDF2C" wp14:editId="60DF9FF7">
            <wp:extent cx="5448300" cy="3962400"/>
            <wp:effectExtent l="0" t="0" r="0" b="0"/>
            <wp:docPr id="332076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76124" name=""/>
                    <pic:cNvPicPr/>
                  </pic:nvPicPr>
                  <pic:blipFill>
                    <a:blip r:embed="rId34"/>
                    <a:stretch>
                      <a:fillRect/>
                    </a:stretch>
                  </pic:blipFill>
                  <pic:spPr>
                    <a:xfrm>
                      <a:off x="0" y="0"/>
                      <a:ext cx="5512452" cy="4009056"/>
                    </a:xfrm>
                    <a:prstGeom prst="rect">
                      <a:avLst/>
                    </a:prstGeom>
                  </pic:spPr>
                </pic:pic>
              </a:graphicData>
            </a:graphic>
          </wp:inline>
        </w:drawing>
      </w:r>
    </w:p>
    <w:p w14:paraId="708829C1" w14:textId="77777777" w:rsidR="004F2800" w:rsidRDefault="004F2800" w:rsidP="004F2800">
      <w:pPr>
        <w:pStyle w:val="TableofFigs"/>
        <w:spacing w:line="240" w:lineRule="auto"/>
      </w:pPr>
      <w:bookmarkStart w:id="154" w:name="_Toc179135822"/>
      <w:bookmarkStart w:id="155" w:name="_Toc180144604"/>
      <w:r>
        <w:t>Figure 24</w:t>
      </w:r>
      <w:bookmarkEnd w:id="155"/>
    </w:p>
    <w:p w14:paraId="32B6B897" w14:textId="77777777" w:rsidR="004F2800" w:rsidRPr="00C21408" w:rsidRDefault="004F2800" w:rsidP="004F2800">
      <w:pPr>
        <w:rPr>
          <w:rFonts w:ascii="Times New Roman" w:hAnsi="Times New Roman" w:cs="Times New Roman"/>
          <w:i/>
          <w:iCs/>
        </w:rPr>
      </w:pPr>
      <w:r w:rsidRPr="00C21408">
        <w:rPr>
          <w:rFonts w:ascii="Times New Roman" w:hAnsi="Times New Roman" w:cs="Times New Roman"/>
          <w:i/>
          <w:iCs/>
        </w:rPr>
        <w:t xml:space="preserve">Combined Event Plot: </w:t>
      </w:r>
      <w:r>
        <w:rPr>
          <w:rFonts w:ascii="Times New Roman" w:hAnsi="Times New Roman" w:cs="Times New Roman"/>
          <w:i/>
          <w:iCs/>
        </w:rPr>
        <w:t xml:space="preserve">Human Services Awards </w:t>
      </w:r>
    </w:p>
    <w:p w14:paraId="4E581933" w14:textId="6445201C" w:rsidR="001E4FEB" w:rsidRPr="008536C7" w:rsidRDefault="001E4FEB" w:rsidP="001E4FEB">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awards from </w:t>
      </w:r>
      <w:r w:rsidRPr="004911F8">
        <w:rPr>
          <w:rFonts w:ascii="Times New Roman" w:hAnsi="Times New Roman" w:cs="Times New Roman"/>
        </w:rPr>
        <w:t xml:space="preserve">sub-baccalaureate </w:t>
      </w:r>
      <w:r>
        <w:rPr>
          <w:rFonts w:ascii="Times New Roman" w:hAnsi="Times New Roman" w:cs="Times New Roman"/>
        </w:rPr>
        <w:t xml:space="preserve">human services programs that were granted within the public institutions only sample. This event study visualization combines multiple estimators. The Borusyak et al. </w:t>
      </w:r>
      <w:r w:rsidRPr="000E348D">
        <w:rPr>
          <w:rFonts w:ascii="Times New Roman" w:hAnsi="Times New Roman" w:cs="Times New Roman"/>
          <w:i/>
          <w:iCs/>
        </w:rPr>
        <w:t>did_imputation</w:t>
      </w:r>
      <w:r>
        <w:rPr>
          <w:rFonts w:ascii="Times New Roman" w:hAnsi="Times New Roman" w:cs="Times New Roman"/>
          <w:i/>
          <w:iCs/>
        </w:rPr>
        <w:t xml:space="preserve"> </w:t>
      </w:r>
      <w:r>
        <w:rPr>
          <w:rFonts w:ascii="Times New Roman" w:hAnsi="Times New Roman" w:cs="Times New Roman"/>
        </w:rPr>
        <w:t xml:space="preserve">command is visualized in green. The Sun &amp; Abraham </w:t>
      </w:r>
      <w:r w:rsidRPr="00210BEB">
        <w:rPr>
          <w:rFonts w:ascii="Times New Roman" w:hAnsi="Times New Roman" w:cs="Times New Roman"/>
          <w:i/>
          <w:iCs/>
        </w:rPr>
        <w:t>eventstudyinteract</w:t>
      </w:r>
      <w:r>
        <w:rPr>
          <w:rFonts w:ascii="Times New Roman" w:hAnsi="Times New Roman" w:cs="Times New Roman"/>
        </w:rPr>
        <w:t xml:space="preserve"> command is visualized in blue. The OLS </w:t>
      </w:r>
      <w:r>
        <w:rPr>
          <w:rFonts w:ascii="Times New Roman" w:hAnsi="Times New Roman" w:cs="Times New Roman"/>
          <w:i/>
          <w:iCs/>
        </w:rPr>
        <w:t>reghdfe</w:t>
      </w:r>
      <w:r>
        <w:rPr>
          <w:rFonts w:ascii="Times New Roman" w:hAnsi="Times New Roman" w:cs="Times New Roman"/>
        </w:rPr>
        <w:t xml:space="preserve"> command is visualized in orange. Period zero indicates the year of promise program adoption and each period on the x-axis reflects a year. The y-axis reflects treatment effect on the treated group compared to the comparison group. Human services programs include the following programs from the 2-digit CIP designations: </w:t>
      </w:r>
      <w:r w:rsidRPr="00027769">
        <w:rPr>
          <w:rFonts w:ascii="Times New Roman" w:hAnsi="Times New Roman" w:cs="Times New Roman"/>
        </w:rPr>
        <w:t>Personal and Culinary Services</w:t>
      </w:r>
      <w:r>
        <w:rPr>
          <w:rFonts w:ascii="Times New Roman" w:hAnsi="Times New Roman" w:cs="Times New Roman"/>
        </w:rPr>
        <w:t xml:space="preserve">, </w:t>
      </w:r>
      <w:r w:rsidRPr="00027769">
        <w:rPr>
          <w:rFonts w:ascii="Times New Roman" w:hAnsi="Times New Roman" w:cs="Times New Roman"/>
        </w:rPr>
        <w:t>Family and Consumer Sciences/Human Sciences</w:t>
      </w:r>
      <w:r>
        <w:rPr>
          <w:rFonts w:ascii="Times New Roman" w:hAnsi="Times New Roman" w:cs="Times New Roman"/>
        </w:rPr>
        <w:t xml:space="preserve">, </w:t>
      </w:r>
      <w:r w:rsidRPr="00027769">
        <w:rPr>
          <w:rFonts w:ascii="Times New Roman" w:hAnsi="Times New Roman" w:cs="Times New Roman"/>
        </w:rPr>
        <w:t>Parks, Recreation, Leisure, and Fitness Studies</w:t>
      </w:r>
      <w:r>
        <w:rPr>
          <w:rFonts w:ascii="Times New Roman" w:hAnsi="Times New Roman" w:cs="Times New Roman"/>
        </w:rPr>
        <w:t xml:space="preserve">, </w:t>
      </w:r>
      <w:r w:rsidRPr="00027769">
        <w:rPr>
          <w:rFonts w:ascii="Times New Roman" w:hAnsi="Times New Roman" w:cs="Times New Roman"/>
        </w:rPr>
        <w:t>Basic Skills</w:t>
      </w:r>
      <w:r>
        <w:rPr>
          <w:rFonts w:ascii="Times New Roman" w:hAnsi="Times New Roman" w:cs="Times New Roman"/>
        </w:rPr>
        <w:t xml:space="preserve">, </w:t>
      </w:r>
      <w:r w:rsidRPr="00027769">
        <w:rPr>
          <w:rFonts w:ascii="Times New Roman" w:hAnsi="Times New Roman" w:cs="Times New Roman"/>
        </w:rPr>
        <w:t>Citizenship Activities</w:t>
      </w:r>
      <w:r>
        <w:rPr>
          <w:rFonts w:ascii="Times New Roman" w:hAnsi="Times New Roman" w:cs="Times New Roman"/>
        </w:rPr>
        <w:t xml:space="preserve">, </w:t>
      </w:r>
      <w:r w:rsidRPr="00027769">
        <w:rPr>
          <w:rFonts w:ascii="Times New Roman" w:hAnsi="Times New Roman" w:cs="Times New Roman"/>
        </w:rPr>
        <w:t xml:space="preserve">Health-Related Knowledge </w:t>
      </w:r>
      <w:r w:rsidR="00AE21FD" w:rsidRPr="00027769">
        <w:rPr>
          <w:rFonts w:ascii="Times New Roman" w:hAnsi="Times New Roman" w:cs="Times New Roman"/>
        </w:rPr>
        <w:t>and</w:t>
      </w:r>
      <w:r w:rsidRPr="00027769">
        <w:rPr>
          <w:rFonts w:ascii="Times New Roman" w:hAnsi="Times New Roman" w:cs="Times New Roman"/>
        </w:rPr>
        <w:t xml:space="preserve"> Skills</w:t>
      </w:r>
      <w:r>
        <w:rPr>
          <w:rFonts w:ascii="Times New Roman" w:hAnsi="Times New Roman" w:cs="Times New Roman"/>
        </w:rPr>
        <w:t xml:space="preserve">, </w:t>
      </w:r>
      <w:r w:rsidRPr="00027769">
        <w:rPr>
          <w:rFonts w:ascii="Times New Roman" w:hAnsi="Times New Roman" w:cs="Times New Roman"/>
        </w:rPr>
        <w:t>Interpersonal and Social Skills</w:t>
      </w:r>
      <w:r>
        <w:rPr>
          <w:rFonts w:ascii="Times New Roman" w:hAnsi="Times New Roman" w:cs="Times New Roman"/>
        </w:rPr>
        <w:t xml:space="preserve">, </w:t>
      </w:r>
      <w:r w:rsidRPr="00027769">
        <w:rPr>
          <w:rFonts w:ascii="Times New Roman" w:hAnsi="Times New Roman" w:cs="Times New Roman"/>
        </w:rPr>
        <w:t>Leisure and Recreational Activities</w:t>
      </w:r>
      <w:r>
        <w:rPr>
          <w:rFonts w:ascii="Times New Roman" w:hAnsi="Times New Roman" w:cs="Times New Roman"/>
        </w:rPr>
        <w:t xml:space="preserve">, </w:t>
      </w:r>
      <w:r w:rsidRPr="00027769">
        <w:rPr>
          <w:rFonts w:ascii="Times New Roman" w:hAnsi="Times New Roman" w:cs="Times New Roman"/>
        </w:rPr>
        <w:t>Personal Awareness and Self Improvement</w:t>
      </w:r>
      <w:r>
        <w:rPr>
          <w:rFonts w:ascii="Times New Roman" w:hAnsi="Times New Roman" w:cs="Times New Roman"/>
        </w:rPr>
        <w:t xml:space="preserve">, and </w:t>
      </w:r>
      <w:r w:rsidRPr="00027769">
        <w:rPr>
          <w:rFonts w:ascii="Times New Roman" w:hAnsi="Times New Roman" w:cs="Times New Roman"/>
        </w:rPr>
        <w:t>High School/Secondary Diplomas and Certificates</w:t>
      </w:r>
      <w:r>
        <w:rPr>
          <w:rFonts w:ascii="Times New Roman" w:hAnsi="Times New Roman" w:cs="Times New Roman"/>
        </w:rPr>
        <w:t>.</w:t>
      </w:r>
    </w:p>
    <w:p w14:paraId="2906E0C4" w14:textId="5737669E" w:rsidR="00490BE2" w:rsidRDefault="00490BE2">
      <w:pPr>
        <w:rPr>
          <w:rFonts w:ascii="Times New Roman" w:hAnsi="Times New Roman"/>
          <w:b/>
        </w:rPr>
      </w:pPr>
      <w:r>
        <w:br w:type="page"/>
      </w:r>
    </w:p>
    <w:bookmarkEnd w:id="154"/>
    <w:p w14:paraId="64117799" w14:textId="385ABAFF" w:rsidR="00FC4944" w:rsidRPr="00FC4944" w:rsidRDefault="008046DD" w:rsidP="00B06ECA">
      <w:pPr>
        <w:spacing w:line="480" w:lineRule="auto"/>
        <w:jc w:val="center"/>
        <w:rPr>
          <w:rFonts w:ascii="Times New Roman" w:hAnsi="Times New Roman" w:cs="Times New Roman"/>
        </w:rPr>
      </w:pPr>
      <w:r w:rsidRPr="008046DD">
        <w:rPr>
          <w:rFonts w:ascii="Times New Roman" w:hAnsi="Times New Roman" w:cs="Times New Roman"/>
          <w:noProof/>
        </w:rPr>
        <w:lastRenderedPageBreak/>
        <w:drawing>
          <wp:inline distT="0" distB="0" distL="0" distR="0" wp14:anchorId="6FCC74E2" wp14:editId="411DA98F">
            <wp:extent cx="5459942" cy="3970867"/>
            <wp:effectExtent l="0" t="0" r="1270" b="4445"/>
            <wp:docPr id="340888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88932" name=""/>
                    <pic:cNvPicPr/>
                  </pic:nvPicPr>
                  <pic:blipFill>
                    <a:blip r:embed="rId35"/>
                    <a:stretch>
                      <a:fillRect/>
                    </a:stretch>
                  </pic:blipFill>
                  <pic:spPr>
                    <a:xfrm>
                      <a:off x="0" y="0"/>
                      <a:ext cx="5520793" cy="4015122"/>
                    </a:xfrm>
                    <a:prstGeom prst="rect">
                      <a:avLst/>
                    </a:prstGeom>
                  </pic:spPr>
                </pic:pic>
              </a:graphicData>
            </a:graphic>
          </wp:inline>
        </w:drawing>
      </w:r>
    </w:p>
    <w:p w14:paraId="739BCE9A" w14:textId="77777777" w:rsidR="004F2800" w:rsidRDefault="004F2800" w:rsidP="004F2800">
      <w:pPr>
        <w:pStyle w:val="TableofFigs"/>
        <w:spacing w:line="240" w:lineRule="auto"/>
      </w:pPr>
      <w:bookmarkStart w:id="156" w:name="_Toc180144605"/>
      <w:r>
        <w:t>Figure 25</w:t>
      </w:r>
      <w:bookmarkEnd w:id="156"/>
    </w:p>
    <w:p w14:paraId="3B51D817" w14:textId="77777777" w:rsidR="004F2800" w:rsidRDefault="004F2800" w:rsidP="004F2800">
      <w:pPr>
        <w:rPr>
          <w:rFonts w:ascii="Times New Roman" w:hAnsi="Times New Roman" w:cs="Times New Roman"/>
          <w:i/>
          <w:iCs/>
        </w:rPr>
      </w:pPr>
      <w:r w:rsidRPr="00C21408">
        <w:rPr>
          <w:rFonts w:ascii="Times New Roman" w:hAnsi="Times New Roman" w:cs="Times New Roman"/>
          <w:i/>
          <w:iCs/>
        </w:rPr>
        <w:t xml:space="preserve">Combined Event Plot: </w:t>
      </w:r>
      <w:r>
        <w:rPr>
          <w:rFonts w:ascii="Times New Roman" w:hAnsi="Times New Roman" w:cs="Times New Roman"/>
          <w:i/>
          <w:iCs/>
        </w:rPr>
        <w:t xml:space="preserve">Professional Services Awards </w:t>
      </w:r>
    </w:p>
    <w:p w14:paraId="4629BB68" w14:textId="0FF5787D" w:rsidR="00B53A7E" w:rsidRDefault="00541413" w:rsidP="00541413">
      <w:pPr>
        <w:rPr>
          <w:rFonts w:ascii="Times New Roman" w:hAnsi="Times New Roman" w:cs="Times New Roman"/>
        </w:rPr>
      </w:pPr>
      <w:r w:rsidRPr="008536C7">
        <w:rPr>
          <w:rFonts w:ascii="Times New Roman" w:hAnsi="Times New Roman" w:cs="Times New Roman"/>
        </w:rPr>
        <w:t xml:space="preserve">Natural log </w:t>
      </w:r>
      <w:r>
        <w:rPr>
          <w:rFonts w:ascii="Times New Roman" w:hAnsi="Times New Roman" w:cs="Times New Roman"/>
        </w:rPr>
        <w:t xml:space="preserve">difference between treatment and comparison groups </w:t>
      </w:r>
      <w:r w:rsidRPr="008536C7">
        <w:rPr>
          <w:rFonts w:ascii="Times New Roman" w:hAnsi="Times New Roman" w:cs="Times New Roman"/>
        </w:rPr>
        <w:t>of</w:t>
      </w:r>
      <w:r>
        <w:rPr>
          <w:rFonts w:ascii="Times New Roman" w:hAnsi="Times New Roman" w:cs="Times New Roman"/>
        </w:rPr>
        <w:t xml:space="preserve"> awards from </w:t>
      </w:r>
      <w:r w:rsidRPr="004911F8">
        <w:rPr>
          <w:rFonts w:ascii="Times New Roman" w:hAnsi="Times New Roman" w:cs="Times New Roman"/>
        </w:rPr>
        <w:t xml:space="preserve">sub-baccalaureate </w:t>
      </w:r>
      <w:r>
        <w:rPr>
          <w:rFonts w:ascii="Times New Roman" w:hAnsi="Times New Roman" w:cs="Times New Roman"/>
        </w:rPr>
        <w:t xml:space="preserve">professional services programs that were granted within the public institutions only sample. This event study visualization combines multiple estimators. The Borusyak et al. </w:t>
      </w:r>
      <w:r w:rsidRPr="000E348D">
        <w:rPr>
          <w:rFonts w:ascii="Times New Roman" w:hAnsi="Times New Roman" w:cs="Times New Roman"/>
          <w:i/>
          <w:iCs/>
        </w:rPr>
        <w:t>did_imputation</w:t>
      </w:r>
      <w:r>
        <w:rPr>
          <w:rFonts w:ascii="Times New Roman" w:hAnsi="Times New Roman" w:cs="Times New Roman"/>
          <w:i/>
          <w:iCs/>
        </w:rPr>
        <w:t xml:space="preserve"> </w:t>
      </w:r>
      <w:r>
        <w:rPr>
          <w:rFonts w:ascii="Times New Roman" w:hAnsi="Times New Roman" w:cs="Times New Roman"/>
        </w:rPr>
        <w:t xml:space="preserve">command is visualized in green. The Sun &amp; Abraham </w:t>
      </w:r>
      <w:r w:rsidRPr="00210BEB">
        <w:rPr>
          <w:rFonts w:ascii="Times New Roman" w:hAnsi="Times New Roman" w:cs="Times New Roman"/>
          <w:i/>
          <w:iCs/>
        </w:rPr>
        <w:t>eventstudyinteract</w:t>
      </w:r>
      <w:r>
        <w:rPr>
          <w:rFonts w:ascii="Times New Roman" w:hAnsi="Times New Roman" w:cs="Times New Roman"/>
        </w:rPr>
        <w:t xml:space="preserve"> command is visualized in blue. The OLS </w:t>
      </w:r>
      <w:r>
        <w:rPr>
          <w:rFonts w:ascii="Times New Roman" w:hAnsi="Times New Roman" w:cs="Times New Roman"/>
          <w:i/>
          <w:iCs/>
        </w:rPr>
        <w:t>reghdfe</w:t>
      </w:r>
      <w:r>
        <w:rPr>
          <w:rFonts w:ascii="Times New Roman" w:hAnsi="Times New Roman" w:cs="Times New Roman"/>
        </w:rPr>
        <w:t xml:space="preserve"> command is visualized in orange. Period zero indicates the year of promise program adoption and each period on the x-axis reflects a year. The y-axis reflects treatment effect on the treated group compared to the comparison group. Professional services programs include the following programs from the 2-digit CIP designations: </w:t>
      </w:r>
      <w:r w:rsidRPr="00541413">
        <w:rPr>
          <w:rFonts w:ascii="Times New Roman" w:hAnsi="Times New Roman" w:cs="Times New Roman"/>
        </w:rPr>
        <w:t>Architecture and Related Services</w:t>
      </w:r>
      <w:r>
        <w:rPr>
          <w:rFonts w:ascii="Times New Roman" w:hAnsi="Times New Roman" w:cs="Times New Roman"/>
        </w:rPr>
        <w:t xml:space="preserve">; </w:t>
      </w:r>
      <w:r w:rsidRPr="00541413">
        <w:rPr>
          <w:rFonts w:ascii="Times New Roman" w:hAnsi="Times New Roman" w:cs="Times New Roman"/>
        </w:rPr>
        <w:t>Communication, Journalism, and Related Programs</w:t>
      </w:r>
      <w:r>
        <w:rPr>
          <w:rFonts w:ascii="Times New Roman" w:hAnsi="Times New Roman" w:cs="Times New Roman"/>
        </w:rPr>
        <w:t xml:space="preserve">; </w:t>
      </w:r>
      <w:r w:rsidRPr="00541413">
        <w:rPr>
          <w:rFonts w:ascii="Times New Roman" w:hAnsi="Times New Roman" w:cs="Times New Roman"/>
        </w:rPr>
        <w:t>Communications Technologies/Technicians and Support Services</w:t>
      </w:r>
      <w:r>
        <w:rPr>
          <w:rFonts w:ascii="Times New Roman" w:hAnsi="Times New Roman" w:cs="Times New Roman"/>
        </w:rPr>
        <w:t xml:space="preserve">; </w:t>
      </w:r>
      <w:r w:rsidRPr="00541413">
        <w:rPr>
          <w:rFonts w:ascii="Times New Roman" w:hAnsi="Times New Roman" w:cs="Times New Roman"/>
        </w:rPr>
        <w:t>Education</w:t>
      </w:r>
      <w:r>
        <w:rPr>
          <w:rFonts w:ascii="Times New Roman" w:hAnsi="Times New Roman" w:cs="Times New Roman"/>
        </w:rPr>
        <w:t xml:space="preserve">; </w:t>
      </w:r>
      <w:r w:rsidRPr="00541413">
        <w:rPr>
          <w:rFonts w:ascii="Times New Roman" w:hAnsi="Times New Roman" w:cs="Times New Roman"/>
        </w:rPr>
        <w:t>Legal Professions and Studies</w:t>
      </w:r>
      <w:r>
        <w:rPr>
          <w:rFonts w:ascii="Times New Roman" w:hAnsi="Times New Roman" w:cs="Times New Roman"/>
        </w:rPr>
        <w:t xml:space="preserve">; </w:t>
      </w:r>
      <w:r w:rsidRPr="00541413">
        <w:rPr>
          <w:rFonts w:ascii="Times New Roman" w:hAnsi="Times New Roman" w:cs="Times New Roman"/>
        </w:rPr>
        <w:t>Library Science</w:t>
      </w:r>
      <w:r>
        <w:rPr>
          <w:rFonts w:ascii="Times New Roman" w:hAnsi="Times New Roman" w:cs="Times New Roman"/>
        </w:rPr>
        <w:t xml:space="preserve">; </w:t>
      </w:r>
      <w:r w:rsidRPr="00541413">
        <w:rPr>
          <w:rFonts w:ascii="Times New Roman" w:hAnsi="Times New Roman" w:cs="Times New Roman"/>
        </w:rPr>
        <w:t>Reserve Officer Training Corps (JROTC, ROTC)</w:t>
      </w:r>
      <w:r>
        <w:rPr>
          <w:rFonts w:ascii="Times New Roman" w:hAnsi="Times New Roman" w:cs="Times New Roman"/>
        </w:rPr>
        <w:t xml:space="preserve">; </w:t>
      </w:r>
      <w:r w:rsidRPr="00541413">
        <w:rPr>
          <w:rFonts w:ascii="Times New Roman" w:hAnsi="Times New Roman" w:cs="Times New Roman"/>
        </w:rPr>
        <w:t>Military Technologies</w:t>
      </w:r>
      <w:r>
        <w:rPr>
          <w:rFonts w:ascii="Times New Roman" w:hAnsi="Times New Roman" w:cs="Times New Roman"/>
        </w:rPr>
        <w:t xml:space="preserve">; </w:t>
      </w:r>
      <w:r w:rsidRPr="00541413">
        <w:rPr>
          <w:rFonts w:ascii="Times New Roman" w:hAnsi="Times New Roman" w:cs="Times New Roman"/>
        </w:rPr>
        <w:t>Security and Protective Services</w:t>
      </w:r>
      <w:r>
        <w:rPr>
          <w:rFonts w:ascii="Times New Roman" w:hAnsi="Times New Roman" w:cs="Times New Roman"/>
        </w:rPr>
        <w:t xml:space="preserve">; </w:t>
      </w:r>
      <w:r w:rsidRPr="00541413">
        <w:rPr>
          <w:rFonts w:ascii="Times New Roman" w:hAnsi="Times New Roman" w:cs="Times New Roman"/>
        </w:rPr>
        <w:t>Public Administration and Social Service Professions</w:t>
      </w:r>
      <w:r>
        <w:rPr>
          <w:rFonts w:ascii="Times New Roman" w:hAnsi="Times New Roman" w:cs="Times New Roman"/>
        </w:rPr>
        <w:t xml:space="preserve">; </w:t>
      </w:r>
      <w:r w:rsidRPr="00541413">
        <w:rPr>
          <w:rFonts w:ascii="Times New Roman" w:hAnsi="Times New Roman" w:cs="Times New Roman"/>
        </w:rPr>
        <w:t>Health Professions and Related Clinical Services</w:t>
      </w:r>
      <w:r>
        <w:rPr>
          <w:rFonts w:ascii="Times New Roman" w:hAnsi="Times New Roman" w:cs="Times New Roman"/>
        </w:rPr>
        <w:t xml:space="preserve">; and </w:t>
      </w:r>
      <w:r w:rsidRPr="00541413">
        <w:rPr>
          <w:rFonts w:ascii="Times New Roman" w:hAnsi="Times New Roman" w:cs="Times New Roman"/>
        </w:rPr>
        <w:t>Business, Management, Marketing, and Related Support Services</w:t>
      </w:r>
      <w:r>
        <w:rPr>
          <w:rFonts w:ascii="Times New Roman" w:hAnsi="Times New Roman" w:cs="Times New Roman"/>
        </w:rPr>
        <w:t xml:space="preserve">. </w:t>
      </w:r>
      <w:r w:rsidR="00B53A7E">
        <w:rPr>
          <w:rFonts w:ascii="Times New Roman" w:hAnsi="Times New Roman" w:cs="Times New Roman"/>
        </w:rPr>
        <w:br w:type="page"/>
      </w:r>
    </w:p>
    <w:p w14:paraId="63866A26" w14:textId="29235047" w:rsidR="009D1222" w:rsidRPr="00876C06" w:rsidRDefault="009D1222" w:rsidP="008524FA">
      <w:pPr>
        <w:spacing w:line="480" w:lineRule="auto"/>
        <w:ind w:firstLine="720"/>
        <w:rPr>
          <w:rFonts w:ascii="Times New Roman" w:hAnsi="Times New Roman" w:cs="Times New Roman"/>
        </w:rPr>
      </w:pPr>
      <w:r>
        <w:rPr>
          <w:rFonts w:ascii="Times New Roman" w:hAnsi="Times New Roman" w:cs="Times New Roman"/>
        </w:rPr>
        <w:lastRenderedPageBreak/>
        <w:t>The finding that none of the models that meet the parallel trends assumption across both the event study and imputation approaches to my study produce</w:t>
      </w:r>
      <w:r w:rsidR="001D3DF4">
        <w:rPr>
          <w:rFonts w:ascii="Times New Roman" w:hAnsi="Times New Roman" w:cs="Times New Roman"/>
        </w:rPr>
        <w:t>d</w:t>
      </w:r>
      <w:r>
        <w:rPr>
          <w:rFonts w:ascii="Times New Roman" w:hAnsi="Times New Roman" w:cs="Times New Roman"/>
        </w:rPr>
        <w:t xml:space="preserve"> results that serve</w:t>
      </w:r>
      <w:r w:rsidR="00876C06">
        <w:rPr>
          <w:rFonts w:ascii="Times New Roman" w:hAnsi="Times New Roman" w:cs="Times New Roman"/>
        </w:rPr>
        <w:t>d</w:t>
      </w:r>
      <w:r>
        <w:rPr>
          <w:rFonts w:ascii="Times New Roman" w:hAnsi="Times New Roman" w:cs="Times New Roman"/>
        </w:rPr>
        <w:t xml:space="preserve"> to confirm the robustness of either mode is concerning. It suggests that my findings </w:t>
      </w:r>
      <w:r w:rsidR="00876C06">
        <w:rPr>
          <w:rFonts w:ascii="Times New Roman" w:hAnsi="Times New Roman" w:cs="Times New Roman"/>
        </w:rPr>
        <w:t>were</w:t>
      </w:r>
      <w:r>
        <w:rPr>
          <w:rFonts w:ascii="Times New Roman" w:hAnsi="Times New Roman" w:cs="Times New Roman"/>
        </w:rPr>
        <w:t xml:space="preserve"> not robust and that there may </w:t>
      </w:r>
      <w:r w:rsidR="00876C06">
        <w:rPr>
          <w:rFonts w:ascii="Times New Roman" w:hAnsi="Times New Roman" w:cs="Times New Roman"/>
        </w:rPr>
        <w:t>have been</w:t>
      </w:r>
      <w:r>
        <w:rPr>
          <w:rFonts w:ascii="Times New Roman" w:hAnsi="Times New Roman" w:cs="Times New Roman"/>
        </w:rPr>
        <w:t xml:space="preserve"> concerns regarding external validity. However, given the documented issues with Borusyak et al.’s </w:t>
      </w:r>
      <w:r w:rsidR="00055D10">
        <w:rPr>
          <w:rFonts w:ascii="Times New Roman" w:hAnsi="Times New Roman" w:cs="Times New Roman"/>
        </w:rPr>
        <w:t>(</w:t>
      </w:r>
      <w:r w:rsidR="004120E5">
        <w:rPr>
          <w:rFonts w:ascii="Times New Roman" w:hAnsi="Times New Roman" w:cs="Times New Roman"/>
        </w:rPr>
        <w:t>2020</w:t>
      </w:r>
      <w:r w:rsidR="00055D10">
        <w:rPr>
          <w:rFonts w:ascii="Times New Roman" w:hAnsi="Times New Roman" w:cs="Times New Roman"/>
        </w:rPr>
        <w:t xml:space="preserve">) </w:t>
      </w:r>
      <w:r>
        <w:rPr>
          <w:rFonts w:ascii="Times New Roman" w:hAnsi="Times New Roman" w:cs="Times New Roman"/>
        </w:rPr>
        <w:t xml:space="preserve">imputation approach in estimating correct coefficients and my model’s complexity due to unit-specific time trends, I </w:t>
      </w:r>
      <w:r w:rsidR="00876C06">
        <w:rPr>
          <w:rFonts w:ascii="Times New Roman" w:hAnsi="Times New Roman" w:cs="Times New Roman"/>
        </w:rPr>
        <w:t>found</w:t>
      </w:r>
      <w:r>
        <w:rPr>
          <w:rFonts w:ascii="Times New Roman" w:hAnsi="Times New Roman" w:cs="Times New Roman"/>
        </w:rPr>
        <w:t xml:space="preserve"> it important to not totally discount the findings of my preferred Sun and Abraham model. </w:t>
      </w:r>
    </w:p>
    <w:p w14:paraId="572F643E" w14:textId="0AEDE907" w:rsidR="00135FD5" w:rsidRPr="00135FD5" w:rsidRDefault="001C456E" w:rsidP="008524FA">
      <w:pPr>
        <w:pStyle w:val="Heading3"/>
        <w:spacing w:before="0" w:after="0"/>
      </w:pPr>
      <w:bookmarkStart w:id="157" w:name="_Toc183282286"/>
      <w:r>
        <w:t>Decompo</w:t>
      </w:r>
      <w:r w:rsidR="00E72E77">
        <w:t>sition Approach Results</w:t>
      </w:r>
      <w:bookmarkEnd w:id="157"/>
      <w:r w:rsidR="00E72E77">
        <w:t xml:space="preserve"> </w:t>
      </w:r>
    </w:p>
    <w:p w14:paraId="053081B8" w14:textId="49F3E351" w:rsidR="00703438" w:rsidRDefault="00726FB4" w:rsidP="008524FA">
      <w:pPr>
        <w:spacing w:line="480" w:lineRule="auto"/>
        <w:rPr>
          <w:rFonts w:ascii="Times New Roman" w:hAnsi="Times New Roman" w:cs="Times New Roman"/>
        </w:rPr>
      </w:pPr>
      <w:r>
        <w:rPr>
          <w:rFonts w:ascii="Times New Roman" w:hAnsi="Times New Roman" w:cs="Times New Roman"/>
        </w:rPr>
        <w:tab/>
        <w:t>I utilize</w:t>
      </w:r>
      <w:r w:rsidR="004455FA">
        <w:rPr>
          <w:rFonts w:ascii="Times New Roman" w:hAnsi="Times New Roman" w:cs="Times New Roman"/>
        </w:rPr>
        <w:t>d</w:t>
      </w:r>
      <w:r>
        <w:rPr>
          <w:rFonts w:ascii="Times New Roman" w:hAnsi="Times New Roman" w:cs="Times New Roman"/>
        </w:rPr>
        <w:t xml:space="preserve"> </w:t>
      </w:r>
      <w:r w:rsidRPr="00546D52">
        <w:rPr>
          <w:rFonts w:ascii="Times New Roman" w:hAnsi="Times New Roman" w:cs="Times New Roman"/>
        </w:rPr>
        <w:t xml:space="preserve">de Chaisemartin </w:t>
      </w:r>
      <w:r w:rsidR="005403C9">
        <w:rPr>
          <w:rFonts w:ascii="Times New Roman" w:hAnsi="Times New Roman" w:cs="Times New Roman"/>
        </w:rPr>
        <w:t>and</w:t>
      </w:r>
      <w:r w:rsidRPr="00546D52">
        <w:rPr>
          <w:rFonts w:ascii="Times New Roman" w:hAnsi="Times New Roman" w:cs="Times New Roman"/>
        </w:rPr>
        <w:t xml:space="preserve"> D'Haultfœuille’s (2020) </w:t>
      </w:r>
      <w:r>
        <w:rPr>
          <w:rFonts w:ascii="Times New Roman" w:hAnsi="Times New Roman" w:cs="Times New Roman"/>
        </w:rPr>
        <w:t>decomposition approach as a second method to examine the robustness of my findings</w:t>
      </w:r>
      <w:r w:rsidR="001B6034">
        <w:rPr>
          <w:rFonts w:ascii="Times New Roman" w:hAnsi="Times New Roman" w:cs="Times New Roman"/>
        </w:rPr>
        <w:t xml:space="preserve"> while also diagnosing potential issues with negative weighting in my data</w:t>
      </w:r>
      <w:r>
        <w:rPr>
          <w:rFonts w:ascii="Times New Roman" w:hAnsi="Times New Roman" w:cs="Times New Roman"/>
        </w:rPr>
        <w:t xml:space="preserve">. </w:t>
      </w:r>
      <w:r w:rsidR="007A0152">
        <w:rPr>
          <w:rFonts w:ascii="Times New Roman" w:hAnsi="Times New Roman" w:cs="Times New Roman"/>
        </w:rPr>
        <w:t xml:space="preserve">De </w:t>
      </w:r>
      <w:r w:rsidR="00984B38" w:rsidRPr="00546D52">
        <w:rPr>
          <w:rFonts w:ascii="Times New Roman" w:hAnsi="Times New Roman" w:cs="Times New Roman"/>
        </w:rPr>
        <w:t xml:space="preserve">Chaisemartin &amp; D'Haultfœuille </w:t>
      </w:r>
      <w:r w:rsidR="00BC23B6">
        <w:rPr>
          <w:rFonts w:ascii="Times New Roman" w:hAnsi="Times New Roman" w:cs="Times New Roman"/>
        </w:rPr>
        <w:t>posit</w:t>
      </w:r>
      <w:r w:rsidR="004455FA">
        <w:rPr>
          <w:rFonts w:ascii="Times New Roman" w:hAnsi="Times New Roman" w:cs="Times New Roman"/>
        </w:rPr>
        <w:t>ed</w:t>
      </w:r>
      <w:r w:rsidR="00BC23B6">
        <w:rPr>
          <w:rFonts w:ascii="Times New Roman" w:hAnsi="Times New Roman" w:cs="Times New Roman"/>
        </w:rPr>
        <w:t xml:space="preserve"> that </w:t>
      </w:r>
      <w:r w:rsidR="006F5D15" w:rsidRPr="006F5D15">
        <w:rPr>
          <w:rFonts w:ascii="Times New Roman" w:hAnsi="Times New Roman" w:cs="Times New Roman"/>
        </w:rPr>
        <w:t xml:space="preserve">the conventional DID estimator </w:t>
      </w:r>
      <w:r w:rsidR="004455FA">
        <w:rPr>
          <w:rFonts w:ascii="Times New Roman" w:hAnsi="Times New Roman" w:cs="Times New Roman"/>
        </w:rPr>
        <w:t>could</w:t>
      </w:r>
      <w:r w:rsidR="006F5D15" w:rsidRPr="006F5D15">
        <w:rPr>
          <w:rFonts w:ascii="Times New Roman" w:hAnsi="Times New Roman" w:cs="Times New Roman"/>
        </w:rPr>
        <w:t xml:space="preserve"> be expressed as a weighted average of causal effects (ATEs) across group-time cells, some of which are assigned </w:t>
      </w:r>
      <w:r w:rsidR="006F5D15" w:rsidRPr="00BC23B6">
        <w:rPr>
          <w:rFonts w:ascii="Times New Roman" w:hAnsi="Times New Roman" w:cs="Times New Roman"/>
        </w:rPr>
        <w:t>negative weights</w:t>
      </w:r>
      <w:r w:rsidR="00DE7AD3">
        <w:rPr>
          <w:rFonts w:ascii="Times New Roman" w:hAnsi="Times New Roman" w:cs="Times New Roman"/>
        </w:rPr>
        <w:t xml:space="preserve">. </w:t>
      </w:r>
      <w:r w:rsidR="004455FA">
        <w:rPr>
          <w:rFonts w:ascii="Times New Roman" w:hAnsi="Times New Roman" w:cs="Times New Roman"/>
        </w:rPr>
        <w:t>I used</w:t>
      </w:r>
      <w:r>
        <w:rPr>
          <w:rFonts w:ascii="Times New Roman" w:hAnsi="Times New Roman" w:cs="Times New Roman"/>
        </w:rPr>
        <w:t xml:space="preserve"> </w:t>
      </w:r>
      <w:r w:rsidR="004F5E4C">
        <w:rPr>
          <w:rFonts w:ascii="Times New Roman" w:hAnsi="Times New Roman" w:cs="Times New Roman"/>
        </w:rPr>
        <w:t>this approach</w:t>
      </w:r>
      <w:r>
        <w:rPr>
          <w:rFonts w:ascii="Times New Roman" w:hAnsi="Times New Roman" w:cs="Times New Roman"/>
        </w:rPr>
        <w:t xml:space="preserve"> to arrive at </w:t>
      </w:r>
      <w:r w:rsidR="009453E6">
        <w:rPr>
          <w:rFonts w:ascii="Times New Roman" w:hAnsi="Times New Roman" w:cs="Times New Roman"/>
        </w:rPr>
        <w:t>estimate</w:t>
      </w:r>
      <w:r w:rsidR="00EA3FA3">
        <w:rPr>
          <w:rFonts w:ascii="Times New Roman" w:hAnsi="Times New Roman" w:cs="Times New Roman"/>
        </w:rPr>
        <w:t>s of effect in a staggered difference-in-difference design</w:t>
      </w:r>
      <w:r w:rsidR="004455FA">
        <w:rPr>
          <w:rFonts w:ascii="Times New Roman" w:hAnsi="Times New Roman" w:cs="Times New Roman"/>
        </w:rPr>
        <w:t xml:space="preserve"> which was</w:t>
      </w:r>
      <w:r w:rsidR="00EA3FA3">
        <w:rPr>
          <w:rFonts w:ascii="Times New Roman" w:hAnsi="Times New Roman" w:cs="Times New Roman"/>
        </w:rPr>
        <w:t xml:space="preserve"> useful in two ways. First, it </w:t>
      </w:r>
      <w:r w:rsidR="004455FA">
        <w:rPr>
          <w:rFonts w:ascii="Times New Roman" w:hAnsi="Times New Roman" w:cs="Times New Roman"/>
        </w:rPr>
        <w:t>was</w:t>
      </w:r>
      <w:r w:rsidR="00EA3FA3">
        <w:rPr>
          <w:rFonts w:ascii="Times New Roman" w:hAnsi="Times New Roman" w:cs="Times New Roman"/>
        </w:rPr>
        <w:t xml:space="preserve"> an additional way to examine</w:t>
      </w:r>
      <w:r w:rsidR="00734BAC">
        <w:rPr>
          <w:rFonts w:ascii="Times New Roman" w:hAnsi="Times New Roman" w:cs="Times New Roman"/>
        </w:rPr>
        <w:t xml:space="preserve"> average</w:t>
      </w:r>
      <w:r w:rsidR="00EA3FA3">
        <w:rPr>
          <w:rFonts w:ascii="Times New Roman" w:hAnsi="Times New Roman" w:cs="Times New Roman"/>
        </w:rPr>
        <w:t xml:space="preserve"> effe</w:t>
      </w:r>
      <w:r w:rsidR="00900D68">
        <w:rPr>
          <w:rFonts w:ascii="Times New Roman" w:hAnsi="Times New Roman" w:cs="Times New Roman"/>
        </w:rPr>
        <w:t>ct on the treated</w:t>
      </w:r>
      <w:r w:rsidR="00B2001B">
        <w:rPr>
          <w:rFonts w:ascii="Times New Roman" w:hAnsi="Times New Roman" w:cs="Times New Roman"/>
        </w:rPr>
        <w:t xml:space="preserve">. </w:t>
      </w:r>
      <w:r w:rsidR="00423FFF">
        <w:rPr>
          <w:rFonts w:ascii="Times New Roman" w:hAnsi="Times New Roman" w:cs="Times New Roman"/>
        </w:rPr>
        <w:t>Albeit</w:t>
      </w:r>
      <w:r w:rsidR="00B2001B">
        <w:rPr>
          <w:rFonts w:ascii="Times New Roman" w:hAnsi="Times New Roman" w:cs="Times New Roman"/>
        </w:rPr>
        <w:t xml:space="preserve"> this estimate </w:t>
      </w:r>
      <w:r w:rsidR="004455FA">
        <w:rPr>
          <w:rFonts w:ascii="Times New Roman" w:hAnsi="Times New Roman" w:cs="Times New Roman"/>
        </w:rPr>
        <w:t>was</w:t>
      </w:r>
      <w:r w:rsidR="00B2001B">
        <w:rPr>
          <w:rFonts w:ascii="Times New Roman" w:hAnsi="Times New Roman" w:cs="Times New Roman"/>
        </w:rPr>
        <w:t xml:space="preserve"> produced as a singular average treatment effect or ATT on the treated</w:t>
      </w:r>
      <w:r w:rsidR="004B3A58">
        <w:rPr>
          <w:rFonts w:ascii="Times New Roman" w:hAnsi="Times New Roman" w:cs="Times New Roman"/>
        </w:rPr>
        <w:t xml:space="preserve"> that </w:t>
      </w:r>
      <w:r w:rsidR="004455FA">
        <w:rPr>
          <w:rFonts w:ascii="Times New Roman" w:hAnsi="Times New Roman" w:cs="Times New Roman"/>
        </w:rPr>
        <w:t>was</w:t>
      </w:r>
      <w:r w:rsidR="004B3A58">
        <w:rPr>
          <w:rFonts w:ascii="Times New Roman" w:hAnsi="Times New Roman" w:cs="Times New Roman"/>
        </w:rPr>
        <w:t xml:space="preserve"> not bound to a window </w:t>
      </w:r>
      <w:r w:rsidR="005B130A">
        <w:rPr>
          <w:rFonts w:ascii="Times New Roman" w:hAnsi="Times New Roman" w:cs="Times New Roman"/>
        </w:rPr>
        <w:t xml:space="preserve">on pre-treatment and post-treatment </w:t>
      </w:r>
      <w:r w:rsidR="0024598C">
        <w:rPr>
          <w:rFonts w:ascii="Times New Roman" w:hAnsi="Times New Roman" w:cs="Times New Roman"/>
        </w:rPr>
        <w:t xml:space="preserve">periods. </w:t>
      </w:r>
      <w:r w:rsidR="006113DA">
        <w:rPr>
          <w:rFonts w:ascii="Times New Roman" w:hAnsi="Times New Roman" w:cs="Times New Roman"/>
        </w:rPr>
        <w:t xml:space="preserve">This </w:t>
      </w:r>
      <w:r w:rsidR="004455FA">
        <w:rPr>
          <w:rFonts w:ascii="Times New Roman" w:hAnsi="Times New Roman" w:cs="Times New Roman"/>
        </w:rPr>
        <w:t>meant</w:t>
      </w:r>
      <w:r w:rsidR="006113DA">
        <w:rPr>
          <w:rFonts w:ascii="Times New Roman" w:hAnsi="Times New Roman" w:cs="Times New Roman"/>
        </w:rPr>
        <w:t xml:space="preserve"> that an ATT produced via th</w:t>
      </w:r>
      <w:r w:rsidR="006E7CDC">
        <w:rPr>
          <w:rFonts w:ascii="Times New Roman" w:hAnsi="Times New Roman" w:cs="Times New Roman"/>
        </w:rPr>
        <w:t xml:space="preserve">is decomposition approach </w:t>
      </w:r>
      <w:r w:rsidR="006301D7">
        <w:rPr>
          <w:rFonts w:ascii="Times New Roman" w:hAnsi="Times New Roman" w:cs="Times New Roman"/>
        </w:rPr>
        <w:t>feature</w:t>
      </w:r>
      <w:r w:rsidR="004455FA">
        <w:rPr>
          <w:rFonts w:ascii="Times New Roman" w:hAnsi="Times New Roman" w:cs="Times New Roman"/>
        </w:rPr>
        <w:t>d</w:t>
      </w:r>
      <w:r w:rsidR="006301D7">
        <w:rPr>
          <w:rFonts w:ascii="Times New Roman" w:hAnsi="Times New Roman" w:cs="Times New Roman"/>
        </w:rPr>
        <w:t xml:space="preserve"> influence from the later post-treatment periods of early treated units and </w:t>
      </w:r>
      <w:r w:rsidR="00E864E8">
        <w:rPr>
          <w:rFonts w:ascii="Times New Roman" w:hAnsi="Times New Roman" w:cs="Times New Roman"/>
        </w:rPr>
        <w:t xml:space="preserve">earlier pre-treatment periods of later treated units. </w:t>
      </w:r>
      <w:r w:rsidR="00166739">
        <w:rPr>
          <w:rFonts w:ascii="Times New Roman" w:hAnsi="Times New Roman" w:cs="Times New Roman"/>
        </w:rPr>
        <w:t>Second, it also provide</w:t>
      </w:r>
      <w:r w:rsidR="004455FA">
        <w:rPr>
          <w:rFonts w:ascii="Times New Roman" w:hAnsi="Times New Roman" w:cs="Times New Roman"/>
        </w:rPr>
        <w:t>d</w:t>
      </w:r>
      <w:r w:rsidR="00166739">
        <w:rPr>
          <w:rFonts w:ascii="Times New Roman" w:hAnsi="Times New Roman" w:cs="Times New Roman"/>
        </w:rPr>
        <w:t xml:space="preserve"> a means to not only identify the number of negative weights created in my </w:t>
      </w:r>
      <w:r w:rsidR="00166739">
        <w:rPr>
          <w:rFonts w:ascii="Times New Roman" w:hAnsi="Times New Roman" w:cs="Times New Roman"/>
        </w:rPr>
        <w:lastRenderedPageBreak/>
        <w:t xml:space="preserve">estimation of an effect but also how strong those weights </w:t>
      </w:r>
      <w:r w:rsidR="004455FA">
        <w:rPr>
          <w:rFonts w:ascii="Times New Roman" w:hAnsi="Times New Roman" w:cs="Times New Roman"/>
        </w:rPr>
        <w:t>were</w:t>
      </w:r>
      <w:r w:rsidR="00166739">
        <w:rPr>
          <w:rFonts w:ascii="Times New Roman" w:hAnsi="Times New Roman" w:cs="Times New Roman"/>
        </w:rPr>
        <w:t xml:space="preserve"> which is informative regarding negative </w:t>
      </w:r>
      <w:r w:rsidR="007B7E53">
        <w:rPr>
          <w:rFonts w:ascii="Times New Roman" w:hAnsi="Times New Roman" w:cs="Times New Roman"/>
        </w:rPr>
        <w:t xml:space="preserve">weights issues common to staggered difference-in-difference designs. </w:t>
      </w:r>
      <w:r w:rsidR="00D410AE">
        <w:rPr>
          <w:rFonts w:ascii="Times New Roman" w:hAnsi="Times New Roman" w:cs="Times New Roman"/>
        </w:rPr>
        <w:t>I provide ATT</w:t>
      </w:r>
      <w:r w:rsidR="004E4A87">
        <w:rPr>
          <w:rFonts w:ascii="Times New Roman" w:hAnsi="Times New Roman" w:cs="Times New Roman"/>
        </w:rPr>
        <w:t xml:space="preserve"> estimates</w:t>
      </w:r>
      <w:r w:rsidR="00D410AE">
        <w:rPr>
          <w:rFonts w:ascii="Times New Roman" w:hAnsi="Times New Roman" w:cs="Times New Roman"/>
        </w:rPr>
        <w:t xml:space="preserve">, negative weight counts, and </w:t>
      </w:r>
      <w:r w:rsidR="007F14E3">
        <w:rPr>
          <w:rFonts w:ascii="Times New Roman" w:hAnsi="Times New Roman" w:cs="Times New Roman"/>
        </w:rPr>
        <w:t>the sum of those negative weights</w:t>
      </w:r>
      <w:r w:rsidR="00D410AE">
        <w:rPr>
          <w:rFonts w:ascii="Times New Roman" w:hAnsi="Times New Roman" w:cs="Times New Roman"/>
        </w:rPr>
        <w:t xml:space="preserve"> in </w:t>
      </w:r>
      <w:r w:rsidR="00D410AE" w:rsidRPr="008524FA">
        <w:rPr>
          <w:rFonts w:ascii="Times New Roman" w:hAnsi="Times New Roman" w:cs="Times New Roman"/>
          <w:b/>
          <w:bCs/>
        </w:rPr>
        <w:t>Table 1</w:t>
      </w:r>
      <w:r w:rsidR="00C253F6" w:rsidRPr="008524FA">
        <w:rPr>
          <w:rFonts w:ascii="Times New Roman" w:hAnsi="Times New Roman" w:cs="Times New Roman"/>
          <w:b/>
          <w:bCs/>
        </w:rPr>
        <w:t>1</w:t>
      </w:r>
      <w:r w:rsidR="00D410AE">
        <w:rPr>
          <w:rFonts w:ascii="Times New Roman" w:hAnsi="Times New Roman" w:cs="Times New Roman"/>
        </w:rPr>
        <w:t xml:space="preserve">. </w:t>
      </w:r>
    </w:p>
    <w:p w14:paraId="29FE84F4" w14:textId="3981550B" w:rsidR="00EF63F3" w:rsidRDefault="00EF63F3" w:rsidP="008524FA">
      <w:pPr>
        <w:spacing w:line="480" w:lineRule="auto"/>
        <w:rPr>
          <w:rFonts w:ascii="Times New Roman" w:hAnsi="Times New Roman" w:cs="Times New Roman"/>
        </w:rPr>
      </w:pPr>
      <w:r>
        <w:tab/>
      </w:r>
      <w:r w:rsidRPr="004104ED">
        <w:rPr>
          <w:rFonts w:ascii="Times New Roman" w:hAnsi="Times New Roman" w:cs="Times New Roman"/>
        </w:rPr>
        <w:t xml:space="preserve">For each of these outcome variables, </w:t>
      </w:r>
      <w:r w:rsidR="001B2791">
        <w:rPr>
          <w:rFonts w:ascii="Times New Roman" w:hAnsi="Times New Roman" w:cs="Times New Roman"/>
        </w:rPr>
        <w:t xml:space="preserve">I found </w:t>
      </w:r>
      <w:r w:rsidRPr="004104ED">
        <w:rPr>
          <w:rFonts w:ascii="Times New Roman" w:hAnsi="Times New Roman" w:cs="Times New Roman"/>
        </w:rPr>
        <w:t xml:space="preserve">the models constructed through the decomposition approach </w:t>
      </w:r>
      <w:r w:rsidR="001B2791">
        <w:rPr>
          <w:rFonts w:ascii="Times New Roman" w:hAnsi="Times New Roman" w:cs="Times New Roman"/>
        </w:rPr>
        <w:t xml:space="preserve">did not </w:t>
      </w:r>
      <w:r w:rsidR="007B737C">
        <w:rPr>
          <w:rFonts w:ascii="Times New Roman" w:hAnsi="Times New Roman" w:cs="Times New Roman"/>
        </w:rPr>
        <w:t>present</w:t>
      </w:r>
      <w:r w:rsidR="0084225D">
        <w:rPr>
          <w:rFonts w:ascii="Times New Roman" w:hAnsi="Times New Roman" w:cs="Times New Roman"/>
        </w:rPr>
        <w:t xml:space="preserve"> concerns</w:t>
      </w:r>
      <w:r w:rsidRPr="004104ED">
        <w:rPr>
          <w:rFonts w:ascii="Times New Roman" w:hAnsi="Times New Roman" w:cs="Times New Roman"/>
        </w:rPr>
        <w:t xml:space="preserve"> regarding negative weights </w:t>
      </w:r>
      <w:r w:rsidR="007B737C">
        <w:rPr>
          <w:rFonts w:ascii="Times New Roman" w:hAnsi="Times New Roman" w:cs="Times New Roman"/>
        </w:rPr>
        <w:t>w</w:t>
      </w:r>
      <w:r w:rsidRPr="004104ED">
        <w:rPr>
          <w:rFonts w:ascii="Times New Roman" w:hAnsi="Times New Roman" w:cs="Times New Roman"/>
        </w:rPr>
        <w:t xml:space="preserve">ith only </w:t>
      </w:r>
      <w:r w:rsidR="00D53359">
        <w:rPr>
          <w:rFonts w:ascii="Times New Roman" w:hAnsi="Times New Roman" w:cs="Times New Roman"/>
        </w:rPr>
        <w:t xml:space="preserve">two-to-four </w:t>
      </w:r>
      <w:r w:rsidRPr="004104ED">
        <w:rPr>
          <w:rFonts w:ascii="Times New Roman" w:hAnsi="Times New Roman" w:cs="Times New Roman"/>
        </w:rPr>
        <w:t>of the 171 ATTs calculated through this model being assigned a negative weight of less than -0.0002 or -0.0001 for each outcome. Because the sum of all weights add</w:t>
      </w:r>
      <w:r w:rsidR="007B737C">
        <w:rPr>
          <w:rFonts w:ascii="Times New Roman" w:hAnsi="Times New Roman" w:cs="Times New Roman"/>
        </w:rPr>
        <w:t>ed</w:t>
      </w:r>
      <w:r w:rsidRPr="004104ED">
        <w:rPr>
          <w:rFonts w:ascii="Times New Roman" w:hAnsi="Times New Roman" w:cs="Times New Roman"/>
        </w:rPr>
        <w:t xml:space="preserve"> up to one, even the model with the largest sum of negative weights only contributes 0.2% of the final ATT estimate. This suggest</w:t>
      </w:r>
      <w:r w:rsidR="007B737C">
        <w:rPr>
          <w:rFonts w:ascii="Times New Roman" w:hAnsi="Times New Roman" w:cs="Times New Roman"/>
        </w:rPr>
        <w:t>ed</w:t>
      </w:r>
      <w:r w:rsidRPr="004104ED">
        <w:rPr>
          <w:rFonts w:ascii="Times New Roman" w:hAnsi="Times New Roman" w:cs="Times New Roman"/>
        </w:rPr>
        <w:t xml:space="preserve"> that my data and de Chaisemartin and D’Haultfœuille’s </w:t>
      </w:r>
      <w:r w:rsidR="009B1352" w:rsidRPr="004104ED">
        <w:rPr>
          <w:rFonts w:ascii="Times New Roman" w:hAnsi="Times New Roman" w:cs="Times New Roman"/>
        </w:rPr>
        <w:t xml:space="preserve">decomposition output which </w:t>
      </w:r>
      <w:r w:rsidR="007B737C">
        <w:rPr>
          <w:rFonts w:ascii="Times New Roman" w:hAnsi="Times New Roman" w:cs="Times New Roman"/>
        </w:rPr>
        <w:t>was</w:t>
      </w:r>
      <w:r w:rsidR="009B1352" w:rsidRPr="004104ED">
        <w:rPr>
          <w:rFonts w:ascii="Times New Roman" w:hAnsi="Times New Roman" w:cs="Times New Roman"/>
        </w:rPr>
        <w:t xml:space="preserve"> a weighted average of ATTs across all instances of treatment </w:t>
      </w:r>
      <w:r w:rsidR="007B737C">
        <w:rPr>
          <w:rFonts w:ascii="Times New Roman" w:hAnsi="Times New Roman" w:cs="Times New Roman"/>
        </w:rPr>
        <w:t>did</w:t>
      </w:r>
      <w:r w:rsidR="009B1352" w:rsidRPr="004104ED">
        <w:rPr>
          <w:rFonts w:ascii="Times New Roman" w:hAnsi="Times New Roman" w:cs="Times New Roman"/>
        </w:rPr>
        <w:t xml:space="preserve"> not suffer from problems concerning negative weights found in staggered difference-in-difference models.</w:t>
      </w:r>
    </w:p>
    <w:p w14:paraId="02826BCA" w14:textId="0E3678A8" w:rsidR="008524FA" w:rsidRPr="0027109B" w:rsidRDefault="008524FA" w:rsidP="008524FA">
      <w:pPr>
        <w:spacing w:line="480" w:lineRule="auto"/>
        <w:ind w:firstLine="720"/>
        <w:rPr>
          <w:rFonts w:ascii="Times New Roman" w:hAnsi="Times New Roman" w:cs="Times New Roman"/>
        </w:rPr>
      </w:pPr>
      <w:r>
        <w:rPr>
          <w:rFonts w:ascii="Times New Roman" w:hAnsi="Times New Roman" w:cs="Times New Roman"/>
        </w:rPr>
        <w:t xml:space="preserve">However, these estimates of the ATT were considerably higher than my earlier Sun and Abraham event study estimates. This could be in part due to the decomposition approaches accounting for all potential treatment year and pre/post-treatment periods. Additionally, the size of these coefficients closely resembled the outputs of variables for models that did not consider my data sample’s issues with unit-specific time trends. Based on the foundational work for the </w:t>
      </w:r>
      <w:proofErr w:type="spellStart"/>
      <w:r w:rsidRPr="00EF63F3">
        <w:rPr>
          <w:rFonts w:ascii="Times New Roman" w:hAnsi="Times New Roman" w:cs="Times New Roman"/>
          <w:i/>
          <w:iCs/>
        </w:rPr>
        <w:t>twowayfeweights</w:t>
      </w:r>
      <w:proofErr w:type="spellEnd"/>
      <w:r>
        <w:rPr>
          <w:rFonts w:ascii="Times New Roman" w:hAnsi="Times New Roman" w:cs="Times New Roman"/>
        </w:rPr>
        <w:t xml:space="preserve"> package, there was no indication that this package can account for issues of unit-specific time trends (</w:t>
      </w:r>
      <w:r w:rsidRPr="00334E0E">
        <w:rPr>
          <w:rFonts w:ascii="Times New Roman" w:hAnsi="Times New Roman" w:cs="Times New Roman"/>
        </w:rPr>
        <w:t xml:space="preserve">De </w:t>
      </w:r>
      <w:proofErr w:type="spellStart"/>
      <w:r w:rsidRPr="00334E0E">
        <w:rPr>
          <w:rFonts w:ascii="Times New Roman" w:hAnsi="Times New Roman" w:cs="Times New Roman"/>
        </w:rPr>
        <w:t>Chaisemartin</w:t>
      </w:r>
      <w:proofErr w:type="spellEnd"/>
      <w:r w:rsidRPr="00334E0E">
        <w:rPr>
          <w:rFonts w:ascii="Times New Roman" w:hAnsi="Times New Roman" w:cs="Times New Roman"/>
        </w:rPr>
        <w:t>, &amp;</w:t>
      </w:r>
      <w:r>
        <w:rPr>
          <w:rFonts w:ascii="Times New Roman" w:hAnsi="Times New Roman" w:cs="Times New Roman"/>
        </w:rPr>
        <w:t xml:space="preserve"> </w:t>
      </w:r>
      <w:proofErr w:type="spellStart"/>
      <w:r w:rsidRPr="00334E0E">
        <w:rPr>
          <w:rFonts w:ascii="Times New Roman" w:hAnsi="Times New Roman" w:cs="Times New Roman"/>
        </w:rPr>
        <w:t>d’Haultfoeuille</w:t>
      </w:r>
      <w:proofErr w:type="spellEnd"/>
      <w:r>
        <w:rPr>
          <w:rFonts w:ascii="Times New Roman" w:hAnsi="Times New Roman" w:cs="Times New Roman"/>
        </w:rPr>
        <w:t xml:space="preserve">, 2020). Therefore, caution should also be applied when </w:t>
      </w:r>
    </w:p>
    <w:p w14:paraId="7E4E0718" w14:textId="77777777" w:rsidR="008524FA" w:rsidRDefault="008524FA" w:rsidP="008524FA">
      <w:pPr>
        <w:pStyle w:val="Caption"/>
        <w:spacing w:before="0" w:after="0" w:line="240" w:lineRule="auto"/>
      </w:pPr>
      <w:bookmarkStart w:id="158" w:name="_Toc179135222"/>
      <w:bookmarkStart w:id="159" w:name="_Toc179136141"/>
      <w:bookmarkStart w:id="160" w:name="_Toc179888486"/>
      <w:bookmarkStart w:id="161" w:name="_Toc181297767"/>
      <w:bookmarkStart w:id="162" w:name="_Toc180144574"/>
    </w:p>
    <w:p w14:paraId="66F08D0D" w14:textId="5ABF773B" w:rsidR="00A54475" w:rsidRPr="00245787" w:rsidRDefault="00A54475" w:rsidP="008524FA">
      <w:pPr>
        <w:pStyle w:val="Caption"/>
        <w:spacing w:before="0" w:after="0" w:line="240" w:lineRule="auto"/>
      </w:pPr>
      <w:r w:rsidRPr="00245787">
        <w:t>Table 1</w:t>
      </w:r>
      <w:r w:rsidR="00C253F6">
        <w:t>1</w:t>
      </w:r>
      <w:bookmarkEnd w:id="158"/>
      <w:bookmarkEnd w:id="159"/>
      <w:bookmarkEnd w:id="160"/>
      <w:bookmarkEnd w:id="161"/>
      <w:bookmarkEnd w:id="162"/>
    </w:p>
    <w:p w14:paraId="3D5802C5" w14:textId="1C086FCE" w:rsidR="00A54475" w:rsidRDefault="003D32CF" w:rsidP="008524FA">
      <w:pPr>
        <w:rPr>
          <w:rFonts w:ascii="Times New Roman" w:hAnsi="Times New Roman" w:cs="Times New Roman"/>
          <w:i/>
          <w:iCs/>
        </w:rPr>
      </w:pPr>
      <w:r>
        <w:rPr>
          <w:rFonts w:ascii="Times New Roman" w:hAnsi="Times New Roman" w:cs="Times New Roman"/>
          <w:i/>
          <w:iCs/>
        </w:rPr>
        <w:t xml:space="preserve">Outputs from </w:t>
      </w:r>
      <w:r w:rsidR="00E87424">
        <w:rPr>
          <w:rFonts w:ascii="Times New Roman" w:hAnsi="Times New Roman" w:cs="Times New Roman"/>
          <w:i/>
          <w:iCs/>
        </w:rPr>
        <w:t xml:space="preserve">de </w:t>
      </w:r>
      <w:r w:rsidRPr="003D32CF">
        <w:rPr>
          <w:rFonts w:ascii="Times New Roman" w:hAnsi="Times New Roman" w:cs="Times New Roman"/>
          <w:i/>
          <w:iCs/>
        </w:rPr>
        <w:t>Chaisemartin &amp; D'Haultfœuille</w:t>
      </w:r>
      <w:r>
        <w:rPr>
          <w:rFonts w:ascii="Times New Roman" w:hAnsi="Times New Roman" w:cs="Times New Roman"/>
          <w:i/>
          <w:iCs/>
        </w:rPr>
        <w:t xml:space="preserve"> Decomposition </w:t>
      </w:r>
    </w:p>
    <w:tbl>
      <w:tblPr>
        <w:tblStyle w:val="TableGrid"/>
        <w:tblW w:w="8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1376"/>
        <w:gridCol w:w="2070"/>
        <w:gridCol w:w="2245"/>
      </w:tblGrid>
      <w:tr w:rsidR="003D4A8C" w14:paraId="74E6F3BC" w14:textId="77777777" w:rsidTr="007B737C">
        <w:tc>
          <w:tcPr>
            <w:tcW w:w="3124" w:type="dxa"/>
            <w:tcBorders>
              <w:bottom w:val="single" w:sz="4" w:space="0" w:color="auto"/>
            </w:tcBorders>
          </w:tcPr>
          <w:p w14:paraId="61B1B1B0" w14:textId="77777777" w:rsidR="00C3675E" w:rsidRPr="00216E62" w:rsidRDefault="00C3675E" w:rsidP="00216E62">
            <w:pPr>
              <w:rPr>
                <w:rFonts w:ascii="Times New Roman" w:hAnsi="Times New Roman" w:cs="Times New Roman"/>
              </w:rPr>
            </w:pPr>
          </w:p>
        </w:tc>
        <w:tc>
          <w:tcPr>
            <w:tcW w:w="1376" w:type="dxa"/>
            <w:tcBorders>
              <w:bottom w:val="single" w:sz="4" w:space="0" w:color="auto"/>
            </w:tcBorders>
          </w:tcPr>
          <w:p w14:paraId="78FAA1E6" w14:textId="18CDD75E" w:rsidR="00C3675E" w:rsidRPr="00216E62" w:rsidRDefault="00C3675E" w:rsidP="00216E62">
            <w:pPr>
              <w:rPr>
                <w:rFonts w:ascii="Times New Roman" w:hAnsi="Times New Roman" w:cs="Times New Roman"/>
              </w:rPr>
            </w:pPr>
            <w:r>
              <w:rPr>
                <w:rFonts w:ascii="Times New Roman" w:hAnsi="Times New Roman" w:cs="Times New Roman"/>
              </w:rPr>
              <w:t>A</w:t>
            </w:r>
            <w:r w:rsidR="004E4A87">
              <w:rPr>
                <w:rFonts w:ascii="Times New Roman" w:hAnsi="Times New Roman" w:cs="Times New Roman"/>
              </w:rPr>
              <w:t>TT</w:t>
            </w:r>
          </w:p>
        </w:tc>
        <w:tc>
          <w:tcPr>
            <w:tcW w:w="2070" w:type="dxa"/>
            <w:tcBorders>
              <w:bottom w:val="single" w:sz="4" w:space="0" w:color="auto"/>
            </w:tcBorders>
          </w:tcPr>
          <w:p w14:paraId="2914068B" w14:textId="238BADA9" w:rsidR="00C3675E" w:rsidRPr="00216E62" w:rsidRDefault="00C3675E" w:rsidP="00216E62">
            <w:pPr>
              <w:rPr>
                <w:rFonts w:ascii="Times New Roman" w:hAnsi="Times New Roman" w:cs="Times New Roman"/>
              </w:rPr>
            </w:pPr>
            <w:r>
              <w:rPr>
                <w:rFonts w:ascii="Times New Roman" w:hAnsi="Times New Roman" w:cs="Times New Roman"/>
              </w:rPr>
              <w:t>Negative Weight Count</w:t>
            </w:r>
          </w:p>
        </w:tc>
        <w:tc>
          <w:tcPr>
            <w:tcW w:w="2245" w:type="dxa"/>
            <w:tcBorders>
              <w:bottom w:val="single" w:sz="4" w:space="0" w:color="auto"/>
            </w:tcBorders>
          </w:tcPr>
          <w:p w14:paraId="004BBEE4" w14:textId="112B8C76" w:rsidR="00C3675E" w:rsidRPr="00216E62" w:rsidRDefault="007F14E3" w:rsidP="00216E62">
            <w:pPr>
              <w:rPr>
                <w:rFonts w:ascii="Times New Roman" w:hAnsi="Times New Roman" w:cs="Times New Roman"/>
              </w:rPr>
            </w:pPr>
            <w:r>
              <w:rPr>
                <w:rFonts w:ascii="Times New Roman" w:hAnsi="Times New Roman" w:cs="Times New Roman"/>
              </w:rPr>
              <w:t xml:space="preserve">Sum of </w:t>
            </w:r>
            <w:r w:rsidR="00C3675E">
              <w:rPr>
                <w:rFonts w:ascii="Times New Roman" w:hAnsi="Times New Roman" w:cs="Times New Roman"/>
              </w:rPr>
              <w:t>Negative Weight</w:t>
            </w:r>
            <w:r>
              <w:rPr>
                <w:rFonts w:ascii="Times New Roman" w:hAnsi="Times New Roman" w:cs="Times New Roman"/>
              </w:rPr>
              <w:t>s</w:t>
            </w:r>
          </w:p>
        </w:tc>
      </w:tr>
      <w:tr w:rsidR="003D4A8C" w14:paraId="77BBBA66" w14:textId="77777777" w:rsidTr="007B737C">
        <w:tc>
          <w:tcPr>
            <w:tcW w:w="3124" w:type="dxa"/>
            <w:tcBorders>
              <w:top w:val="single" w:sz="4" w:space="0" w:color="auto"/>
            </w:tcBorders>
          </w:tcPr>
          <w:p w14:paraId="5B217B5E" w14:textId="6917A47D" w:rsidR="00C3675E" w:rsidRPr="00216E62" w:rsidRDefault="00C3675E" w:rsidP="00216E62">
            <w:pPr>
              <w:rPr>
                <w:rFonts w:ascii="Times New Roman" w:hAnsi="Times New Roman" w:cs="Times New Roman"/>
              </w:rPr>
            </w:pPr>
            <w:r>
              <w:rPr>
                <w:rFonts w:ascii="Times New Roman" w:hAnsi="Times New Roman" w:cs="Times New Roman"/>
              </w:rPr>
              <w:t>All Degrees</w:t>
            </w:r>
          </w:p>
        </w:tc>
        <w:tc>
          <w:tcPr>
            <w:tcW w:w="1376" w:type="dxa"/>
            <w:tcBorders>
              <w:top w:val="single" w:sz="4" w:space="0" w:color="auto"/>
            </w:tcBorders>
          </w:tcPr>
          <w:p w14:paraId="2E86A7FB" w14:textId="015ACEEF" w:rsidR="00C3675E" w:rsidRPr="00216E62" w:rsidRDefault="00C3675E" w:rsidP="004E4A87">
            <w:pPr>
              <w:jc w:val="center"/>
              <w:rPr>
                <w:rFonts w:ascii="Times New Roman" w:hAnsi="Times New Roman" w:cs="Times New Roman"/>
              </w:rPr>
            </w:pPr>
            <w:r w:rsidRPr="00E7684E">
              <w:rPr>
                <w:rFonts w:ascii="Times New Roman" w:hAnsi="Times New Roman" w:cs="Times New Roman"/>
              </w:rPr>
              <w:t>0.2397</w:t>
            </w:r>
          </w:p>
        </w:tc>
        <w:tc>
          <w:tcPr>
            <w:tcW w:w="2070" w:type="dxa"/>
            <w:tcBorders>
              <w:top w:val="single" w:sz="4" w:space="0" w:color="auto"/>
            </w:tcBorders>
          </w:tcPr>
          <w:p w14:paraId="01ACCD67" w14:textId="7546A7C3" w:rsidR="00C3675E" w:rsidRPr="00216E62" w:rsidRDefault="00C3675E" w:rsidP="004E4A87">
            <w:pPr>
              <w:jc w:val="center"/>
              <w:rPr>
                <w:rFonts w:ascii="Times New Roman" w:hAnsi="Times New Roman" w:cs="Times New Roman"/>
              </w:rPr>
            </w:pPr>
            <w:r w:rsidRPr="002A493F">
              <w:rPr>
                <w:rFonts w:ascii="Times New Roman" w:hAnsi="Times New Roman" w:cs="Times New Roman"/>
              </w:rPr>
              <w:t>2</w:t>
            </w:r>
          </w:p>
        </w:tc>
        <w:tc>
          <w:tcPr>
            <w:tcW w:w="2245" w:type="dxa"/>
            <w:tcBorders>
              <w:top w:val="single" w:sz="4" w:space="0" w:color="auto"/>
            </w:tcBorders>
          </w:tcPr>
          <w:p w14:paraId="5D5096F2" w14:textId="74207427" w:rsidR="00C3675E" w:rsidRPr="00216E62" w:rsidRDefault="00C3675E" w:rsidP="004E4A87">
            <w:pPr>
              <w:jc w:val="center"/>
              <w:rPr>
                <w:rFonts w:ascii="Times New Roman" w:hAnsi="Times New Roman" w:cs="Times New Roman"/>
              </w:rPr>
            </w:pPr>
            <w:r w:rsidRPr="002A493F">
              <w:rPr>
                <w:rFonts w:ascii="Times New Roman" w:hAnsi="Times New Roman" w:cs="Times New Roman"/>
              </w:rPr>
              <w:t>-0.0</w:t>
            </w:r>
            <w:r w:rsidR="00CD76E5">
              <w:rPr>
                <w:rFonts w:ascii="Times New Roman" w:hAnsi="Times New Roman" w:cs="Times New Roman"/>
              </w:rPr>
              <w:t>00</w:t>
            </w:r>
            <w:r w:rsidRPr="002A493F">
              <w:rPr>
                <w:rFonts w:ascii="Times New Roman" w:hAnsi="Times New Roman" w:cs="Times New Roman"/>
              </w:rPr>
              <w:t>1</w:t>
            </w:r>
          </w:p>
        </w:tc>
      </w:tr>
      <w:tr w:rsidR="003D4A8C" w14:paraId="7D0C99BE" w14:textId="77777777" w:rsidTr="007B737C">
        <w:tc>
          <w:tcPr>
            <w:tcW w:w="3124" w:type="dxa"/>
          </w:tcPr>
          <w:p w14:paraId="77EACEE4" w14:textId="424F0689" w:rsidR="00C3675E" w:rsidRPr="00216E62" w:rsidRDefault="00AE21FD" w:rsidP="00216E62">
            <w:pPr>
              <w:rPr>
                <w:rFonts w:ascii="Times New Roman" w:hAnsi="Times New Roman" w:cs="Times New Roman"/>
              </w:rPr>
            </w:pPr>
            <w:r>
              <w:rPr>
                <w:rFonts w:ascii="Times New Roman" w:hAnsi="Times New Roman" w:cs="Times New Roman"/>
              </w:rPr>
              <w:t>Associate’s degrees</w:t>
            </w:r>
          </w:p>
        </w:tc>
        <w:tc>
          <w:tcPr>
            <w:tcW w:w="1376" w:type="dxa"/>
          </w:tcPr>
          <w:p w14:paraId="060FF9FE" w14:textId="1B601FD2" w:rsidR="00C3675E" w:rsidRPr="00216E62" w:rsidRDefault="00581728" w:rsidP="004E4A87">
            <w:pPr>
              <w:jc w:val="center"/>
              <w:rPr>
                <w:rFonts w:ascii="Times New Roman" w:hAnsi="Times New Roman" w:cs="Times New Roman"/>
              </w:rPr>
            </w:pPr>
            <w:r w:rsidRPr="00581728">
              <w:rPr>
                <w:rFonts w:ascii="Times New Roman" w:hAnsi="Times New Roman" w:cs="Times New Roman"/>
              </w:rPr>
              <w:t>0.2314</w:t>
            </w:r>
          </w:p>
        </w:tc>
        <w:tc>
          <w:tcPr>
            <w:tcW w:w="2070" w:type="dxa"/>
          </w:tcPr>
          <w:p w14:paraId="5848424D" w14:textId="08D3889B" w:rsidR="00C3675E" w:rsidRPr="00216E62" w:rsidRDefault="00A260CB" w:rsidP="004E4A87">
            <w:pPr>
              <w:jc w:val="center"/>
              <w:rPr>
                <w:rFonts w:ascii="Times New Roman" w:hAnsi="Times New Roman" w:cs="Times New Roman"/>
              </w:rPr>
            </w:pPr>
            <w:r>
              <w:rPr>
                <w:rFonts w:ascii="Times New Roman" w:hAnsi="Times New Roman" w:cs="Times New Roman"/>
              </w:rPr>
              <w:t>2</w:t>
            </w:r>
          </w:p>
        </w:tc>
        <w:tc>
          <w:tcPr>
            <w:tcW w:w="2245" w:type="dxa"/>
          </w:tcPr>
          <w:p w14:paraId="67247796" w14:textId="38E93C2D" w:rsidR="00C3675E" w:rsidRPr="00216E62" w:rsidRDefault="007438D5" w:rsidP="004E4A87">
            <w:pPr>
              <w:jc w:val="center"/>
              <w:rPr>
                <w:rFonts w:ascii="Times New Roman" w:hAnsi="Times New Roman" w:cs="Times New Roman"/>
              </w:rPr>
            </w:pPr>
            <w:r w:rsidRPr="007438D5">
              <w:rPr>
                <w:rFonts w:ascii="Times New Roman" w:hAnsi="Times New Roman" w:cs="Times New Roman"/>
              </w:rPr>
              <w:t>-0.0001</w:t>
            </w:r>
          </w:p>
        </w:tc>
      </w:tr>
      <w:tr w:rsidR="003D4A8C" w14:paraId="24904FDA" w14:textId="77777777" w:rsidTr="007B737C">
        <w:tc>
          <w:tcPr>
            <w:tcW w:w="3124" w:type="dxa"/>
          </w:tcPr>
          <w:p w14:paraId="67730F93" w14:textId="23FB8303" w:rsidR="00C3675E" w:rsidRPr="00216E62" w:rsidRDefault="00C3675E" w:rsidP="00216E62">
            <w:pPr>
              <w:rPr>
                <w:rFonts w:ascii="Times New Roman" w:hAnsi="Times New Roman" w:cs="Times New Roman"/>
              </w:rPr>
            </w:pPr>
            <w:r>
              <w:rPr>
                <w:rFonts w:ascii="Times New Roman" w:hAnsi="Times New Roman" w:cs="Times New Roman"/>
              </w:rPr>
              <w:t xml:space="preserve">All Credentials </w:t>
            </w:r>
          </w:p>
        </w:tc>
        <w:tc>
          <w:tcPr>
            <w:tcW w:w="1376" w:type="dxa"/>
          </w:tcPr>
          <w:p w14:paraId="4429567D" w14:textId="02DDCF07" w:rsidR="00C3675E" w:rsidRPr="00216E62" w:rsidRDefault="00A72E44" w:rsidP="004E4A87">
            <w:pPr>
              <w:jc w:val="center"/>
              <w:rPr>
                <w:rFonts w:ascii="Times New Roman" w:hAnsi="Times New Roman" w:cs="Times New Roman"/>
              </w:rPr>
            </w:pPr>
            <w:r>
              <w:rPr>
                <w:rFonts w:ascii="Times New Roman" w:hAnsi="Times New Roman" w:cs="Times New Roman"/>
              </w:rPr>
              <w:t>0</w:t>
            </w:r>
            <w:r w:rsidR="00250E58" w:rsidRPr="00250E58">
              <w:rPr>
                <w:rFonts w:ascii="Times New Roman" w:hAnsi="Times New Roman" w:cs="Times New Roman"/>
              </w:rPr>
              <w:t>.3778</w:t>
            </w:r>
          </w:p>
        </w:tc>
        <w:tc>
          <w:tcPr>
            <w:tcW w:w="2070" w:type="dxa"/>
          </w:tcPr>
          <w:p w14:paraId="59FBE046" w14:textId="125BF738" w:rsidR="00C3675E" w:rsidRPr="00216E62" w:rsidRDefault="00A72E44" w:rsidP="004E4A87">
            <w:pPr>
              <w:jc w:val="center"/>
              <w:rPr>
                <w:rFonts w:ascii="Times New Roman" w:hAnsi="Times New Roman" w:cs="Times New Roman"/>
              </w:rPr>
            </w:pPr>
            <w:r>
              <w:rPr>
                <w:rFonts w:ascii="Times New Roman" w:hAnsi="Times New Roman" w:cs="Times New Roman"/>
              </w:rPr>
              <w:t>2</w:t>
            </w:r>
          </w:p>
        </w:tc>
        <w:tc>
          <w:tcPr>
            <w:tcW w:w="2245" w:type="dxa"/>
          </w:tcPr>
          <w:p w14:paraId="2ED7B6E6" w14:textId="4D17E659" w:rsidR="00C3675E" w:rsidRPr="00216E62" w:rsidRDefault="00A72E44" w:rsidP="004E4A87">
            <w:pPr>
              <w:jc w:val="center"/>
              <w:rPr>
                <w:rFonts w:ascii="Times New Roman" w:hAnsi="Times New Roman" w:cs="Times New Roman"/>
              </w:rPr>
            </w:pPr>
            <w:r w:rsidRPr="007438D5">
              <w:rPr>
                <w:rFonts w:ascii="Times New Roman" w:hAnsi="Times New Roman" w:cs="Times New Roman"/>
              </w:rPr>
              <w:t>-0.0001</w:t>
            </w:r>
          </w:p>
        </w:tc>
      </w:tr>
      <w:tr w:rsidR="003D4A8C" w14:paraId="0AC8F816" w14:textId="77777777" w:rsidTr="007B737C">
        <w:tc>
          <w:tcPr>
            <w:tcW w:w="3124" w:type="dxa"/>
          </w:tcPr>
          <w:p w14:paraId="4F541DCF" w14:textId="67A2AC15" w:rsidR="00FC34BC" w:rsidRPr="00216E62" w:rsidRDefault="00FC34BC" w:rsidP="00FC34BC">
            <w:pPr>
              <w:rPr>
                <w:rFonts w:ascii="Times New Roman" w:hAnsi="Times New Roman" w:cs="Times New Roman"/>
              </w:rPr>
            </w:pPr>
            <w:r>
              <w:rPr>
                <w:rFonts w:ascii="Times New Roman" w:hAnsi="Times New Roman" w:cs="Times New Roman"/>
              </w:rPr>
              <w:t>One-to-two Year Credentials</w:t>
            </w:r>
          </w:p>
        </w:tc>
        <w:tc>
          <w:tcPr>
            <w:tcW w:w="1376" w:type="dxa"/>
          </w:tcPr>
          <w:p w14:paraId="69087034" w14:textId="4E31D0D6" w:rsidR="00FC34BC" w:rsidRPr="00216E62" w:rsidRDefault="00FC34BC" w:rsidP="004E4A87">
            <w:pPr>
              <w:jc w:val="center"/>
              <w:rPr>
                <w:rFonts w:ascii="Times New Roman" w:hAnsi="Times New Roman" w:cs="Times New Roman"/>
              </w:rPr>
            </w:pPr>
            <w:r w:rsidRPr="00790AA3">
              <w:rPr>
                <w:rFonts w:ascii="Times New Roman" w:hAnsi="Times New Roman" w:cs="Times New Roman"/>
              </w:rPr>
              <w:t>0.3214</w:t>
            </w:r>
          </w:p>
        </w:tc>
        <w:tc>
          <w:tcPr>
            <w:tcW w:w="2070" w:type="dxa"/>
          </w:tcPr>
          <w:p w14:paraId="47AEB4CF" w14:textId="365F652F" w:rsidR="00FC34BC" w:rsidRPr="00216E62" w:rsidRDefault="00FC34BC" w:rsidP="004E4A87">
            <w:pPr>
              <w:jc w:val="center"/>
              <w:rPr>
                <w:rFonts w:ascii="Times New Roman" w:hAnsi="Times New Roman" w:cs="Times New Roman"/>
              </w:rPr>
            </w:pPr>
            <w:r>
              <w:rPr>
                <w:rFonts w:ascii="Times New Roman" w:hAnsi="Times New Roman" w:cs="Times New Roman"/>
              </w:rPr>
              <w:t>2</w:t>
            </w:r>
          </w:p>
        </w:tc>
        <w:tc>
          <w:tcPr>
            <w:tcW w:w="2245" w:type="dxa"/>
          </w:tcPr>
          <w:p w14:paraId="145B39E6" w14:textId="04B97A7E" w:rsidR="00FC34BC" w:rsidRPr="00216E62" w:rsidRDefault="00FC34BC" w:rsidP="004E4A87">
            <w:pPr>
              <w:jc w:val="center"/>
              <w:rPr>
                <w:rFonts w:ascii="Times New Roman" w:hAnsi="Times New Roman" w:cs="Times New Roman"/>
              </w:rPr>
            </w:pPr>
            <w:r w:rsidRPr="007438D5">
              <w:rPr>
                <w:rFonts w:ascii="Times New Roman" w:hAnsi="Times New Roman" w:cs="Times New Roman"/>
              </w:rPr>
              <w:t>-0.0001</w:t>
            </w:r>
          </w:p>
        </w:tc>
      </w:tr>
      <w:tr w:rsidR="003D4A8C" w14:paraId="08A45A9C" w14:textId="77777777" w:rsidTr="007B737C">
        <w:tc>
          <w:tcPr>
            <w:tcW w:w="3124" w:type="dxa"/>
          </w:tcPr>
          <w:p w14:paraId="5AE21B10" w14:textId="0C99FBAB" w:rsidR="00FC34BC" w:rsidRPr="00216E62" w:rsidRDefault="00FC34BC" w:rsidP="00FC34BC">
            <w:pPr>
              <w:rPr>
                <w:rFonts w:ascii="Times New Roman" w:hAnsi="Times New Roman" w:cs="Times New Roman"/>
              </w:rPr>
            </w:pPr>
            <w:r>
              <w:rPr>
                <w:rFonts w:ascii="Times New Roman" w:hAnsi="Times New Roman" w:cs="Times New Roman"/>
              </w:rPr>
              <w:t xml:space="preserve">Less than One Year Credentials </w:t>
            </w:r>
          </w:p>
        </w:tc>
        <w:tc>
          <w:tcPr>
            <w:tcW w:w="1376" w:type="dxa"/>
          </w:tcPr>
          <w:p w14:paraId="2F35220F" w14:textId="121D701E" w:rsidR="00FC34BC" w:rsidRPr="00216E62" w:rsidRDefault="00E87B4B" w:rsidP="004E4A87">
            <w:pPr>
              <w:jc w:val="center"/>
              <w:rPr>
                <w:rFonts w:ascii="Times New Roman" w:hAnsi="Times New Roman" w:cs="Times New Roman"/>
              </w:rPr>
            </w:pPr>
            <w:r w:rsidRPr="00E87B4B">
              <w:rPr>
                <w:rFonts w:ascii="Times New Roman" w:hAnsi="Times New Roman" w:cs="Times New Roman"/>
              </w:rPr>
              <w:t>0.3627</w:t>
            </w:r>
          </w:p>
        </w:tc>
        <w:tc>
          <w:tcPr>
            <w:tcW w:w="2070" w:type="dxa"/>
          </w:tcPr>
          <w:p w14:paraId="55247AAD" w14:textId="4926D183" w:rsidR="00FC34BC" w:rsidRPr="00216E62" w:rsidRDefault="002E0BF3" w:rsidP="004E4A87">
            <w:pPr>
              <w:jc w:val="center"/>
              <w:rPr>
                <w:rFonts w:ascii="Times New Roman" w:hAnsi="Times New Roman" w:cs="Times New Roman"/>
              </w:rPr>
            </w:pPr>
            <w:r>
              <w:rPr>
                <w:rFonts w:ascii="Times New Roman" w:hAnsi="Times New Roman" w:cs="Times New Roman"/>
              </w:rPr>
              <w:t>4</w:t>
            </w:r>
          </w:p>
        </w:tc>
        <w:tc>
          <w:tcPr>
            <w:tcW w:w="2245" w:type="dxa"/>
          </w:tcPr>
          <w:p w14:paraId="73832160" w14:textId="329ED715" w:rsidR="00FC34BC" w:rsidRPr="00216E62" w:rsidRDefault="002E0BF3" w:rsidP="004E4A87">
            <w:pPr>
              <w:jc w:val="center"/>
              <w:rPr>
                <w:rFonts w:ascii="Times New Roman" w:hAnsi="Times New Roman" w:cs="Times New Roman"/>
              </w:rPr>
            </w:pPr>
            <w:r w:rsidRPr="002E0BF3">
              <w:rPr>
                <w:rFonts w:ascii="Times New Roman" w:hAnsi="Times New Roman" w:cs="Times New Roman"/>
              </w:rPr>
              <w:t>-0.0002</w:t>
            </w:r>
          </w:p>
        </w:tc>
      </w:tr>
      <w:tr w:rsidR="003D4A8C" w14:paraId="5369DEEC" w14:textId="77777777" w:rsidTr="007B737C">
        <w:tc>
          <w:tcPr>
            <w:tcW w:w="3124" w:type="dxa"/>
          </w:tcPr>
          <w:p w14:paraId="2434DA61" w14:textId="4803CF53" w:rsidR="00235D45" w:rsidRPr="00216E62" w:rsidRDefault="00235D45" w:rsidP="00235D45">
            <w:pPr>
              <w:rPr>
                <w:rFonts w:ascii="Times New Roman" w:hAnsi="Times New Roman" w:cs="Times New Roman"/>
              </w:rPr>
            </w:pPr>
            <w:r>
              <w:rPr>
                <w:rFonts w:ascii="Times New Roman" w:hAnsi="Times New Roman" w:cs="Times New Roman"/>
              </w:rPr>
              <w:t>STEM Awards</w:t>
            </w:r>
          </w:p>
        </w:tc>
        <w:tc>
          <w:tcPr>
            <w:tcW w:w="1376" w:type="dxa"/>
          </w:tcPr>
          <w:p w14:paraId="1AAA8E90" w14:textId="47430C0B" w:rsidR="00235D45" w:rsidRPr="00216E62" w:rsidRDefault="00235D45" w:rsidP="004E4A87">
            <w:pPr>
              <w:jc w:val="center"/>
              <w:rPr>
                <w:rFonts w:ascii="Times New Roman" w:hAnsi="Times New Roman" w:cs="Times New Roman"/>
              </w:rPr>
            </w:pPr>
            <w:r w:rsidRPr="009E496E">
              <w:rPr>
                <w:rFonts w:ascii="Times New Roman" w:hAnsi="Times New Roman" w:cs="Times New Roman"/>
              </w:rPr>
              <w:t>0.3763</w:t>
            </w:r>
          </w:p>
        </w:tc>
        <w:tc>
          <w:tcPr>
            <w:tcW w:w="2070" w:type="dxa"/>
          </w:tcPr>
          <w:p w14:paraId="59D16117" w14:textId="18392494" w:rsidR="00235D45" w:rsidRPr="00216E62" w:rsidRDefault="00235D45" w:rsidP="004E4A87">
            <w:pPr>
              <w:jc w:val="center"/>
              <w:rPr>
                <w:rFonts w:ascii="Times New Roman" w:hAnsi="Times New Roman" w:cs="Times New Roman"/>
              </w:rPr>
            </w:pPr>
            <w:r>
              <w:rPr>
                <w:rFonts w:ascii="Times New Roman" w:hAnsi="Times New Roman" w:cs="Times New Roman"/>
              </w:rPr>
              <w:t>2</w:t>
            </w:r>
          </w:p>
        </w:tc>
        <w:tc>
          <w:tcPr>
            <w:tcW w:w="2245" w:type="dxa"/>
          </w:tcPr>
          <w:p w14:paraId="50868359" w14:textId="633D0533" w:rsidR="00235D45" w:rsidRPr="00216E62" w:rsidRDefault="00235D45" w:rsidP="004E4A87">
            <w:pPr>
              <w:jc w:val="center"/>
              <w:rPr>
                <w:rFonts w:ascii="Times New Roman" w:hAnsi="Times New Roman" w:cs="Times New Roman"/>
              </w:rPr>
            </w:pPr>
            <w:r w:rsidRPr="007438D5">
              <w:rPr>
                <w:rFonts w:ascii="Times New Roman" w:hAnsi="Times New Roman" w:cs="Times New Roman"/>
              </w:rPr>
              <w:t>-0.0001</w:t>
            </w:r>
          </w:p>
        </w:tc>
      </w:tr>
      <w:tr w:rsidR="003D4A8C" w14:paraId="23CF9666" w14:textId="77777777" w:rsidTr="007B737C">
        <w:tc>
          <w:tcPr>
            <w:tcW w:w="3124" w:type="dxa"/>
          </w:tcPr>
          <w:p w14:paraId="1F99EBAA" w14:textId="392765D4" w:rsidR="00913EC2" w:rsidRPr="00216E62" w:rsidRDefault="00913EC2" w:rsidP="00913EC2">
            <w:pPr>
              <w:rPr>
                <w:rFonts w:ascii="Times New Roman" w:hAnsi="Times New Roman" w:cs="Times New Roman"/>
              </w:rPr>
            </w:pPr>
            <w:r>
              <w:rPr>
                <w:rFonts w:ascii="Times New Roman" w:hAnsi="Times New Roman" w:cs="Times New Roman"/>
              </w:rPr>
              <w:t>Trade Awards</w:t>
            </w:r>
          </w:p>
        </w:tc>
        <w:tc>
          <w:tcPr>
            <w:tcW w:w="1376" w:type="dxa"/>
          </w:tcPr>
          <w:p w14:paraId="6EF289C2" w14:textId="234CDF85" w:rsidR="00913EC2" w:rsidRPr="00216E62" w:rsidRDefault="00913EC2" w:rsidP="004E4A87">
            <w:pPr>
              <w:jc w:val="center"/>
              <w:rPr>
                <w:rFonts w:ascii="Times New Roman" w:hAnsi="Times New Roman" w:cs="Times New Roman"/>
              </w:rPr>
            </w:pPr>
            <w:r w:rsidRPr="00913EC2">
              <w:rPr>
                <w:rFonts w:ascii="Times New Roman" w:hAnsi="Times New Roman" w:cs="Times New Roman"/>
              </w:rPr>
              <w:t>0.2552</w:t>
            </w:r>
          </w:p>
        </w:tc>
        <w:tc>
          <w:tcPr>
            <w:tcW w:w="2070" w:type="dxa"/>
          </w:tcPr>
          <w:p w14:paraId="197D4DAB" w14:textId="6983B9DF" w:rsidR="00913EC2" w:rsidRPr="00216E62" w:rsidRDefault="00913EC2" w:rsidP="004E4A87">
            <w:pPr>
              <w:jc w:val="center"/>
              <w:rPr>
                <w:rFonts w:ascii="Times New Roman" w:hAnsi="Times New Roman" w:cs="Times New Roman"/>
              </w:rPr>
            </w:pPr>
            <w:r>
              <w:rPr>
                <w:rFonts w:ascii="Times New Roman" w:hAnsi="Times New Roman" w:cs="Times New Roman"/>
              </w:rPr>
              <w:t>2</w:t>
            </w:r>
          </w:p>
        </w:tc>
        <w:tc>
          <w:tcPr>
            <w:tcW w:w="2245" w:type="dxa"/>
          </w:tcPr>
          <w:p w14:paraId="771961F3" w14:textId="7D7E992B" w:rsidR="00913EC2" w:rsidRPr="00216E62" w:rsidRDefault="00913EC2" w:rsidP="004E4A87">
            <w:pPr>
              <w:jc w:val="center"/>
              <w:rPr>
                <w:rFonts w:ascii="Times New Roman" w:hAnsi="Times New Roman" w:cs="Times New Roman"/>
              </w:rPr>
            </w:pPr>
            <w:r w:rsidRPr="007438D5">
              <w:rPr>
                <w:rFonts w:ascii="Times New Roman" w:hAnsi="Times New Roman" w:cs="Times New Roman"/>
              </w:rPr>
              <w:t>-0.0001</w:t>
            </w:r>
          </w:p>
        </w:tc>
      </w:tr>
      <w:tr w:rsidR="003D4A8C" w14:paraId="49C15E33" w14:textId="77777777" w:rsidTr="007B737C">
        <w:tc>
          <w:tcPr>
            <w:tcW w:w="3124" w:type="dxa"/>
          </w:tcPr>
          <w:p w14:paraId="244F434A" w14:textId="22179A20" w:rsidR="007A40C6" w:rsidRDefault="007A40C6" w:rsidP="007A40C6">
            <w:pPr>
              <w:rPr>
                <w:rFonts w:ascii="Times New Roman" w:hAnsi="Times New Roman" w:cs="Times New Roman"/>
              </w:rPr>
            </w:pPr>
            <w:r>
              <w:rPr>
                <w:rFonts w:ascii="Times New Roman" w:hAnsi="Times New Roman" w:cs="Times New Roman"/>
              </w:rPr>
              <w:t>Liberal Arts Awards</w:t>
            </w:r>
          </w:p>
        </w:tc>
        <w:tc>
          <w:tcPr>
            <w:tcW w:w="1376" w:type="dxa"/>
          </w:tcPr>
          <w:p w14:paraId="0FD52449" w14:textId="550828F7" w:rsidR="007A40C6" w:rsidRPr="00216E62" w:rsidRDefault="007A40C6" w:rsidP="004E4A87">
            <w:pPr>
              <w:jc w:val="center"/>
              <w:rPr>
                <w:rFonts w:ascii="Times New Roman" w:hAnsi="Times New Roman" w:cs="Times New Roman"/>
              </w:rPr>
            </w:pPr>
            <w:r w:rsidRPr="000C41E1">
              <w:rPr>
                <w:rFonts w:ascii="Times New Roman" w:hAnsi="Times New Roman" w:cs="Times New Roman"/>
              </w:rPr>
              <w:t>0.1826</w:t>
            </w:r>
          </w:p>
        </w:tc>
        <w:tc>
          <w:tcPr>
            <w:tcW w:w="2070" w:type="dxa"/>
          </w:tcPr>
          <w:p w14:paraId="1A2ACBD9" w14:textId="4F8E2F1A" w:rsidR="007A40C6" w:rsidRPr="00216E62" w:rsidRDefault="007A40C6" w:rsidP="004E4A87">
            <w:pPr>
              <w:jc w:val="center"/>
              <w:rPr>
                <w:rFonts w:ascii="Times New Roman" w:hAnsi="Times New Roman" w:cs="Times New Roman"/>
              </w:rPr>
            </w:pPr>
            <w:r>
              <w:rPr>
                <w:rFonts w:ascii="Times New Roman" w:hAnsi="Times New Roman" w:cs="Times New Roman"/>
              </w:rPr>
              <w:t>2</w:t>
            </w:r>
          </w:p>
        </w:tc>
        <w:tc>
          <w:tcPr>
            <w:tcW w:w="2245" w:type="dxa"/>
          </w:tcPr>
          <w:p w14:paraId="76DAFA4D" w14:textId="1CB1D595" w:rsidR="007A40C6" w:rsidRPr="00216E62" w:rsidRDefault="007A40C6" w:rsidP="004E4A87">
            <w:pPr>
              <w:jc w:val="center"/>
              <w:rPr>
                <w:rFonts w:ascii="Times New Roman" w:hAnsi="Times New Roman" w:cs="Times New Roman"/>
              </w:rPr>
            </w:pPr>
            <w:r w:rsidRPr="007438D5">
              <w:rPr>
                <w:rFonts w:ascii="Times New Roman" w:hAnsi="Times New Roman" w:cs="Times New Roman"/>
              </w:rPr>
              <w:t>-0.0001</w:t>
            </w:r>
          </w:p>
        </w:tc>
      </w:tr>
      <w:tr w:rsidR="003D4A8C" w14:paraId="352ADCD0" w14:textId="77777777" w:rsidTr="007B737C">
        <w:tc>
          <w:tcPr>
            <w:tcW w:w="3124" w:type="dxa"/>
          </w:tcPr>
          <w:p w14:paraId="1A479888" w14:textId="77EFB4A8" w:rsidR="002F57DD" w:rsidRDefault="002F57DD" w:rsidP="002F57DD">
            <w:pPr>
              <w:rPr>
                <w:rFonts w:ascii="Times New Roman" w:hAnsi="Times New Roman" w:cs="Times New Roman"/>
              </w:rPr>
            </w:pPr>
            <w:r>
              <w:rPr>
                <w:rFonts w:ascii="Times New Roman" w:hAnsi="Times New Roman" w:cs="Times New Roman"/>
              </w:rPr>
              <w:t>Human Services Awards</w:t>
            </w:r>
          </w:p>
        </w:tc>
        <w:tc>
          <w:tcPr>
            <w:tcW w:w="1376" w:type="dxa"/>
          </w:tcPr>
          <w:p w14:paraId="47B35041" w14:textId="21ABE4B9" w:rsidR="002F57DD" w:rsidRPr="00216E62" w:rsidRDefault="002F57DD" w:rsidP="004E4A87">
            <w:pPr>
              <w:jc w:val="center"/>
              <w:rPr>
                <w:rFonts w:ascii="Times New Roman" w:hAnsi="Times New Roman" w:cs="Times New Roman"/>
              </w:rPr>
            </w:pPr>
            <w:r w:rsidRPr="002F57DD">
              <w:rPr>
                <w:rFonts w:ascii="Times New Roman" w:hAnsi="Times New Roman" w:cs="Times New Roman"/>
              </w:rPr>
              <w:t>0.2535</w:t>
            </w:r>
          </w:p>
        </w:tc>
        <w:tc>
          <w:tcPr>
            <w:tcW w:w="2070" w:type="dxa"/>
          </w:tcPr>
          <w:p w14:paraId="2A5D6167" w14:textId="46B87230" w:rsidR="002F57DD" w:rsidRPr="00216E62" w:rsidRDefault="002F57DD" w:rsidP="004E4A87">
            <w:pPr>
              <w:jc w:val="center"/>
              <w:rPr>
                <w:rFonts w:ascii="Times New Roman" w:hAnsi="Times New Roman" w:cs="Times New Roman"/>
              </w:rPr>
            </w:pPr>
            <w:r>
              <w:rPr>
                <w:rFonts w:ascii="Times New Roman" w:hAnsi="Times New Roman" w:cs="Times New Roman"/>
              </w:rPr>
              <w:t>2</w:t>
            </w:r>
          </w:p>
        </w:tc>
        <w:tc>
          <w:tcPr>
            <w:tcW w:w="2245" w:type="dxa"/>
          </w:tcPr>
          <w:p w14:paraId="5B6E6523" w14:textId="2D017EF2" w:rsidR="002F57DD" w:rsidRPr="00216E62" w:rsidRDefault="002F57DD" w:rsidP="004E4A87">
            <w:pPr>
              <w:jc w:val="center"/>
              <w:rPr>
                <w:rFonts w:ascii="Times New Roman" w:hAnsi="Times New Roman" w:cs="Times New Roman"/>
              </w:rPr>
            </w:pPr>
            <w:r w:rsidRPr="007438D5">
              <w:rPr>
                <w:rFonts w:ascii="Times New Roman" w:hAnsi="Times New Roman" w:cs="Times New Roman"/>
              </w:rPr>
              <w:t>-0.0001</w:t>
            </w:r>
          </w:p>
        </w:tc>
      </w:tr>
      <w:tr w:rsidR="003D4A8C" w14:paraId="0F5EFED0" w14:textId="77777777" w:rsidTr="007B737C">
        <w:tc>
          <w:tcPr>
            <w:tcW w:w="3124" w:type="dxa"/>
            <w:tcBorders>
              <w:bottom w:val="single" w:sz="4" w:space="0" w:color="auto"/>
            </w:tcBorders>
          </w:tcPr>
          <w:p w14:paraId="4865DD05" w14:textId="03EA9C4F" w:rsidR="007F14E3" w:rsidRDefault="00DF66D1" w:rsidP="00FC5F60">
            <w:pPr>
              <w:rPr>
                <w:rFonts w:ascii="Times New Roman" w:hAnsi="Times New Roman" w:cs="Times New Roman"/>
              </w:rPr>
            </w:pPr>
            <w:r>
              <w:rPr>
                <w:rFonts w:ascii="Times New Roman" w:hAnsi="Times New Roman" w:cs="Times New Roman"/>
              </w:rPr>
              <w:t>Professional Services Awards</w:t>
            </w:r>
          </w:p>
        </w:tc>
        <w:tc>
          <w:tcPr>
            <w:tcW w:w="1376" w:type="dxa"/>
            <w:tcBorders>
              <w:bottom w:val="single" w:sz="4" w:space="0" w:color="auto"/>
            </w:tcBorders>
          </w:tcPr>
          <w:p w14:paraId="06DCF145" w14:textId="097DAC6E" w:rsidR="007F14E3" w:rsidRPr="00216E62" w:rsidRDefault="007F14E3" w:rsidP="004E4A87">
            <w:pPr>
              <w:jc w:val="center"/>
              <w:rPr>
                <w:rFonts w:ascii="Times New Roman" w:hAnsi="Times New Roman" w:cs="Times New Roman"/>
              </w:rPr>
            </w:pPr>
            <w:r w:rsidRPr="00A038D6">
              <w:rPr>
                <w:rFonts w:ascii="Times New Roman" w:hAnsi="Times New Roman" w:cs="Times New Roman"/>
              </w:rPr>
              <w:t>0.2274</w:t>
            </w:r>
          </w:p>
        </w:tc>
        <w:tc>
          <w:tcPr>
            <w:tcW w:w="2070" w:type="dxa"/>
            <w:tcBorders>
              <w:bottom w:val="single" w:sz="4" w:space="0" w:color="auto"/>
            </w:tcBorders>
          </w:tcPr>
          <w:p w14:paraId="2F933376" w14:textId="01B76DAE" w:rsidR="007F14E3" w:rsidRPr="00216E62" w:rsidRDefault="007F14E3" w:rsidP="004E4A87">
            <w:pPr>
              <w:jc w:val="center"/>
              <w:rPr>
                <w:rFonts w:ascii="Times New Roman" w:hAnsi="Times New Roman" w:cs="Times New Roman"/>
              </w:rPr>
            </w:pPr>
            <w:r>
              <w:rPr>
                <w:rFonts w:ascii="Times New Roman" w:hAnsi="Times New Roman" w:cs="Times New Roman"/>
              </w:rPr>
              <w:t>2</w:t>
            </w:r>
          </w:p>
        </w:tc>
        <w:tc>
          <w:tcPr>
            <w:tcW w:w="2245" w:type="dxa"/>
            <w:tcBorders>
              <w:bottom w:val="single" w:sz="4" w:space="0" w:color="auto"/>
            </w:tcBorders>
          </w:tcPr>
          <w:p w14:paraId="3D2A006C" w14:textId="74F75053" w:rsidR="007F14E3" w:rsidRPr="00216E62" w:rsidRDefault="007F14E3" w:rsidP="004E4A87">
            <w:pPr>
              <w:jc w:val="center"/>
              <w:rPr>
                <w:rFonts w:ascii="Times New Roman" w:hAnsi="Times New Roman" w:cs="Times New Roman"/>
              </w:rPr>
            </w:pPr>
            <w:r w:rsidRPr="007438D5">
              <w:rPr>
                <w:rFonts w:ascii="Times New Roman" w:hAnsi="Times New Roman" w:cs="Times New Roman"/>
              </w:rPr>
              <w:t>-0.0001</w:t>
            </w:r>
          </w:p>
        </w:tc>
      </w:tr>
    </w:tbl>
    <w:p w14:paraId="52244BDA" w14:textId="601AE2FA" w:rsidR="0027109B" w:rsidRDefault="0027109B" w:rsidP="0027109B">
      <w:pPr>
        <w:spacing w:line="480" w:lineRule="auto"/>
        <w:rPr>
          <w:rFonts w:ascii="Times New Roman" w:hAnsi="Times New Roman" w:cs="Times New Roman"/>
        </w:rPr>
      </w:pPr>
      <w:r w:rsidRPr="0027109B">
        <w:rPr>
          <w:rFonts w:ascii="Times New Roman" w:hAnsi="Times New Roman" w:cs="Times New Roman"/>
        </w:rPr>
        <w:tab/>
      </w:r>
      <w:r w:rsidR="00500F0C">
        <w:rPr>
          <w:rFonts w:ascii="Times New Roman" w:hAnsi="Times New Roman" w:cs="Times New Roman"/>
        </w:rPr>
        <w:t xml:space="preserve"> </w:t>
      </w:r>
    </w:p>
    <w:p w14:paraId="4CA6C838" w14:textId="77777777" w:rsidR="008524FA" w:rsidRDefault="008524FA" w:rsidP="0027109B">
      <w:pPr>
        <w:spacing w:line="480" w:lineRule="auto"/>
        <w:rPr>
          <w:rFonts w:ascii="Times New Roman" w:hAnsi="Times New Roman" w:cs="Times New Roman"/>
        </w:rPr>
      </w:pPr>
    </w:p>
    <w:p w14:paraId="23CAF188" w14:textId="77777777" w:rsidR="008524FA" w:rsidRDefault="008524FA" w:rsidP="0027109B">
      <w:pPr>
        <w:spacing w:line="480" w:lineRule="auto"/>
        <w:rPr>
          <w:rFonts w:ascii="Times New Roman" w:hAnsi="Times New Roman" w:cs="Times New Roman"/>
        </w:rPr>
      </w:pPr>
    </w:p>
    <w:p w14:paraId="1CAB8A0F" w14:textId="77777777" w:rsidR="008524FA" w:rsidRDefault="008524FA" w:rsidP="0027109B">
      <w:pPr>
        <w:spacing w:line="480" w:lineRule="auto"/>
        <w:rPr>
          <w:rFonts w:ascii="Times New Roman" w:hAnsi="Times New Roman" w:cs="Times New Roman"/>
        </w:rPr>
      </w:pPr>
    </w:p>
    <w:p w14:paraId="49518946" w14:textId="77777777" w:rsidR="008524FA" w:rsidRDefault="008524FA" w:rsidP="0027109B">
      <w:pPr>
        <w:spacing w:line="480" w:lineRule="auto"/>
        <w:rPr>
          <w:rFonts w:ascii="Times New Roman" w:hAnsi="Times New Roman" w:cs="Times New Roman"/>
        </w:rPr>
      </w:pPr>
    </w:p>
    <w:p w14:paraId="61F62823" w14:textId="77777777" w:rsidR="008524FA" w:rsidRDefault="008524FA" w:rsidP="0027109B">
      <w:pPr>
        <w:spacing w:line="480" w:lineRule="auto"/>
        <w:rPr>
          <w:rFonts w:ascii="Times New Roman" w:hAnsi="Times New Roman" w:cs="Times New Roman"/>
        </w:rPr>
      </w:pPr>
    </w:p>
    <w:p w14:paraId="1EA7B289" w14:textId="77777777" w:rsidR="008524FA" w:rsidRDefault="008524FA" w:rsidP="0027109B">
      <w:pPr>
        <w:spacing w:line="480" w:lineRule="auto"/>
        <w:rPr>
          <w:rFonts w:ascii="Times New Roman" w:hAnsi="Times New Roman" w:cs="Times New Roman"/>
        </w:rPr>
      </w:pPr>
    </w:p>
    <w:p w14:paraId="154F98EC" w14:textId="77777777" w:rsidR="008524FA" w:rsidRDefault="008524FA" w:rsidP="0027109B">
      <w:pPr>
        <w:spacing w:line="480" w:lineRule="auto"/>
        <w:rPr>
          <w:rFonts w:ascii="Times New Roman" w:hAnsi="Times New Roman" w:cs="Times New Roman"/>
        </w:rPr>
      </w:pPr>
    </w:p>
    <w:p w14:paraId="03F8779B" w14:textId="77777777" w:rsidR="008524FA" w:rsidRDefault="008524FA" w:rsidP="0027109B">
      <w:pPr>
        <w:spacing w:line="480" w:lineRule="auto"/>
        <w:rPr>
          <w:rFonts w:ascii="Times New Roman" w:hAnsi="Times New Roman" w:cs="Times New Roman"/>
        </w:rPr>
      </w:pPr>
    </w:p>
    <w:p w14:paraId="21BE4B0F" w14:textId="77777777" w:rsidR="008524FA" w:rsidRDefault="008524FA" w:rsidP="0027109B">
      <w:pPr>
        <w:spacing w:line="480" w:lineRule="auto"/>
        <w:rPr>
          <w:rFonts w:ascii="Times New Roman" w:hAnsi="Times New Roman" w:cs="Times New Roman"/>
        </w:rPr>
      </w:pPr>
    </w:p>
    <w:p w14:paraId="19B692BC" w14:textId="77777777" w:rsidR="008524FA" w:rsidRDefault="008524FA" w:rsidP="0027109B">
      <w:pPr>
        <w:spacing w:line="480" w:lineRule="auto"/>
        <w:rPr>
          <w:rFonts w:ascii="Times New Roman" w:hAnsi="Times New Roman" w:cs="Times New Roman"/>
        </w:rPr>
      </w:pPr>
    </w:p>
    <w:p w14:paraId="7617365E" w14:textId="77777777" w:rsidR="008524FA" w:rsidRDefault="008524FA" w:rsidP="0027109B">
      <w:pPr>
        <w:spacing w:line="480" w:lineRule="auto"/>
        <w:rPr>
          <w:rFonts w:ascii="Times New Roman" w:hAnsi="Times New Roman" w:cs="Times New Roman"/>
        </w:rPr>
      </w:pPr>
    </w:p>
    <w:p w14:paraId="1FBCA1E4" w14:textId="77777777" w:rsidR="008524FA" w:rsidRDefault="008524FA" w:rsidP="0027109B">
      <w:pPr>
        <w:spacing w:line="480" w:lineRule="auto"/>
        <w:rPr>
          <w:rFonts w:ascii="Times New Roman" w:hAnsi="Times New Roman" w:cs="Times New Roman"/>
        </w:rPr>
      </w:pPr>
    </w:p>
    <w:p w14:paraId="6524D2B1" w14:textId="738DBDF0" w:rsidR="008524FA" w:rsidRPr="0027109B" w:rsidRDefault="008524FA" w:rsidP="008524FA">
      <w:pPr>
        <w:spacing w:line="480" w:lineRule="auto"/>
        <w:rPr>
          <w:rFonts w:ascii="Times New Roman" w:hAnsi="Times New Roman" w:cs="Times New Roman"/>
        </w:rPr>
      </w:pPr>
      <w:r>
        <w:rPr>
          <w:rFonts w:ascii="Times New Roman" w:hAnsi="Times New Roman" w:cs="Times New Roman"/>
        </w:rPr>
        <w:lastRenderedPageBreak/>
        <w:t>considering the implications of this second robustness test which generated considerably higher estimates of effect on my treated sample.</w:t>
      </w:r>
    </w:p>
    <w:p w14:paraId="2380B81C" w14:textId="35F8172C" w:rsidR="002E752C" w:rsidRPr="00EE62BB" w:rsidRDefault="00AB43E2" w:rsidP="008524FA">
      <w:pPr>
        <w:pStyle w:val="Heading2"/>
        <w:spacing w:before="0" w:after="0"/>
      </w:pPr>
      <w:bookmarkStart w:id="163" w:name="_Toc183282287"/>
      <w:r w:rsidRPr="00EE62BB">
        <w:t>Summary of</w:t>
      </w:r>
      <w:r w:rsidR="00253C63">
        <w:t xml:space="preserve"> </w:t>
      </w:r>
      <w:r w:rsidRPr="00EE62BB">
        <w:t>Findings</w:t>
      </w:r>
      <w:bookmarkEnd w:id="163"/>
    </w:p>
    <w:p w14:paraId="662F48F0" w14:textId="605D77D5" w:rsidR="00AB43E2" w:rsidRDefault="0057249D" w:rsidP="008524FA">
      <w:pPr>
        <w:spacing w:line="480" w:lineRule="auto"/>
        <w:rPr>
          <w:rFonts w:ascii="Times New Roman" w:hAnsi="Times New Roman" w:cs="Times New Roman"/>
        </w:rPr>
      </w:pPr>
      <w:r w:rsidRPr="0057249D">
        <w:rPr>
          <w:rFonts w:ascii="Times New Roman" w:hAnsi="Times New Roman" w:cs="Times New Roman"/>
        </w:rPr>
        <w:tab/>
      </w:r>
      <w:r w:rsidR="00C1197F">
        <w:rPr>
          <w:rFonts w:ascii="Times New Roman" w:hAnsi="Times New Roman" w:cs="Times New Roman"/>
        </w:rPr>
        <w:t>I utilize</w:t>
      </w:r>
      <w:r w:rsidR="00043CC9">
        <w:rPr>
          <w:rFonts w:ascii="Times New Roman" w:hAnsi="Times New Roman" w:cs="Times New Roman"/>
        </w:rPr>
        <w:t>d</w:t>
      </w:r>
      <w:r w:rsidR="00C1197F">
        <w:rPr>
          <w:rFonts w:ascii="Times New Roman" w:hAnsi="Times New Roman" w:cs="Times New Roman"/>
        </w:rPr>
        <w:t xml:space="preserve"> t</w:t>
      </w:r>
      <w:r w:rsidR="00253C63">
        <w:rPr>
          <w:rFonts w:ascii="Times New Roman" w:hAnsi="Times New Roman" w:cs="Times New Roman"/>
        </w:rPr>
        <w:t>w</w:t>
      </w:r>
      <w:r w:rsidR="00C1197F">
        <w:rPr>
          <w:rFonts w:ascii="Times New Roman" w:hAnsi="Times New Roman" w:cs="Times New Roman"/>
        </w:rPr>
        <w:t xml:space="preserve">o strategies </w:t>
      </w:r>
      <w:r w:rsidR="003B1A5F">
        <w:rPr>
          <w:rFonts w:ascii="Times New Roman" w:hAnsi="Times New Roman" w:cs="Times New Roman"/>
        </w:rPr>
        <w:t>in a robustness check</w:t>
      </w:r>
      <w:r w:rsidR="0009080F">
        <w:rPr>
          <w:rFonts w:ascii="Times New Roman" w:hAnsi="Times New Roman" w:cs="Times New Roman"/>
        </w:rPr>
        <w:t xml:space="preserve"> of my findings produced via the Sun and Abraham interaction-based estimator</w:t>
      </w:r>
      <w:r w:rsidR="003B1A5F">
        <w:rPr>
          <w:rFonts w:ascii="Times New Roman" w:hAnsi="Times New Roman" w:cs="Times New Roman"/>
        </w:rPr>
        <w:t xml:space="preserve">. However, my results for both </w:t>
      </w:r>
      <w:r w:rsidR="00BB3B45">
        <w:rPr>
          <w:rFonts w:ascii="Times New Roman" w:hAnsi="Times New Roman" w:cs="Times New Roman"/>
        </w:rPr>
        <w:t xml:space="preserve">of these robustness check </w:t>
      </w:r>
      <w:r w:rsidR="003B1A5F">
        <w:rPr>
          <w:rFonts w:ascii="Times New Roman" w:hAnsi="Times New Roman" w:cs="Times New Roman"/>
        </w:rPr>
        <w:t>strate</w:t>
      </w:r>
      <w:r w:rsidR="000E66C4">
        <w:rPr>
          <w:rFonts w:ascii="Times New Roman" w:hAnsi="Times New Roman" w:cs="Times New Roman"/>
        </w:rPr>
        <w:t>gies</w:t>
      </w:r>
      <w:r w:rsidR="003A1A71">
        <w:rPr>
          <w:rFonts w:ascii="Times New Roman" w:hAnsi="Times New Roman" w:cs="Times New Roman"/>
        </w:rPr>
        <w:t xml:space="preserve"> differ</w:t>
      </w:r>
      <w:r w:rsidR="004F5CA2">
        <w:rPr>
          <w:rFonts w:ascii="Times New Roman" w:hAnsi="Times New Roman" w:cs="Times New Roman"/>
        </w:rPr>
        <w:t>ed</w:t>
      </w:r>
      <w:r w:rsidR="00605B98">
        <w:rPr>
          <w:rFonts w:ascii="Times New Roman" w:hAnsi="Times New Roman" w:cs="Times New Roman"/>
        </w:rPr>
        <w:t xml:space="preserve"> </w:t>
      </w:r>
      <w:r w:rsidR="003A1A71">
        <w:rPr>
          <w:rFonts w:ascii="Times New Roman" w:hAnsi="Times New Roman" w:cs="Times New Roman"/>
        </w:rPr>
        <w:t>from those of my preferred model</w:t>
      </w:r>
      <w:r w:rsidR="0009080F">
        <w:rPr>
          <w:rFonts w:ascii="Times New Roman" w:hAnsi="Times New Roman" w:cs="Times New Roman"/>
        </w:rPr>
        <w:t xml:space="preserve">. </w:t>
      </w:r>
      <w:r w:rsidR="00D20876">
        <w:rPr>
          <w:rFonts w:ascii="Times New Roman" w:hAnsi="Times New Roman" w:cs="Times New Roman"/>
        </w:rPr>
        <w:t>B</w:t>
      </w:r>
      <w:r w:rsidR="00BF0390">
        <w:rPr>
          <w:rFonts w:ascii="Times New Roman" w:hAnsi="Times New Roman" w:cs="Times New Roman"/>
        </w:rPr>
        <w:t xml:space="preserve">oth </w:t>
      </w:r>
      <w:r w:rsidR="005276E5">
        <w:rPr>
          <w:rFonts w:ascii="Times New Roman" w:hAnsi="Times New Roman" w:cs="Times New Roman"/>
        </w:rPr>
        <w:t xml:space="preserve">robustness </w:t>
      </w:r>
      <w:r w:rsidR="00BF0390">
        <w:rPr>
          <w:rFonts w:ascii="Times New Roman" w:hAnsi="Times New Roman" w:cs="Times New Roman"/>
        </w:rPr>
        <w:t xml:space="preserve">checks </w:t>
      </w:r>
      <w:r w:rsidR="004F5CA2">
        <w:rPr>
          <w:rFonts w:ascii="Times New Roman" w:hAnsi="Times New Roman" w:cs="Times New Roman"/>
        </w:rPr>
        <w:t>found</w:t>
      </w:r>
      <w:r w:rsidR="00BF0390">
        <w:rPr>
          <w:rFonts w:ascii="Times New Roman" w:hAnsi="Times New Roman" w:cs="Times New Roman"/>
        </w:rPr>
        <w:t xml:space="preserve"> coefficients of the same sign</w:t>
      </w:r>
      <w:r w:rsidR="00D20876">
        <w:rPr>
          <w:rFonts w:ascii="Times New Roman" w:hAnsi="Times New Roman" w:cs="Times New Roman"/>
        </w:rPr>
        <w:t xml:space="preserve"> which provides some supportive evidence regarding my findings</w:t>
      </w:r>
      <w:r w:rsidR="00643706">
        <w:rPr>
          <w:rFonts w:ascii="Times New Roman" w:hAnsi="Times New Roman" w:cs="Times New Roman"/>
        </w:rPr>
        <w:t xml:space="preserve"> but are far from entirely supportive</w:t>
      </w:r>
      <w:r w:rsidR="00BB3B45">
        <w:rPr>
          <w:rFonts w:ascii="Times New Roman" w:hAnsi="Times New Roman" w:cs="Times New Roman"/>
        </w:rPr>
        <w:t xml:space="preserve">. </w:t>
      </w:r>
      <w:r w:rsidR="00EC29B0">
        <w:rPr>
          <w:rFonts w:ascii="Times New Roman" w:hAnsi="Times New Roman" w:cs="Times New Roman"/>
        </w:rPr>
        <w:t xml:space="preserve">While </w:t>
      </w:r>
      <w:r w:rsidR="00FD25C1">
        <w:rPr>
          <w:rFonts w:ascii="Times New Roman" w:hAnsi="Times New Roman" w:cs="Times New Roman"/>
        </w:rPr>
        <w:t>I believe</w:t>
      </w:r>
      <w:r w:rsidR="00F704F4">
        <w:rPr>
          <w:rFonts w:ascii="Times New Roman" w:hAnsi="Times New Roman" w:cs="Times New Roman"/>
        </w:rPr>
        <w:t>d</w:t>
      </w:r>
      <w:r w:rsidR="00FD25C1">
        <w:rPr>
          <w:rFonts w:ascii="Times New Roman" w:hAnsi="Times New Roman" w:cs="Times New Roman"/>
        </w:rPr>
        <w:t xml:space="preserve"> it is important to consider this</w:t>
      </w:r>
      <w:r w:rsidR="00EC29B0">
        <w:rPr>
          <w:rFonts w:ascii="Times New Roman" w:hAnsi="Times New Roman" w:cs="Times New Roman"/>
        </w:rPr>
        <w:t xml:space="preserve"> </w:t>
      </w:r>
      <w:r w:rsidR="00657F0D">
        <w:rPr>
          <w:rFonts w:ascii="Times New Roman" w:hAnsi="Times New Roman" w:cs="Times New Roman"/>
        </w:rPr>
        <w:t>as reason to</w:t>
      </w:r>
      <w:r w:rsidR="00EC29B0">
        <w:rPr>
          <w:rFonts w:ascii="Times New Roman" w:hAnsi="Times New Roman" w:cs="Times New Roman"/>
        </w:rPr>
        <w:t xml:space="preserve"> interpret</w:t>
      </w:r>
      <w:r w:rsidR="00657F0D">
        <w:rPr>
          <w:rFonts w:ascii="Times New Roman" w:hAnsi="Times New Roman" w:cs="Times New Roman"/>
        </w:rPr>
        <w:t xml:space="preserve"> the results of my p</w:t>
      </w:r>
      <w:r w:rsidR="00BF0390">
        <w:rPr>
          <w:rFonts w:ascii="Times New Roman" w:hAnsi="Times New Roman" w:cs="Times New Roman"/>
        </w:rPr>
        <w:t>re</w:t>
      </w:r>
      <w:r w:rsidR="00657F0D">
        <w:rPr>
          <w:rFonts w:ascii="Times New Roman" w:hAnsi="Times New Roman" w:cs="Times New Roman"/>
        </w:rPr>
        <w:t>fer</w:t>
      </w:r>
      <w:r w:rsidR="00BF0390">
        <w:rPr>
          <w:rFonts w:ascii="Times New Roman" w:hAnsi="Times New Roman" w:cs="Times New Roman"/>
        </w:rPr>
        <w:t>r</w:t>
      </w:r>
      <w:r w:rsidR="00657F0D">
        <w:rPr>
          <w:rFonts w:ascii="Times New Roman" w:hAnsi="Times New Roman" w:cs="Times New Roman"/>
        </w:rPr>
        <w:t>ed model</w:t>
      </w:r>
      <w:r w:rsidR="00EC29B0">
        <w:rPr>
          <w:rFonts w:ascii="Times New Roman" w:hAnsi="Times New Roman" w:cs="Times New Roman"/>
        </w:rPr>
        <w:t xml:space="preserve"> with due caution, </w:t>
      </w:r>
      <w:r w:rsidR="005F12DA">
        <w:rPr>
          <w:rFonts w:ascii="Times New Roman" w:hAnsi="Times New Roman" w:cs="Times New Roman"/>
        </w:rPr>
        <w:t xml:space="preserve">I also </w:t>
      </w:r>
      <w:r w:rsidR="00BC1C1B">
        <w:rPr>
          <w:rFonts w:ascii="Times New Roman" w:hAnsi="Times New Roman" w:cs="Times New Roman"/>
        </w:rPr>
        <w:t>found</w:t>
      </w:r>
      <w:r w:rsidR="005F12DA">
        <w:rPr>
          <w:rFonts w:ascii="Times New Roman" w:hAnsi="Times New Roman" w:cs="Times New Roman"/>
        </w:rPr>
        <w:t xml:space="preserve"> these differing results as</w:t>
      </w:r>
      <w:r w:rsidR="000E66C4">
        <w:rPr>
          <w:rFonts w:ascii="Times New Roman" w:hAnsi="Times New Roman" w:cs="Times New Roman"/>
        </w:rPr>
        <w:t xml:space="preserve"> </w:t>
      </w:r>
      <w:r w:rsidR="000E45B2">
        <w:rPr>
          <w:rFonts w:ascii="Times New Roman" w:hAnsi="Times New Roman" w:cs="Times New Roman"/>
        </w:rPr>
        <w:t xml:space="preserve">more </w:t>
      </w:r>
      <w:r w:rsidR="000E66C4">
        <w:rPr>
          <w:rFonts w:ascii="Times New Roman" w:hAnsi="Times New Roman" w:cs="Times New Roman"/>
        </w:rPr>
        <w:t xml:space="preserve">reflective of issues that </w:t>
      </w:r>
      <w:r w:rsidR="003A1A71">
        <w:rPr>
          <w:rFonts w:ascii="Times New Roman" w:hAnsi="Times New Roman" w:cs="Times New Roman"/>
        </w:rPr>
        <w:t xml:space="preserve">led to both approaches not being selected </w:t>
      </w:r>
      <w:r w:rsidR="0092300E">
        <w:rPr>
          <w:rFonts w:ascii="Times New Roman" w:hAnsi="Times New Roman" w:cs="Times New Roman"/>
        </w:rPr>
        <w:t>as my primary analysis strategy</w:t>
      </w:r>
      <w:r w:rsidR="005F12DA">
        <w:rPr>
          <w:rFonts w:ascii="Times New Roman" w:hAnsi="Times New Roman" w:cs="Times New Roman"/>
        </w:rPr>
        <w:t xml:space="preserve"> for this study</w:t>
      </w:r>
      <w:r w:rsidR="0092300E">
        <w:rPr>
          <w:rFonts w:ascii="Times New Roman" w:hAnsi="Times New Roman" w:cs="Times New Roman"/>
        </w:rPr>
        <w:t xml:space="preserve">. </w:t>
      </w:r>
    </w:p>
    <w:p w14:paraId="4B9AB20B" w14:textId="58057AAC" w:rsidR="00DC2C93" w:rsidRDefault="00026DD5" w:rsidP="008524FA">
      <w:pPr>
        <w:spacing w:line="480" w:lineRule="auto"/>
        <w:rPr>
          <w:rFonts w:ascii="Times New Roman" w:hAnsi="Times New Roman" w:cs="Times New Roman"/>
        </w:rPr>
      </w:pPr>
      <w:r>
        <w:rPr>
          <w:rFonts w:ascii="Times New Roman" w:hAnsi="Times New Roman" w:cs="Times New Roman"/>
        </w:rPr>
        <w:tab/>
      </w:r>
      <w:r w:rsidR="00033559">
        <w:rPr>
          <w:rFonts w:ascii="Times New Roman" w:hAnsi="Times New Roman" w:cs="Times New Roman"/>
        </w:rPr>
        <w:t xml:space="preserve">The imputation approach </w:t>
      </w:r>
      <w:r w:rsidR="00BC1C1B">
        <w:rPr>
          <w:rFonts w:ascii="Times New Roman" w:hAnsi="Times New Roman" w:cs="Times New Roman"/>
        </w:rPr>
        <w:t>did</w:t>
      </w:r>
      <w:r w:rsidR="0038610B">
        <w:rPr>
          <w:rFonts w:ascii="Times New Roman" w:hAnsi="Times New Roman" w:cs="Times New Roman"/>
        </w:rPr>
        <w:t xml:space="preserve"> not meet </w:t>
      </w:r>
      <w:r w:rsidR="007A0152">
        <w:rPr>
          <w:rFonts w:ascii="Times New Roman" w:hAnsi="Times New Roman" w:cs="Times New Roman"/>
        </w:rPr>
        <w:t xml:space="preserve">the </w:t>
      </w:r>
      <w:r w:rsidR="004C4496">
        <w:rPr>
          <w:rFonts w:ascii="Times New Roman" w:hAnsi="Times New Roman" w:cs="Times New Roman"/>
        </w:rPr>
        <w:t>parallel</w:t>
      </w:r>
      <w:r w:rsidR="0038610B">
        <w:rPr>
          <w:rFonts w:ascii="Times New Roman" w:hAnsi="Times New Roman" w:cs="Times New Roman"/>
        </w:rPr>
        <w:t xml:space="preserve"> </w:t>
      </w:r>
      <w:r w:rsidR="007A0152">
        <w:rPr>
          <w:rFonts w:ascii="Times New Roman" w:hAnsi="Times New Roman" w:cs="Times New Roman"/>
        </w:rPr>
        <w:t xml:space="preserve">pre-treatment </w:t>
      </w:r>
      <w:r w:rsidR="0038610B">
        <w:rPr>
          <w:rFonts w:ascii="Times New Roman" w:hAnsi="Times New Roman" w:cs="Times New Roman"/>
        </w:rPr>
        <w:t>trends assumption for three of my ten outcome variables</w:t>
      </w:r>
      <w:r w:rsidR="007A0152">
        <w:rPr>
          <w:rFonts w:ascii="Times New Roman" w:hAnsi="Times New Roman" w:cs="Times New Roman"/>
        </w:rPr>
        <w:t>.</w:t>
      </w:r>
      <w:r w:rsidR="0038610B">
        <w:rPr>
          <w:rFonts w:ascii="Times New Roman" w:hAnsi="Times New Roman" w:cs="Times New Roman"/>
        </w:rPr>
        <w:t xml:space="preserve"> </w:t>
      </w:r>
      <w:r w:rsidR="007A0152">
        <w:rPr>
          <w:rFonts w:ascii="Times New Roman" w:hAnsi="Times New Roman" w:cs="Times New Roman"/>
        </w:rPr>
        <w:t xml:space="preserve">Further, it </w:t>
      </w:r>
      <w:r w:rsidR="00B82E54">
        <w:rPr>
          <w:rFonts w:ascii="Times New Roman" w:hAnsi="Times New Roman" w:cs="Times New Roman"/>
        </w:rPr>
        <w:t>did</w:t>
      </w:r>
      <w:r w:rsidR="00C93046">
        <w:rPr>
          <w:rFonts w:ascii="Times New Roman" w:hAnsi="Times New Roman" w:cs="Times New Roman"/>
        </w:rPr>
        <w:t xml:space="preserve"> not </w:t>
      </w:r>
      <w:r w:rsidR="005B6ACB">
        <w:rPr>
          <w:rFonts w:ascii="Times New Roman" w:hAnsi="Times New Roman" w:cs="Times New Roman"/>
        </w:rPr>
        <w:t>produce</w:t>
      </w:r>
      <w:r w:rsidR="00C93046">
        <w:rPr>
          <w:rFonts w:ascii="Times New Roman" w:hAnsi="Times New Roman" w:cs="Times New Roman"/>
        </w:rPr>
        <w:t xml:space="preserve"> significant results for the models that </w:t>
      </w:r>
      <w:r w:rsidR="00287A6F">
        <w:rPr>
          <w:rFonts w:ascii="Times New Roman" w:hAnsi="Times New Roman" w:cs="Times New Roman"/>
        </w:rPr>
        <w:t>did</w:t>
      </w:r>
      <w:r w:rsidR="00C93046">
        <w:rPr>
          <w:rFonts w:ascii="Times New Roman" w:hAnsi="Times New Roman" w:cs="Times New Roman"/>
        </w:rPr>
        <w:t xml:space="preserve"> meet the assumption of parallel pre-treatment trends.</w:t>
      </w:r>
      <w:r w:rsidR="00DC2D35">
        <w:rPr>
          <w:rFonts w:ascii="Times New Roman" w:hAnsi="Times New Roman" w:cs="Times New Roman"/>
        </w:rPr>
        <w:t xml:space="preserve"> The decomposition approach </w:t>
      </w:r>
      <w:r w:rsidR="00B72267">
        <w:rPr>
          <w:rFonts w:ascii="Times New Roman" w:hAnsi="Times New Roman" w:cs="Times New Roman"/>
        </w:rPr>
        <w:t>appeared</w:t>
      </w:r>
      <w:r w:rsidR="00DC2D35">
        <w:rPr>
          <w:rFonts w:ascii="Times New Roman" w:hAnsi="Times New Roman" w:cs="Times New Roman"/>
        </w:rPr>
        <w:t xml:space="preserve"> to not account for unit-specific time trends and thus</w:t>
      </w:r>
      <w:r w:rsidR="00E2624F">
        <w:rPr>
          <w:rFonts w:ascii="Times New Roman" w:hAnsi="Times New Roman" w:cs="Times New Roman"/>
        </w:rPr>
        <w:t xml:space="preserve"> </w:t>
      </w:r>
      <w:r w:rsidR="0051103F">
        <w:rPr>
          <w:rFonts w:ascii="Times New Roman" w:hAnsi="Times New Roman" w:cs="Times New Roman"/>
        </w:rPr>
        <w:t>provide</w:t>
      </w:r>
      <w:r w:rsidR="00B72267">
        <w:rPr>
          <w:rFonts w:ascii="Times New Roman" w:hAnsi="Times New Roman" w:cs="Times New Roman"/>
        </w:rPr>
        <w:t xml:space="preserve">d </w:t>
      </w:r>
      <w:r w:rsidR="0051103F">
        <w:rPr>
          <w:rFonts w:ascii="Times New Roman" w:hAnsi="Times New Roman" w:cs="Times New Roman"/>
        </w:rPr>
        <w:t xml:space="preserve">upwardly biased estimates of graduates </w:t>
      </w:r>
      <w:r w:rsidR="00B27A53">
        <w:rPr>
          <w:rFonts w:ascii="Times New Roman" w:hAnsi="Times New Roman" w:cs="Times New Roman"/>
        </w:rPr>
        <w:t>that reflect</w:t>
      </w:r>
      <w:r w:rsidR="00B72267">
        <w:rPr>
          <w:rFonts w:ascii="Times New Roman" w:hAnsi="Times New Roman" w:cs="Times New Roman"/>
        </w:rPr>
        <w:t>ed</w:t>
      </w:r>
      <w:r w:rsidR="00B27A53">
        <w:rPr>
          <w:rFonts w:ascii="Times New Roman" w:hAnsi="Times New Roman" w:cs="Times New Roman"/>
        </w:rPr>
        <w:t xml:space="preserve"> </w:t>
      </w:r>
      <w:r w:rsidR="00485C57">
        <w:rPr>
          <w:rFonts w:ascii="Times New Roman" w:hAnsi="Times New Roman" w:cs="Times New Roman"/>
        </w:rPr>
        <w:t xml:space="preserve">an increasing number of graduates over the past two decades rather than </w:t>
      </w:r>
      <w:r w:rsidR="00885E01">
        <w:rPr>
          <w:rFonts w:ascii="Times New Roman" w:hAnsi="Times New Roman" w:cs="Times New Roman"/>
        </w:rPr>
        <w:t xml:space="preserve">an effect induced by promise program adoption. </w:t>
      </w:r>
      <w:r w:rsidR="00F667AA">
        <w:rPr>
          <w:rFonts w:ascii="Times New Roman" w:hAnsi="Times New Roman" w:cs="Times New Roman"/>
        </w:rPr>
        <w:t xml:space="preserve">These shortcomings </w:t>
      </w:r>
      <w:r w:rsidR="00186546">
        <w:rPr>
          <w:rFonts w:ascii="Times New Roman" w:hAnsi="Times New Roman" w:cs="Times New Roman"/>
        </w:rPr>
        <w:t>temper</w:t>
      </w:r>
      <w:r w:rsidR="00B72267">
        <w:rPr>
          <w:rFonts w:ascii="Times New Roman" w:hAnsi="Times New Roman" w:cs="Times New Roman"/>
        </w:rPr>
        <w:t>ed</w:t>
      </w:r>
      <w:r w:rsidR="00186546">
        <w:rPr>
          <w:rFonts w:ascii="Times New Roman" w:hAnsi="Times New Roman" w:cs="Times New Roman"/>
        </w:rPr>
        <w:t xml:space="preserve"> my </w:t>
      </w:r>
      <w:r w:rsidR="0066369B">
        <w:rPr>
          <w:rFonts w:ascii="Times New Roman" w:hAnsi="Times New Roman" w:cs="Times New Roman"/>
        </w:rPr>
        <w:t>interpretation of these robustness checks as not directly contradictory to my main estimators found via Sun and Abrah</w:t>
      </w:r>
      <w:r w:rsidR="007A0152">
        <w:rPr>
          <w:rFonts w:ascii="Times New Roman" w:hAnsi="Times New Roman" w:cs="Times New Roman"/>
        </w:rPr>
        <w:t>a</w:t>
      </w:r>
      <w:r w:rsidR="0066369B">
        <w:rPr>
          <w:rFonts w:ascii="Times New Roman" w:hAnsi="Times New Roman" w:cs="Times New Roman"/>
        </w:rPr>
        <w:t xml:space="preserve">m’s </w:t>
      </w:r>
      <w:r w:rsidR="00431C20">
        <w:rPr>
          <w:rFonts w:ascii="Times New Roman" w:hAnsi="Times New Roman" w:cs="Times New Roman"/>
        </w:rPr>
        <w:t xml:space="preserve">(2021) </w:t>
      </w:r>
      <w:r w:rsidR="0066369B">
        <w:rPr>
          <w:rFonts w:ascii="Times New Roman" w:hAnsi="Times New Roman" w:cs="Times New Roman"/>
        </w:rPr>
        <w:t>event study approach</w:t>
      </w:r>
      <w:r w:rsidR="00CA7D9E">
        <w:rPr>
          <w:rFonts w:ascii="Times New Roman" w:hAnsi="Times New Roman" w:cs="Times New Roman"/>
        </w:rPr>
        <w:t xml:space="preserve">. </w:t>
      </w:r>
      <w:r w:rsidR="0066369B">
        <w:rPr>
          <w:rFonts w:ascii="Times New Roman" w:hAnsi="Times New Roman" w:cs="Times New Roman"/>
        </w:rPr>
        <w:t xml:space="preserve">Instead, it should be considered that </w:t>
      </w:r>
      <w:r w:rsidR="00FA6051">
        <w:rPr>
          <w:rFonts w:ascii="Times New Roman" w:hAnsi="Times New Roman" w:cs="Times New Roman"/>
        </w:rPr>
        <w:t>the shortcomings in these approaches reiterate</w:t>
      </w:r>
      <w:r w:rsidR="00B72267">
        <w:rPr>
          <w:rFonts w:ascii="Times New Roman" w:hAnsi="Times New Roman" w:cs="Times New Roman"/>
        </w:rPr>
        <w:t>d</w:t>
      </w:r>
      <w:r w:rsidR="00FA6051">
        <w:rPr>
          <w:rFonts w:ascii="Times New Roman" w:hAnsi="Times New Roman" w:cs="Times New Roman"/>
        </w:rPr>
        <w:t xml:space="preserve"> that the </w:t>
      </w:r>
      <w:r w:rsidR="009F01B4">
        <w:rPr>
          <w:rFonts w:ascii="Times New Roman" w:hAnsi="Times New Roman" w:cs="Times New Roman"/>
        </w:rPr>
        <w:t xml:space="preserve">Sun and Abraham interaction-based </w:t>
      </w:r>
      <w:r w:rsidR="00FA6051">
        <w:rPr>
          <w:rFonts w:ascii="Times New Roman" w:hAnsi="Times New Roman" w:cs="Times New Roman"/>
        </w:rPr>
        <w:t xml:space="preserve">event study approach was the best model for this study given the state of staggered difference-in-difference </w:t>
      </w:r>
      <w:r w:rsidR="00FA6051">
        <w:rPr>
          <w:rFonts w:ascii="Times New Roman" w:hAnsi="Times New Roman" w:cs="Times New Roman"/>
        </w:rPr>
        <w:lastRenderedPageBreak/>
        <w:t>methods</w:t>
      </w:r>
      <w:r w:rsidR="0085438F">
        <w:rPr>
          <w:rFonts w:ascii="Times New Roman" w:hAnsi="Times New Roman" w:cs="Times New Roman"/>
        </w:rPr>
        <w:t xml:space="preserve">. </w:t>
      </w:r>
      <w:r w:rsidR="004B00B4">
        <w:rPr>
          <w:rFonts w:ascii="Times New Roman" w:hAnsi="Times New Roman" w:cs="Times New Roman"/>
        </w:rPr>
        <w:t xml:space="preserve">To </w:t>
      </w:r>
      <w:r w:rsidR="003B0709">
        <w:rPr>
          <w:rFonts w:ascii="Times New Roman" w:hAnsi="Times New Roman" w:cs="Times New Roman"/>
        </w:rPr>
        <w:t>summarize</w:t>
      </w:r>
      <w:r w:rsidR="004B00B4">
        <w:rPr>
          <w:rFonts w:ascii="Times New Roman" w:hAnsi="Times New Roman" w:cs="Times New Roman"/>
        </w:rPr>
        <w:t xml:space="preserve"> the findings of the Sun and </w:t>
      </w:r>
      <w:r w:rsidR="006B0689">
        <w:rPr>
          <w:rFonts w:ascii="Times New Roman" w:hAnsi="Times New Roman" w:cs="Times New Roman"/>
        </w:rPr>
        <w:t>Abraham</w:t>
      </w:r>
      <w:r w:rsidR="004B00B4">
        <w:rPr>
          <w:rFonts w:ascii="Times New Roman" w:hAnsi="Times New Roman" w:cs="Times New Roman"/>
        </w:rPr>
        <w:t xml:space="preserve"> event study approach</w:t>
      </w:r>
      <w:r w:rsidR="006A7041">
        <w:rPr>
          <w:rFonts w:ascii="Times New Roman" w:hAnsi="Times New Roman" w:cs="Times New Roman"/>
        </w:rPr>
        <w:t xml:space="preserve">, I </w:t>
      </w:r>
      <w:r w:rsidR="0085438F">
        <w:rPr>
          <w:rFonts w:ascii="Times New Roman" w:hAnsi="Times New Roman" w:cs="Times New Roman"/>
        </w:rPr>
        <w:t>found</w:t>
      </w:r>
      <w:r w:rsidR="006A7041">
        <w:rPr>
          <w:rFonts w:ascii="Times New Roman" w:hAnsi="Times New Roman" w:cs="Times New Roman"/>
        </w:rPr>
        <w:t xml:space="preserve"> evidence </w:t>
      </w:r>
      <w:r w:rsidR="00FD0EE2">
        <w:rPr>
          <w:rFonts w:ascii="Times New Roman" w:hAnsi="Times New Roman" w:cs="Times New Roman"/>
        </w:rPr>
        <w:t xml:space="preserve">that promise programs do increase sub-baccalaureate awards at the associates degree and </w:t>
      </w:r>
      <w:r w:rsidR="00121DF3">
        <w:rPr>
          <w:rFonts w:ascii="Times New Roman" w:hAnsi="Times New Roman" w:cs="Times New Roman"/>
        </w:rPr>
        <w:t xml:space="preserve">short-term </w:t>
      </w:r>
      <w:r w:rsidR="00FD0EE2">
        <w:rPr>
          <w:rFonts w:ascii="Times New Roman" w:hAnsi="Times New Roman" w:cs="Times New Roman"/>
        </w:rPr>
        <w:t>credential level</w:t>
      </w:r>
      <w:r w:rsidR="00121DF3">
        <w:rPr>
          <w:rFonts w:ascii="Times New Roman" w:hAnsi="Times New Roman" w:cs="Times New Roman"/>
        </w:rPr>
        <w:t>.</w:t>
      </w:r>
      <w:r w:rsidR="004B00B4">
        <w:rPr>
          <w:rFonts w:ascii="Times New Roman" w:hAnsi="Times New Roman" w:cs="Times New Roman"/>
        </w:rPr>
        <w:t xml:space="preserve"> </w:t>
      </w:r>
      <w:r w:rsidR="005D785D">
        <w:rPr>
          <w:rFonts w:ascii="Times New Roman" w:hAnsi="Times New Roman" w:cs="Times New Roman"/>
        </w:rPr>
        <w:t>I estimate</w:t>
      </w:r>
      <w:r w:rsidR="0085438F">
        <w:rPr>
          <w:rFonts w:ascii="Times New Roman" w:hAnsi="Times New Roman" w:cs="Times New Roman"/>
        </w:rPr>
        <w:t>d</w:t>
      </w:r>
      <w:r w:rsidR="005D785D">
        <w:rPr>
          <w:rFonts w:ascii="Times New Roman" w:hAnsi="Times New Roman" w:cs="Times New Roman"/>
        </w:rPr>
        <w:t xml:space="preserve"> that the effect of promise program adoption increases </w:t>
      </w:r>
      <w:r w:rsidR="00F501FB">
        <w:rPr>
          <w:rFonts w:ascii="Times New Roman" w:hAnsi="Times New Roman" w:cs="Times New Roman"/>
        </w:rPr>
        <w:t>award production at institutions by</w:t>
      </w:r>
      <w:r w:rsidR="00A75938">
        <w:rPr>
          <w:rFonts w:ascii="Times New Roman" w:hAnsi="Times New Roman" w:cs="Times New Roman"/>
        </w:rPr>
        <w:t xml:space="preserve"> </w:t>
      </w:r>
      <w:r w:rsidR="007C4B87">
        <w:rPr>
          <w:rFonts w:ascii="Times New Roman" w:hAnsi="Times New Roman" w:cs="Times New Roman"/>
        </w:rPr>
        <w:t>up to 8.6% for all sub-baccalaureate awards.</w:t>
      </w:r>
      <w:r w:rsidR="00F501FB">
        <w:rPr>
          <w:rFonts w:ascii="Times New Roman" w:hAnsi="Times New Roman" w:cs="Times New Roman"/>
        </w:rPr>
        <w:t xml:space="preserve"> </w:t>
      </w:r>
      <w:bookmarkStart w:id="164" w:name="_Toc420995910"/>
      <w:bookmarkStart w:id="165" w:name="_Toc422997497"/>
      <w:bookmarkStart w:id="166" w:name="_Toc427156482"/>
    </w:p>
    <w:p w14:paraId="74649CD8" w14:textId="77777777" w:rsidR="00DC2C93" w:rsidRDefault="00DC2C93">
      <w:pPr>
        <w:rPr>
          <w:rFonts w:ascii="Times New Roman" w:hAnsi="Times New Roman" w:cs="Times New Roman"/>
        </w:rPr>
      </w:pPr>
      <w:r>
        <w:rPr>
          <w:rFonts w:ascii="Times New Roman" w:hAnsi="Times New Roman" w:cs="Times New Roman"/>
        </w:rPr>
        <w:br w:type="page"/>
      </w:r>
    </w:p>
    <w:p w14:paraId="6DAF1050" w14:textId="7CE05224" w:rsidR="002D1B93" w:rsidRPr="002D1B93" w:rsidRDefault="0036471E" w:rsidP="008524FA">
      <w:pPr>
        <w:pStyle w:val="Heading1"/>
      </w:pPr>
      <w:bookmarkStart w:id="167" w:name="_Toc183282288"/>
      <w:r>
        <w:lastRenderedPageBreak/>
        <w:t>Chapter 5</w:t>
      </w:r>
      <w:bookmarkEnd w:id="164"/>
      <w:bookmarkEnd w:id="165"/>
      <w:bookmarkEnd w:id="166"/>
      <w:bookmarkEnd w:id="167"/>
      <w:r w:rsidR="005C5183">
        <w:t xml:space="preserve"> </w:t>
      </w:r>
    </w:p>
    <w:p w14:paraId="46317B68" w14:textId="654A23DD" w:rsidR="002E752C" w:rsidRDefault="002D1B93"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BC339B">
        <w:rPr>
          <w:rFonts w:ascii="Times New Roman" w:hAnsi="Times New Roman" w:cs="Times New Roman"/>
        </w:rPr>
        <w:t xml:space="preserve">My purpose in conducting this study was to </w:t>
      </w:r>
      <w:r w:rsidR="00C21F29">
        <w:rPr>
          <w:rFonts w:ascii="Times New Roman" w:hAnsi="Times New Roman" w:cs="Times New Roman"/>
        </w:rPr>
        <w:t xml:space="preserve">estimate </w:t>
      </w:r>
      <w:r w:rsidR="00BC339B">
        <w:rPr>
          <w:rFonts w:ascii="Times New Roman" w:hAnsi="Times New Roman" w:cs="Times New Roman"/>
        </w:rPr>
        <w:t>the effect of promise programs on sub-baccalaureate completion rates</w:t>
      </w:r>
      <w:r w:rsidR="00C21F29">
        <w:rPr>
          <w:rFonts w:ascii="Times New Roman" w:hAnsi="Times New Roman" w:cs="Times New Roman"/>
        </w:rPr>
        <w:t xml:space="preserve"> utilizing a staggered difference-in-difference design</w:t>
      </w:r>
      <w:r w:rsidR="00BC339B">
        <w:rPr>
          <w:rFonts w:ascii="Times New Roman" w:hAnsi="Times New Roman" w:cs="Times New Roman"/>
        </w:rPr>
        <w:t>.</w:t>
      </w:r>
      <w:r w:rsidR="00C21F29">
        <w:rPr>
          <w:rFonts w:ascii="Times New Roman" w:hAnsi="Times New Roman" w:cs="Times New Roman"/>
        </w:rPr>
        <w:t xml:space="preserve"> </w:t>
      </w:r>
      <w:r w:rsidR="00E669FA">
        <w:rPr>
          <w:rFonts w:ascii="Times New Roman" w:hAnsi="Times New Roman" w:cs="Times New Roman"/>
        </w:rPr>
        <w:t xml:space="preserve">Providing a national estimate </w:t>
      </w:r>
      <w:r w:rsidR="008F445D">
        <w:rPr>
          <w:rFonts w:ascii="Times New Roman" w:hAnsi="Times New Roman" w:cs="Times New Roman"/>
        </w:rPr>
        <w:t xml:space="preserve">for the effect of promise programs </w:t>
      </w:r>
      <w:r w:rsidR="00B94829">
        <w:rPr>
          <w:rFonts w:ascii="Times New Roman" w:hAnsi="Times New Roman" w:cs="Times New Roman"/>
        </w:rPr>
        <w:t>holds significance to the field of postsecondary education policy</w:t>
      </w:r>
      <w:r w:rsidR="00925296">
        <w:rPr>
          <w:rFonts w:ascii="Times New Roman" w:hAnsi="Times New Roman" w:cs="Times New Roman"/>
        </w:rPr>
        <w:t xml:space="preserve"> because as the cost of college continues to increase, </w:t>
      </w:r>
      <w:r w:rsidR="008B28C7">
        <w:rPr>
          <w:rFonts w:ascii="Times New Roman" w:hAnsi="Times New Roman" w:cs="Times New Roman"/>
        </w:rPr>
        <w:t xml:space="preserve">these free college programs have proliferated. </w:t>
      </w:r>
      <w:r w:rsidR="000557A8">
        <w:rPr>
          <w:rFonts w:ascii="Times New Roman" w:hAnsi="Times New Roman" w:cs="Times New Roman"/>
        </w:rPr>
        <w:t xml:space="preserve">In response </w:t>
      </w:r>
      <w:r w:rsidR="00C21D6F">
        <w:rPr>
          <w:rFonts w:ascii="Times New Roman" w:hAnsi="Times New Roman" w:cs="Times New Roman"/>
        </w:rPr>
        <w:t>states, non-profits, and postsecondary institutions have invested the funding necessary to provide students with access to free college</w:t>
      </w:r>
      <w:r w:rsidR="000557A8">
        <w:rPr>
          <w:rFonts w:ascii="Times New Roman" w:hAnsi="Times New Roman" w:cs="Times New Roman"/>
        </w:rPr>
        <w:t xml:space="preserve"> during this proliferation of college promise programs over the past twenty years.</w:t>
      </w:r>
    </w:p>
    <w:p w14:paraId="0ACBB705" w14:textId="1E9C43CC" w:rsidR="00C21D6F" w:rsidRDefault="00C21D6F"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While these programs </w:t>
      </w:r>
      <w:r w:rsidR="00EC061A">
        <w:rPr>
          <w:rFonts w:ascii="Times New Roman" w:hAnsi="Times New Roman" w:cs="Times New Roman"/>
        </w:rPr>
        <w:t xml:space="preserve">vary in what is covered and how they affect student charges, </w:t>
      </w:r>
      <w:r w:rsidR="00F43D5E">
        <w:rPr>
          <w:rFonts w:ascii="Times New Roman" w:hAnsi="Times New Roman" w:cs="Times New Roman"/>
        </w:rPr>
        <w:t xml:space="preserve">the message of free college for students has been found to increase student outcomes </w:t>
      </w:r>
      <w:r w:rsidR="00CC791E">
        <w:rPr>
          <w:rFonts w:ascii="Times New Roman" w:hAnsi="Times New Roman" w:cs="Times New Roman"/>
        </w:rPr>
        <w:t>such as enrollment and completion</w:t>
      </w:r>
      <w:r w:rsidR="0011567F">
        <w:rPr>
          <w:rFonts w:ascii="Times New Roman" w:hAnsi="Times New Roman" w:cs="Times New Roman"/>
        </w:rPr>
        <w:t xml:space="preserve"> (</w:t>
      </w:r>
      <w:r w:rsidR="00E8033F">
        <w:rPr>
          <w:rFonts w:ascii="Times New Roman" w:hAnsi="Times New Roman" w:cs="Times New Roman"/>
        </w:rPr>
        <w:t xml:space="preserve">Bartik et al., 2021; Bifulco, 2019; </w:t>
      </w:r>
      <w:r w:rsidR="009B239C">
        <w:rPr>
          <w:rFonts w:ascii="Times New Roman" w:hAnsi="Times New Roman" w:cs="Times New Roman"/>
        </w:rPr>
        <w:t xml:space="preserve">Burland et al., 2023; </w:t>
      </w:r>
      <w:r w:rsidR="00915637" w:rsidRPr="003C6DFC">
        <w:rPr>
          <w:rFonts w:ascii="Times New Roman" w:hAnsi="Times New Roman" w:cs="Times New Roman"/>
        </w:rPr>
        <w:t>Carruthers and Fox</w:t>
      </w:r>
      <w:r w:rsidR="00915637">
        <w:rPr>
          <w:rFonts w:ascii="Times New Roman" w:hAnsi="Times New Roman" w:cs="Times New Roman"/>
        </w:rPr>
        <w:t xml:space="preserve">, 2023; </w:t>
      </w:r>
      <w:r w:rsidR="00E8033F">
        <w:rPr>
          <w:rFonts w:ascii="Times New Roman" w:hAnsi="Times New Roman" w:cs="Times New Roman"/>
        </w:rPr>
        <w:t xml:space="preserve">Daughtery &amp; Gonzalez, 2016; </w:t>
      </w:r>
      <w:r w:rsidR="00915637" w:rsidRPr="003C6DFC">
        <w:rPr>
          <w:rFonts w:ascii="Times New Roman" w:hAnsi="Times New Roman" w:cs="Times New Roman"/>
        </w:rPr>
        <w:t>Dynarski et al.</w:t>
      </w:r>
      <w:r w:rsidR="00915637">
        <w:rPr>
          <w:rFonts w:ascii="Times New Roman" w:hAnsi="Times New Roman" w:cs="Times New Roman"/>
        </w:rPr>
        <w:t xml:space="preserve">, 2023; </w:t>
      </w:r>
      <w:r w:rsidR="009B239C" w:rsidRPr="003C6DFC">
        <w:rPr>
          <w:rFonts w:ascii="Times New Roman" w:hAnsi="Times New Roman" w:cs="Times New Roman"/>
        </w:rPr>
        <w:t>Gándara</w:t>
      </w:r>
      <w:r w:rsidR="009B239C">
        <w:rPr>
          <w:rFonts w:ascii="Times New Roman" w:hAnsi="Times New Roman" w:cs="Times New Roman"/>
        </w:rPr>
        <w:t xml:space="preserve"> &amp; Li, 2020; Li &amp; </w:t>
      </w:r>
      <w:r w:rsidR="009B239C" w:rsidRPr="003C6DFC">
        <w:rPr>
          <w:rFonts w:ascii="Times New Roman" w:hAnsi="Times New Roman" w:cs="Times New Roman"/>
        </w:rPr>
        <w:t>Gándara</w:t>
      </w:r>
      <w:r w:rsidR="009B239C">
        <w:rPr>
          <w:rFonts w:ascii="Times New Roman" w:hAnsi="Times New Roman" w:cs="Times New Roman"/>
        </w:rPr>
        <w:t xml:space="preserve">, 2020; </w:t>
      </w:r>
      <w:r w:rsidR="00E8033F">
        <w:rPr>
          <w:rFonts w:ascii="Times New Roman" w:hAnsi="Times New Roman" w:cs="Times New Roman"/>
        </w:rPr>
        <w:t xml:space="preserve">Nguyen, 2019; </w:t>
      </w:r>
      <w:r w:rsidR="00915637" w:rsidRPr="003C6DFC">
        <w:rPr>
          <w:rFonts w:ascii="Times New Roman" w:hAnsi="Times New Roman" w:cs="Times New Roman"/>
        </w:rPr>
        <w:t>Nguyen et al.</w:t>
      </w:r>
      <w:r w:rsidR="00915637">
        <w:rPr>
          <w:rFonts w:ascii="Times New Roman" w:hAnsi="Times New Roman" w:cs="Times New Roman"/>
        </w:rPr>
        <w:t>, 2019; St. John et al.</w:t>
      </w:r>
      <w:r w:rsidR="00E8033F">
        <w:rPr>
          <w:rFonts w:ascii="Times New Roman" w:hAnsi="Times New Roman" w:cs="Times New Roman"/>
        </w:rPr>
        <w:t>, 2003</w:t>
      </w:r>
      <w:r w:rsidR="00757E99">
        <w:rPr>
          <w:rFonts w:ascii="Times New Roman" w:hAnsi="Times New Roman" w:cs="Times New Roman"/>
        </w:rPr>
        <w:t xml:space="preserve">; </w:t>
      </w:r>
      <w:r w:rsidR="00915637" w:rsidRPr="003C6DFC">
        <w:rPr>
          <w:rFonts w:ascii="Times New Roman" w:hAnsi="Times New Roman" w:cs="Times New Roman"/>
        </w:rPr>
        <w:t xml:space="preserve">Swanson et al. </w:t>
      </w:r>
      <w:r w:rsidR="00915637">
        <w:rPr>
          <w:rFonts w:ascii="Times New Roman" w:hAnsi="Times New Roman" w:cs="Times New Roman"/>
        </w:rPr>
        <w:t>2020)</w:t>
      </w:r>
      <w:r w:rsidR="009B239C">
        <w:rPr>
          <w:rFonts w:ascii="Times New Roman" w:hAnsi="Times New Roman" w:cs="Times New Roman"/>
        </w:rPr>
        <w:t>.</w:t>
      </w:r>
      <w:r w:rsidR="00CC791E">
        <w:rPr>
          <w:rFonts w:ascii="Times New Roman" w:hAnsi="Times New Roman" w:cs="Times New Roman"/>
        </w:rPr>
        <w:t xml:space="preserve"> However, the adoption of these promise programs has been non-uniform and spread </w:t>
      </w:r>
      <w:r w:rsidR="00975F0D">
        <w:rPr>
          <w:rFonts w:ascii="Times New Roman" w:hAnsi="Times New Roman" w:cs="Times New Roman"/>
        </w:rPr>
        <w:t xml:space="preserve">organically as states, non-profits, and institutions secure the funding and support to fund the costs that are </w:t>
      </w:r>
      <w:r w:rsidR="00A80E5E">
        <w:rPr>
          <w:rFonts w:ascii="Times New Roman" w:hAnsi="Times New Roman" w:cs="Times New Roman"/>
        </w:rPr>
        <w:t>off boarded</w:t>
      </w:r>
      <w:r w:rsidR="00975F0D">
        <w:rPr>
          <w:rFonts w:ascii="Times New Roman" w:hAnsi="Times New Roman" w:cs="Times New Roman"/>
        </w:rPr>
        <w:t xml:space="preserve"> from students when a promise program is adopted</w:t>
      </w:r>
      <w:r w:rsidR="008E27F6">
        <w:rPr>
          <w:rFonts w:ascii="Times New Roman" w:hAnsi="Times New Roman" w:cs="Times New Roman"/>
        </w:rPr>
        <w:t xml:space="preserve"> (</w:t>
      </w:r>
      <w:r w:rsidR="00C92A2F">
        <w:rPr>
          <w:rFonts w:ascii="Times New Roman" w:hAnsi="Times New Roman" w:cs="Times New Roman"/>
        </w:rPr>
        <w:t xml:space="preserve">Billings, 2018; </w:t>
      </w:r>
      <w:r w:rsidR="008E27F6">
        <w:rPr>
          <w:rFonts w:ascii="Times New Roman" w:hAnsi="Times New Roman" w:cs="Times New Roman"/>
        </w:rPr>
        <w:t xml:space="preserve">Perna </w:t>
      </w:r>
      <w:r w:rsidR="001606CE">
        <w:rPr>
          <w:rFonts w:ascii="Times New Roman" w:hAnsi="Times New Roman" w:cs="Times New Roman"/>
        </w:rPr>
        <w:t>&amp; Leigh, 2018)</w:t>
      </w:r>
      <w:r w:rsidR="00975F0D">
        <w:rPr>
          <w:rFonts w:ascii="Times New Roman" w:hAnsi="Times New Roman" w:cs="Times New Roman"/>
        </w:rPr>
        <w:t>. Th</w:t>
      </w:r>
      <w:r w:rsidR="005D071D">
        <w:rPr>
          <w:rFonts w:ascii="Times New Roman" w:hAnsi="Times New Roman" w:cs="Times New Roman"/>
        </w:rPr>
        <w:t xml:space="preserve">is natural proliferation </w:t>
      </w:r>
      <w:r w:rsidR="00975F0D">
        <w:rPr>
          <w:rFonts w:ascii="Times New Roman" w:hAnsi="Times New Roman" w:cs="Times New Roman"/>
        </w:rPr>
        <w:t xml:space="preserve">has created considerable challenges </w:t>
      </w:r>
      <w:r w:rsidR="005D071D">
        <w:rPr>
          <w:rFonts w:ascii="Times New Roman" w:hAnsi="Times New Roman" w:cs="Times New Roman"/>
        </w:rPr>
        <w:t xml:space="preserve">to </w:t>
      </w:r>
      <w:r w:rsidR="00952DF4">
        <w:rPr>
          <w:rFonts w:ascii="Times New Roman" w:hAnsi="Times New Roman" w:cs="Times New Roman"/>
        </w:rPr>
        <w:t xml:space="preserve">establishing </w:t>
      </w:r>
      <w:r w:rsidR="005D071D">
        <w:rPr>
          <w:rFonts w:ascii="Times New Roman" w:hAnsi="Times New Roman" w:cs="Times New Roman"/>
        </w:rPr>
        <w:t>a</w:t>
      </w:r>
      <w:r w:rsidR="00952DF4">
        <w:rPr>
          <w:rFonts w:ascii="Times New Roman" w:hAnsi="Times New Roman" w:cs="Times New Roman"/>
        </w:rPr>
        <w:t xml:space="preserve"> quasi-experimental design that can handle the staggered adoption of these programs. </w:t>
      </w:r>
    </w:p>
    <w:p w14:paraId="5B3D2135" w14:textId="0C1E7974" w:rsidR="00952DF4" w:rsidRDefault="00952DF4"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Using recent advances in econometric design for staggered difference-in-difference or event study designs, </w:t>
      </w:r>
      <w:r w:rsidR="005D2FCE">
        <w:rPr>
          <w:rFonts w:ascii="Times New Roman" w:hAnsi="Times New Roman" w:cs="Times New Roman"/>
        </w:rPr>
        <w:t>I</w:t>
      </w:r>
      <w:r>
        <w:rPr>
          <w:rFonts w:ascii="Times New Roman" w:hAnsi="Times New Roman" w:cs="Times New Roman"/>
        </w:rPr>
        <w:t xml:space="preserve"> </w:t>
      </w:r>
      <w:r w:rsidR="00A22FAB">
        <w:rPr>
          <w:rFonts w:ascii="Times New Roman" w:hAnsi="Times New Roman" w:cs="Times New Roman"/>
        </w:rPr>
        <w:t>provide</w:t>
      </w:r>
      <w:r w:rsidR="0043285C">
        <w:rPr>
          <w:rFonts w:ascii="Times New Roman" w:hAnsi="Times New Roman" w:cs="Times New Roman"/>
        </w:rPr>
        <w:t>d</w:t>
      </w:r>
      <w:r w:rsidR="00A22FAB">
        <w:rPr>
          <w:rFonts w:ascii="Times New Roman" w:hAnsi="Times New Roman" w:cs="Times New Roman"/>
        </w:rPr>
        <w:t xml:space="preserve"> estimates for how promise programs affect </w:t>
      </w:r>
      <w:r w:rsidR="00A22FAB">
        <w:rPr>
          <w:rFonts w:ascii="Times New Roman" w:hAnsi="Times New Roman" w:cs="Times New Roman"/>
        </w:rPr>
        <w:lastRenderedPageBreak/>
        <w:t xml:space="preserve">award production. This </w:t>
      </w:r>
      <w:r w:rsidR="0043285C">
        <w:rPr>
          <w:rFonts w:ascii="Times New Roman" w:hAnsi="Times New Roman" w:cs="Times New Roman"/>
        </w:rPr>
        <w:t>is</w:t>
      </w:r>
      <w:r w:rsidR="00A22FAB">
        <w:rPr>
          <w:rFonts w:ascii="Times New Roman" w:hAnsi="Times New Roman" w:cs="Times New Roman"/>
        </w:rPr>
        <w:t xml:space="preserve"> an important issue to explore as the number of jobs that require </w:t>
      </w:r>
      <w:r w:rsidR="001630AB">
        <w:rPr>
          <w:rFonts w:ascii="Times New Roman" w:hAnsi="Times New Roman" w:cs="Times New Roman"/>
        </w:rPr>
        <w:t xml:space="preserve">some </w:t>
      </w:r>
      <w:r w:rsidR="00D5520A">
        <w:rPr>
          <w:rFonts w:ascii="Times New Roman" w:hAnsi="Times New Roman" w:cs="Times New Roman"/>
        </w:rPr>
        <w:t xml:space="preserve">form </w:t>
      </w:r>
      <w:r w:rsidR="001630AB">
        <w:rPr>
          <w:rFonts w:ascii="Times New Roman" w:hAnsi="Times New Roman" w:cs="Times New Roman"/>
        </w:rPr>
        <w:t>of postsecondary education are predicted to increase through 2030</w:t>
      </w:r>
      <w:r w:rsidR="007013AB">
        <w:rPr>
          <w:rFonts w:ascii="Times New Roman" w:hAnsi="Times New Roman" w:cs="Times New Roman"/>
        </w:rPr>
        <w:t xml:space="preserve"> (</w:t>
      </w:r>
      <w:r w:rsidR="00FF7411">
        <w:rPr>
          <w:rFonts w:ascii="Times New Roman" w:hAnsi="Times New Roman" w:cs="Times New Roman"/>
        </w:rPr>
        <w:t>Carnev</w:t>
      </w:r>
      <w:r w:rsidR="00FE27C7">
        <w:rPr>
          <w:rFonts w:ascii="Times New Roman" w:hAnsi="Times New Roman" w:cs="Times New Roman"/>
        </w:rPr>
        <w:t>ale, 2023</w:t>
      </w:r>
      <w:r w:rsidR="007013AB">
        <w:rPr>
          <w:rFonts w:ascii="Times New Roman" w:hAnsi="Times New Roman" w:cs="Times New Roman"/>
        </w:rPr>
        <w:t>)</w:t>
      </w:r>
      <w:r w:rsidR="001630AB">
        <w:rPr>
          <w:rFonts w:ascii="Times New Roman" w:hAnsi="Times New Roman" w:cs="Times New Roman"/>
        </w:rPr>
        <w:t>.</w:t>
      </w:r>
      <w:r w:rsidR="00E40BF0">
        <w:rPr>
          <w:rFonts w:ascii="Times New Roman" w:hAnsi="Times New Roman" w:cs="Times New Roman"/>
        </w:rPr>
        <w:t xml:space="preserve"> Failing to produce a supply of educated workers </w:t>
      </w:r>
      <w:r w:rsidR="001F1122">
        <w:rPr>
          <w:rFonts w:ascii="Times New Roman" w:hAnsi="Times New Roman" w:cs="Times New Roman"/>
        </w:rPr>
        <w:t xml:space="preserve">to meet this demand not only limits the economic potential of individual workers </w:t>
      </w:r>
      <w:r w:rsidR="00C67DE8">
        <w:rPr>
          <w:rFonts w:ascii="Times New Roman" w:hAnsi="Times New Roman" w:cs="Times New Roman"/>
        </w:rPr>
        <w:t>without a postsecondary education but also can result in less-than-optimal performance for the economy writ large</w:t>
      </w:r>
      <w:r w:rsidR="00FE27C7">
        <w:rPr>
          <w:rFonts w:ascii="Times New Roman" w:hAnsi="Times New Roman" w:cs="Times New Roman"/>
        </w:rPr>
        <w:t xml:space="preserve"> </w:t>
      </w:r>
      <w:sdt>
        <w:sdtPr>
          <w:rPr>
            <w:rFonts w:ascii="Times New Roman" w:hAnsi="Times New Roman" w:cs="Times New Roman"/>
          </w:rPr>
          <w:id w:val="1547645119"/>
          <w:citation/>
        </w:sdtPr>
        <w:sdtContent>
          <w:r w:rsidR="00757E99">
            <w:rPr>
              <w:rFonts w:ascii="Times New Roman" w:hAnsi="Times New Roman" w:cs="Times New Roman"/>
            </w:rPr>
            <w:fldChar w:fldCharType="begin"/>
          </w:r>
          <w:r w:rsidR="00757E99">
            <w:rPr>
              <w:rFonts w:ascii="Times New Roman" w:hAnsi="Times New Roman" w:cs="Times New Roman"/>
            </w:rPr>
            <w:instrText xml:space="preserve"> CITATION Han24 \l 1033 </w:instrText>
          </w:r>
          <w:r w:rsidR="009F0532">
            <w:rPr>
              <w:rFonts w:ascii="Times New Roman" w:hAnsi="Times New Roman" w:cs="Times New Roman"/>
            </w:rPr>
            <w:instrText xml:space="preserve"> \m Str24</w:instrText>
          </w:r>
          <w:r w:rsidR="00757E99">
            <w:rPr>
              <w:rFonts w:ascii="Times New Roman" w:hAnsi="Times New Roman" w:cs="Times New Roman"/>
            </w:rPr>
            <w:fldChar w:fldCharType="separate"/>
          </w:r>
          <w:r w:rsidR="00A10468" w:rsidRPr="00A10468">
            <w:rPr>
              <w:rFonts w:ascii="Times New Roman" w:hAnsi="Times New Roman" w:cs="Times New Roman"/>
              <w:noProof/>
            </w:rPr>
            <w:t>(Handel, 2024; Strohl, Mable, &amp; Campbell, 2024)</w:t>
          </w:r>
          <w:r w:rsidR="00757E99">
            <w:rPr>
              <w:rFonts w:ascii="Times New Roman" w:hAnsi="Times New Roman" w:cs="Times New Roman"/>
            </w:rPr>
            <w:fldChar w:fldCharType="end"/>
          </w:r>
        </w:sdtContent>
      </w:sdt>
      <w:r w:rsidR="009F0532">
        <w:rPr>
          <w:rFonts w:ascii="Times New Roman" w:hAnsi="Times New Roman" w:cs="Times New Roman"/>
        </w:rPr>
        <w:t>.</w:t>
      </w:r>
      <w:r w:rsidR="00C67DE8">
        <w:rPr>
          <w:rFonts w:ascii="Times New Roman" w:hAnsi="Times New Roman" w:cs="Times New Roman"/>
        </w:rPr>
        <w:t xml:space="preserve"> </w:t>
      </w:r>
    </w:p>
    <w:p w14:paraId="19C81F2C" w14:textId="433192D7" w:rsidR="00C67DE8" w:rsidRDefault="00C67DE8"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7F143C">
        <w:rPr>
          <w:rFonts w:ascii="Times New Roman" w:hAnsi="Times New Roman" w:cs="Times New Roman"/>
        </w:rPr>
        <w:t xml:space="preserve">Free college or promise programs which largely </w:t>
      </w:r>
      <w:r w:rsidR="00FC3375">
        <w:rPr>
          <w:rFonts w:ascii="Times New Roman" w:hAnsi="Times New Roman" w:cs="Times New Roman"/>
        </w:rPr>
        <w:t>apply to</w:t>
      </w:r>
      <w:r w:rsidR="007F143C">
        <w:rPr>
          <w:rFonts w:ascii="Times New Roman" w:hAnsi="Times New Roman" w:cs="Times New Roman"/>
        </w:rPr>
        <w:t xml:space="preserve"> sub-baccalaureate </w:t>
      </w:r>
      <w:r w:rsidR="00FC3375">
        <w:rPr>
          <w:rFonts w:ascii="Times New Roman" w:hAnsi="Times New Roman" w:cs="Times New Roman"/>
        </w:rPr>
        <w:t>postsecondary opportunities, represent a means to respond to the demand for educated workers</w:t>
      </w:r>
      <w:r w:rsidR="004A0E3E">
        <w:rPr>
          <w:rFonts w:ascii="Times New Roman" w:hAnsi="Times New Roman" w:cs="Times New Roman"/>
        </w:rPr>
        <w:t xml:space="preserve">. The theory of action for these programs is that by reducing the barrier of cost, more students will enroll and then graduate from postsecondary programs. These students then will go on to fill the demand of the labor market and </w:t>
      </w:r>
      <w:r w:rsidR="0026209C">
        <w:rPr>
          <w:rFonts w:ascii="Times New Roman" w:hAnsi="Times New Roman" w:cs="Times New Roman"/>
        </w:rPr>
        <w:t xml:space="preserve">hopefully access better economic opportunities than available to them without </w:t>
      </w:r>
      <w:r w:rsidR="00FA487D">
        <w:rPr>
          <w:rFonts w:ascii="Times New Roman" w:hAnsi="Times New Roman" w:cs="Times New Roman"/>
        </w:rPr>
        <w:t>a postsecondary education</w:t>
      </w:r>
      <w:r w:rsidR="00C83A53">
        <w:rPr>
          <w:rFonts w:ascii="Times New Roman" w:hAnsi="Times New Roman" w:cs="Times New Roman"/>
        </w:rPr>
        <w:t xml:space="preserve"> (Miller-Adams, 2021)</w:t>
      </w:r>
      <w:r w:rsidR="008B3289">
        <w:rPr>
          <w:rFonts w:ascii="Times New Roman" w:hAnsi="Times New Roman" w:cs="Times New Roman"/>
        </w:rPr>
        <w:t xml:space="preserve">. </w:t>
      </w:r>
    </w:p>
    <w:p w14:paraId="39C11E9A" w14:textId="0EA5E9BA" w:rsidR="008B3289" w:rsidRDefault="008B3289"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I utilized a staggered difference design </w:t>
      </w:r>
      <w:r w:rsidR="00092FB0">
        <w:rPr>
          <w:rFonts w:ascii="Times New Roman" w:hAnsi="Times New Roman" w:cs="Times New Roman"/>
        </w:rPr>
        <w:t>to examine award production at institutions in attempt to estimate an aggregate causal effect of promise program adoption</w:t>
      </w:r>
      <w:r w:rsidR="00D5334B">
        <w:rPr>
          <w:rFonts w:ascii="Times New Roman" w:hAnsi="Times New Roman" w:cs="Times New Roman"/>
        </w:rPr>
        <w:t xml:space="preserve">. To accomplish this, I constructed the following two research questions: </w:t>
      </w:r>
    </w:p>
    <w:p w14:paraId="201462AB" w14:textId="77777777" w:rsidR="009A732F" w:rsidRPr="00D5334B" w:rsidRDefault="009A732F" w:rsidP="008524FA">
      <w:pPr>
        <w:pStyle w:val="ListParagraph"/>
        <w:numPr>
          <w:ilvl w:val="0"/>
          <w:numId w:val="28"/>
        </w:numPr>
        <w:rPr>
          <w:rFonts w:ascii="Times New Roman" w:hAnsi="Times New Roman" w:cs="Times New Roman"/>
        </w:rPr>
      </w:pPr>
      <w:r w:rsidRPr="00D5334B">
        <w:rPr>
          <w:rFonts w:ascii="Times New Roman" w:eastAsiaTheme="minorEastAsia" w:hAnsi="Times New Roman" w:cs="Times New Roman"/>
        </w:rPr>
        <w:t xml:space="preserve">What effect does the adoption of a free college program have on postsecondary program completions by program length (less than 1 year, 1 year to 2 years, and 2 years)? </w:t>
      </w:r>
    </w:p>
    <w:p w14:paraId="4919F098" w14:textId="77777777" w:rsidR="009A732F" w:rsidRPr="00D5334B" w:rsidRDefault="009A732F" w:rsidP="008524FA">
      <w:pPr>
        <w:pStyle w:val="ListParagraph"/>
        <w:numPr>
          <w:ilvl w:val="0"/>
          <w:numId w:val="28"/>
        </w:numPr>
        <w:rPr>
          <w:rFonts w:ascii="Times New Roman" w:hAnsi="Times New Roman" w:cs="Times New Roman"/>
        </w:rPr>
      </w:pPr>
      <w:r w:rsidRPr="00D5334B">
        <w:rPr>
          <w:rFonts w:ascii="Times New Roman" w:eastAsiaTheme="minorEastAsia" w:hAnsi="Times New Roman" w:cs="Times New Roman"/>
        </w:rPr>
        <w:t>What effect does the adoption of a free college program have on postsecondary program completions by program’s academic focus?</w:t>
      </w:r>
    </w:p>
    <w:p w14:paraId="571812EC" w14:textId="5EE95E4E" w:rsidR="002D1B93" w:rsidRPr="002D1B93" w:rsidRDefault="002D1B93" w:rsidP="008524FA">
      <w:pPr>
        <w:pStyle w:val="Heading2"/>
        <w:spacing w:before="0" w:after="0"/>
      </w:pPr>
      <w:bookmarkStart w:id="168" w:name="_Toc183282289"/>
      <w:r w:rsidRPr="002D1B93">
        <w:lastRenderedPageBreak/>
        <w:t>Review of Empirical Strategy</w:t>
      </w:r>
      <w:bookmarkEnd w:id="168"/>
      <w:r w:rsidRPr="002D1B93">
        <w:t xml:space="preserve">  </w:t>
      </w:r>
    </w:p>
    <w:p w14:paraId="076D069E" w14:textId="52AC2674" w:rsidR="00BD05AC" w:rsidRDefault="002D1B93"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C36380">
        <w:rPr>
          <w:rFonts w:ascii="Times New Roman" w:hAnsi="Times New Roman" w:cs="Times New Roman"/>
        </w:rPr>
        <w:t xml:space="preserve">To answer these research questions, I constructed a </w:t>
      </w:r>
      <w:r w:rsidR="00B72EB4">
        <w:rPr>
          <w:rFonts w:ascii="Times New Roman" w:hAnsi="Times New Roman" w:cs="Times New Roman"/>
        </w:rPr>
        <w:t xml:space="preserve">national </w:t>
      </w:r>
      <w:r w:rsidR="00C36380">
        <w:rPr>
          <w:rFonts w:ascii="Times New Roman" w:hAnsi="Times New Roman" w:cs="Times New Roman"/>
        </w:rPr>
        <w:t>sample</w:t>
      </w:r>
      <w:r w:rsidR="00B72EB4">
        <w:rPr>
          <w:rFonts w:ascii="Times New Roman" w:hAnsi="Times New Roman" w:cs="Times New Roman"/>
        </w:rPr>
        <w:t xml:space="preserve"> spanning 23 years</w:t>
      </w:r>
      <w:r w:rsidR="00C36380">
        <w:rPr>
          <w:rFonts w:ascii="Times New Roman" w:hAnsi="Times New Roman" w:cs="Times New Roman"/>
        </w:rPr>
        <w:t xml:space="preserve"> </w:t>
      </w:r>
      <w:r w:rsidR="00290798">
        <w:rPr>
          <w:rFonts w:ascii="Times New Roman" w:hAnsi="Times New Roman" w:cs="Times New Roman"/>
        </w:rPr>
        <w:t xml:space="preserve">that combined the sub-baccalaureate award production for institutions with records of promise program adoption. These records of promise program adoption served as my independent treatment variable. </w:t>
      </w:r>
      <w:r w:rsidR="00C80D75">
        <w:rPr>
          <w:rFonts w:ascii="Times New Roman" w:hAnsi="Times New Roman" w:cs="Times New Roman"/>
        </w:rPr>
        <w:t xml:space="preserve">I organized my outcome variable of institutional awards into ten </w:t>
      </w:r>
      <w:r w:rsidR="00BD05AC">
        <w:rPr>
          <w:rFonts w:ascii="Times New Roman" w:hAnsi="Times New Roman" w:cs="Times New Roman"/>
        </w:rPr>
        <w:t>sums of sub-</w:t>
      </w:r>
      <w:r w:rsidR="009D21DA">
        <w:rPr>
          <w:rFonts w:ascii="Times New Roman" w:hAnsi="Times New Roman" w:cs="Times New Roman"/>
        </w:rPr>
        <w:t>baccalaureate</w:t>
      </w:r>
      <w:r w:rsidR="007D3F2D">
        <w:rPr>
          <w:rFonts w:ascii="Times New Roman" w:hAnsi="Times New Roman" w:cs="Times New Roman"/>
        </w:rPr>
        <w:t xml:space="preserve"> </w:t>
      </w:r>
      <w:r w:rsidR="00BD05AC">
        <w:rPr>
          <w:rFonts w:ascii="Times New Roman" w:hAnsi="Times New Roman" w:cs="Times New Roman"/>
        </w:rPr>
        <w:t xml:space="preserve">awards to answer my two research questions. </w:t>
      </w:r>
    </w:p>
    <w:p w14:paraId="553CDB21" w14:textId="0825FC62" w:rsidR="00D5334B" w:rsidRDefault="00BD05AC"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To answer my first research question, I examined the </w:t>
      </w:r>
      <w:r w:rsidR="009402D9">
        <w:rPr>
          <w:rFonts w:ascii="Times New Roman" w:hAnsi="Times New Roman" w:cs="Times New Roman"/>
        </w:rPr>
        <w:t xml:space="preserve">number of all sub-baccalaureate awards, number of associates degrees, number of any credential that takes under two years to obtain, number of credentials that take one-to-two years to obtain, and number of credentials that take less than one year to obtain. As a reminder, </w:t>
      </w:r>
      <w:r w:rsidR="001618C0">
        <w:rPr>
          <w:rFonts w:ascii="Times New Roman" w:hAnsi="Times New Roman" w:cs="Times New Roman"/>
        </w:rPr>
        <w:t>I examine</w:t>
      </w:r>
      <w:r w:rsidR="0043285C">
        <w:rPr>
          <w:rFonts w:ascii="Times New Roman" w:hAnsi="Times New Roman" w:cs="Times New Roman"/>
        </w:rPr>
        <w:t>d</w:t>
      </w:r>
      <w:r w:rsidR="001618C0">
        <w:rPr>
          <w:rFonts w:ascii="Times New Roman" w:hAnsi="Times New Roman" w:cs="Times New Roman"/>
        </w:rPr>
        <w:t xml:space="preserve"> the total of all sub-baccalaureate awards and a sub-total of all credentials in</w:t>
      </w:r>
      <w:r w:rsidR="004112E0">
        <w:rPr>
          <w:rFonts w:ascii="Times New Roman" w:hAnsi="Times New Roman" w:cs="Times New Roman"/>
        </w:rPr>
        <w:t xml:space="preserve"> addition to associates degrees and each of my two credential types in an attempt to thoroughly understand how program length could </w:t>
      </w:r>
      <w:r w:rsidR="00892583">
        <w:rPr>
          <w:rFonts w:ascii="Times New Roman" w:hAnsi="Times New Roman" w:cs="Times New Roman"/>
        </w:rPr>
        <w:t xml:space="preserve">influence the effect of promise programs on award production. </w:t>
      </w:r>
    </w:p>
    <w:p w14:paraId="7EA4F97F" w14:textId="1D06D442" w:rsidR="00892583" w:rsidRDefault="00892583"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To answer my second research question, I examined five categories of academic programs: STEM, trades, liberal arts, human services, and professional services. I constructed these five broad categories of my own creation from available CIP codes due to a lack of a </w:t>
      </w:r>
      <w:r w:rsidR="0023194B">
        <w:rPr>
          <w:rFonts w:ascii="Times New Roman" w:hAnsi="Times New Roman" w:cs="Times New Roman"/>
        </w:rPr>
        <w:t>crosswalk</w:t>
      </w:r>
      <w:r>
        <w:rPr>
          <w:rFonts w:ascii="Times New Roman" w:hAnsi="Times New Roman" w:cs="Times New Roman"/>
        </w:rPr>
        <w:t xml:space="preserve"> </w:t>
      </w:r>
      <w:r w:rsidR="008A5B56">
        <w:rPr>
          <w:rFonts w:ascii="Times New Roman" w:hAnsi="Times New Roman" w:cs="Times New Roman"/>
        </w:rPr>
        <w:t xml:space="preserve">that could be used simultaneously for CTE and non-CTE awards </w:t>
      </w:r>
      <w:r>
        <w:rPr>
          <w:rFonts w:ascii="Times New Roman" w:hAnsi="Times New Roman" w:cs="Times New Roman"/>
        </w:rPr>
        <w:t xml:space="preserve">to group CIP codes into fewer categories </w:t>
      </w:r>
      <w:r w:rsidR="008A5B56">
        <w:rPr>
          <w:rFonts w:ascii="Times New Roman" w:hAnsi="Times New Roman" w:cs="Times New Roman"/>
        </w:rPr>
        <w:t xml:space="preserve">for statistical analysis. </w:t>
      </w:r>
    </w:p>
    <w:p w14:paraId="46C64EF5" w14:textId="6CF0F057" w:rsidR="008141C4" w:rsidRDefault="008141C4"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To conduct a difference-in-difference analysis, there must be evidence of parallel </w:t>
      </w:r>
      <w:r w:rsidR="00630090">
        <w:rPr>
          <w:rFonts w:ascii="Times New Roman" w:hAnsi="Times New Roman" w:cs="Times New Roman"/>
        </w:rPr>
        <w:t xml:space="preserve">pre-treatment </w:t>
      </w:r>
      <w:r>
        <w:rPr>
          <w:rFonts w:ascii="Times New Roman" w:hAnsi="Times New Roman" w:cs="Times New Roman"/>
        </w:rPr>
        <w:t xml:space="preserve">trends. Using my preferred sample of public institutions and preferred empirical strategy of Sun and </w:t>
      </w:r>
      <w:r w:rsidR="00C67B4D">
        <w:rPr>
          <w:rFonts w:ascii="Times New Roman" w:hAnsi="Times New Roman" w:cs="Times New Roman"/>
        </w:rPr>
        <w:t>Abraham’s</w:t>
      </w:r>
      <w:r>
        <w:rPr>
          <w:rFonts w:ascii="Times New Roman" w:hAnsi="Times New Roman" w:cs="Times New Roman"/>
        </w:rPr>
        <w:t xml:space="preserve"> </w:t>
      </w:r>
      <w:r w:rsidR="002D1B93">
        <w:rPr>
          <w:rFonts w:ascii="Times New Roman" w:hAnsi="Times New Roman" w:cs="Times New Roman"/>
        </w:rPr>
        <w:t>interaction-based</w:t>
      </w:r>
      <w:r>
        <w:rPr>
          <w:rFonts w:ascii="Times New Roman" w:hAnsi="Times New Roman" w:cs="Times New Roman"/>
        </w:rPr>
        <w:t xml:space="preserve"> estimator, I found that each of </w:t>
      </w:r>
      <w:r>
        <w:rPr>
          <w:rFonts w:ascii="Times New Roman" w:hAnsi="Times New Roman" w:cs="Times New Roman"/>
        </w:rPr>
        <w:lastRenderedPageBreak/>
        <w:t xml:space="preserve">my outcome </w:t>
      </w:r>
      <w:r w:rsidR="00C67B4D">
        <w:rPr>
          <w:rFonts w:ascii="Times New Roman" w:hAnsi="Times New Roman" w:cs="Times New Roman"/>
        </w:rPr>
        <w:t>variables</w:t>
      </w:r>
      <w:r>
        <w:rPr>
          <w:rFonts w:ascii="Times New Roman" w:hAnsi="Times New Roman" w:cs="Times New Roman"/>
        </w:rPr>
        <w:t xml:space="preserve"> </w:t>
      </w:r>
      <w:r w:rsidR="00C67B4D">
        <w:rPr>
          <w:rFonts w:ascii="Times New Roman" w:hAnsi="Times New Roman" w:cs="Times New Roman"/>
        </w:rPr>
        <w:t xml:space="preserve">excluding awards form the </w:t>
      </w:r>
      <w:r>
        <w:rPr>
          <w:rFonts w:ascii="Times New Roman" w:hAnsi="Times New Roman" w:cs="Times New Roman"/>
        </w:rPr>
        <w:t xml:space="preserve">professional services </w:t>
      </w:r>
      <w:r w:rsidR="00C67B4D">
        <w:rPr>
          <w:rFonts w:ascii="Times New Roman" w:hAnsi="Times New Roman" w:cs="Times New Roman"/>
        </w:rPr>
        <w:t xml:space="preserve">field were appropriate for my analysis. </w:t>
      </w:r>
      <w:r w:rsidR="00141F4F">
        <w:rPr>
          <w:rFonts w:ascii="Times New Roman" w:hAnsi="Times New Roman" w:cs="Times New Roman"/>
        </w:rPr>
        <w:t xml:space="preserve">As a reminder, I controlled for unique institutional trends or </w:t>
      </w:r>
      <w:r w:rsidR="007202EC">
        <w:rPr>
          <w:rFonts w:ascii="Times New Roman" w:hAnsi="Times New Roman" w:cs="Times New Roman"/>
        </w:rPr>
        <w:t>what could be referred to as unit-specific time trends</w:t>
      </w:r>
      <w:r w:rsidR="00141F4F">
        <w:rPr>
          <w:rFonts w:ascii="Times New Roman" w:hAnsi="Times New Roman" w:cs="Times New Roman"/>
        </w:rPr>
        <w:t xml:space="preserve"> in completion through the inclusion of </w:t>
      </w:r>
      <w:r w:rsidR="00630090">
        <w:rPr>
          <w:rFonts w:ascii="Times New Roman" w:hAnsi="Times New Roman" w:cs="Times New Roman"/>
        </w:rPr>
        <w:t>an</w:t>
      </w:r>
      <w:r w:rsidR="00141F4F">
        <w:rPr>
          <w:rFonts w:ascii="Times New Roman" w:hAnsi="Times New Roman" w:cs="Times New Roman"/>
        </w:rPr>
        <w:t xml:space="preserve"> interaction </w:t>
      </w:r>
      <w:r w:rsidR="007202EC">
        <w:rPr>
          <w:rFonts w:ascii="Times New Roman" w:hAnsi="Times New Roman" w:cs="Times New Roman"/>
        </w:rPr>
        <w:t xml:space="preserve">between a specific unit and a time-trend variable. </w:t>
      </w:r>
    </w:p>
    <w:p w14:paraId="2C48436E" w14:textId="77777777" w:rsidR="00514C41" w:rsidRDefault="00514C41" w:rsidP="008524FA">
      <w:pPr>
        <w:spacing w:line="480" w:lineRule="auto"/>
        <w:ind w:firstLine="720"/>
        <w:rPr>
          <w:rFonts w:ascii="Times New Roman" w:hAnsi="Times New Roman" w:cs="Times New Roman"/>
        </w:rPr>
      </w:pPr>
      <w:r>
        <w:rPr>
          <w:rFonts w:ascii="Times New Roman" w:hAnsi="Times New Roman" w:cs="Times New Roman"/>
        </w:rPr>
        <w:t xml:space="preserve">While my research design was not equipped to get at issues of students substituting into longer term academic programs as they become subsidized by free college programs, it would appear that this concern was mitigated by student enrollment and subsequent increased program completion patterns following promise program adoption. Simultaneously, I wished to provide caution that this sub-baccalaureate only sample may be influenced by the issue of downward substitutions in enrollment noted in my limitations section. I did not find evidence that promise program adoption increases award production in specific program areas of focus. However, this could be reflective of my quasi-experimental design not considering uneven distributions of program area awards across program length. </w:t>
      </w:r>
    </w:p>
    <w:p w14:paraId="1D8C7111" w14:textId="08949DF4" w:rsidR="00514C41" w:rsidRDefault="00514C41"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Now aware of this potential issue, I would recommend that future examinations of award production carefully consider program length and program area of focus together. This construction of the outcome variables of interest may provide future researchers with a more appropriate design that can accurately estimate effect and potential p-values or alternatively replicate my present findings. One point of potential interest that I would direct future researchers to is the trends in significance and coefficient signs for liberal arts programs where I observe negative coefficients that differ significantly from zero in the two treatment periods following promise adoption. </w:t>
      </w:r>
    </w:p>
    <w:p w14:paraId="2FDA4C0E" w14:textId="77777777" w:rsidR="00514C41" w:rsidRPr="00B853EC" w:rsidRDefault="00514C41"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lastRenderedPageBreak/>
        <w:tab/>
        <w:t xml:space="preserve">However, after that second observation period which coincidently is the length of time that an associate’s degree level liberal arts student would need to complete their program, this negative coefficient becomes positive but not significantly different from zero. While not both positive and significantly different from zero, this finding suggests that promise programs may work to stave off declining completions for programs that were graduating fewer and fewer students prior to promise programs. In effect, potentially creating a stabilizing effect on student completions despite a lack of a positive increase. </w:t>
      </w:r>
    </w:p>
    <w:p w14:paraId="1A46E191" w14:textId="416A39EC" w:rsidR="00514C41" w:rsidRDefault="00514C41" w:rsidP="008524FA">
      <w:pPr>
        <w:spacing w:line="480" w:lineRule="auto"/>
        <w:ind w:firstLine="720"/>
        <w:rPr>
          <w:rFonts w:ascii="Times New Roman" w:hAnsi="Times New Roman" w:cs="Times New Roman"/>
        </w:rPr>
      </w:pPr>
      <w:r>
        <w:rPr>
          <w:rFonts w:ascii="Times New Roman" w:hAnsi="Times New Roman" w:cs="Times New Roman"/>
        </w:rPr>
        <w:t xml:space="preserve">It may be possible that newer packages and estimation tools may emerge in the near future that are better suited for a study such as mine but at this point of time, my Sun and Abraham models are the only available estimator that can account for unit-specific time trends and does not feature identified issues with biasing post-treatment estimates. Thus, I </w:t>
      </w:r>
      <w:r w:rsidR="0062477F">
        <w:rPr>
          <w:rFonts w:ascii="Times New Roman" w:hAnsi="Times New Roman" w:cs="Times New Roman"/>
        </w:rPr>
        <w:t>found</w:t>
      </w:r>
      <w:r>
        <w:rPr>
          <w:rFonts w:ascii="Times New Roman" w:hAnsi="Times New Roman" w:cs="Times New Roman"/>
        </w:rPr>
        <w:t xml:space="preserve"> the results of my preferred Sun and Abraham approach as both supportive of a causal effect of college promise programs on the number of graduations and evidence that the difference-in-difference approaches still have areas for further development in exploring issues of staggered treatment when unit-specific time trends exist.</w:t>
      </w:r>
    </w:p>
    <w:p w14:paraId="65566AAD" w14:textId="1AB8D2A5" w:rsidR="002D1B93" w:rsidRDefault="00B853EC" w:rsidP="008524FA">
      <w:pPr>
        <w:pStyle w:val="Heading2"/>
        <w:spacing w:before="0" w:after="0"/>
      </w:pPr>
      <w:bookmarkStart w:id="169" w:name="_Toc183282290"/>
      <w:r>
        <w:t>Findings: Research Question #1</w:t>
      </w:r>
      <w:r w:rsidR="00BB2E97">
        <w:t xml:space="preserve"> Examining Completions by Program Length</w:t>
      </w:r>
      <w:bookmarkEnd w:id="169"/>
    </w:p>
    <w:p w14:paraId="4DF46621" w14:textId="622D9F5A" w:rsidR="00B853EC" w:rsidRDefault="00B853EC"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647AB1">
        <w:rPr>
          <w:rFonts w:ascii="Times New Roman" w:hAnsi="Times New Roman" w:cs="Times New Roman"/>
        </w:rPr>
        <w:t xml:space="preserve">I </w:t>
      </w:r>
      <w:r w:rsidR="00B82743">
        <w:rPr>
          <w:rFonts w:ascii="Times New Roman" w:hAnsi="Times New Roman" w:cs="Times New Roman"/>
        </w:rPr>
        <w:t>found</w:t>
      </w:r>
      <w:r w:rsidR="00647AB1">
        <w:rPr>
          <w:rFonts w:ascii="Times New Roman" w:hAnsi="Times New Roman" w:cs="Times New Roman"/>
        </w:rPr>
        <w:t xml:space="preserve"> evidence that </w:t>
      </w:r>
      <w:r w:rsidR="007B44BC">
        <w:rPr>
          <w:rFonts w:ascii="Times New Roman" w:hAnsi="Times New Roman" w:cs="Times New Roman"/>
        </w:rPr>
        <w:t>promise program adoption increases sub-baccalaureate award production.</w:t>
      </w:r>
      <w:r w:rsidR="00FE7CA2">
        <w:rPr>
          <w:rFonts w:ascii="Times New Roman" w:hAnsi="Times New Roman" w:cs="Times New Roman"/>
        </w:rPr>
        <w:t xml:space="preserve"> </w:t>
      </w:r>
      <w:r w:rsidR="00CB70B2">
        <w:rPr>
          <w:rFonts w:ascii="Times New Roman" w:hAnsi="Times New Roman" w:cs="Times New Roman"/>
        </w:rPr>
        <w:t>Regarding</w:t>
      </w:r>
      <w:r w:rsidR="00FE7CA2">
        <w:rPr>
          <w:rFonts w:ascii="Times New Roman" w:hAnsi="Times New Roman" w:cs="Times New Roman"/>
        </w:rPr>
        <w:t xml:space="preserve"> program length, I </w:t>
      </w:r>
      <w:r w:rsidR="00B82743">
        <w:rPr>
          <w:rFonts w:ascii="Times New Roman" w:hAnsi="Times New Roman" w:cs="Times New Roman"/>
        </w:rPr>
        <w:t>found</w:t>
      </w:r>
      <w:r w:rsidR="00FE7CA2">
        <w:rPr>
          <w:rFonts w:ascii="Times New Roman" w:hAnsi="Times New Roman" w:cs="Times New Roman"/>
        </w:rPr>
        <w:t xml:space="preserve"> that this increase is significant not only </w:t>
      </w:r>
      <w:r w:rsidR="00C47EB3">
        <w:rPr>
          <w:rFonts w:ascii="Times New Roman" w:hAnsi="Times New Roman" w:cs="Times New Roman"/>
        </w:rPr>
        <w:t xml:space="preserve">for </w:t>
      </w:r>
      <w:r w:rsidR="00FE7CA2">
        <w:rPr>
          <w:rFonts w:ascii="Times New Roman" w:hAnsi="Times New Roman" w:cs="Times New Roman"/>
        </w:rPr>
        <w:t xml:space="preserve">sub-baccalaureate awards but also for the sub-groups of </w:t>
      </w:r>
      <w:r w:rsidR="00BC1643">
        <w:rPr>
          <w:rFonts w:ascii="Times New Roman" w:hAnsi="Times New Roman" w:cs="Times New Roman"/>
        </w:rPr>
        <w:t xml:space="preserve">associates degrees and credentials. While I found a significant increase </w:t>
      </w:r>
      <w:r w:rsidR="00163E2A">
        <w:rPr>
          <w:rFonts w:ascii="Times New Roman" w:hAnsi="Times New Roman" w:cs="Times New Roman"/>
        </w:rPr>
        <w:t xml:space="preserve">for credentials when unseparated by </w:t>
      </w:r>
      <w:r w:rsidR="00163E2A">
        <w:rPr>
          <w:rFonts w:ascii="Times New Roman" w:hAnsi="Times New Roman" w:cs="Times New Roman"/>
        </w:rPr>
        <w:lastRenderedPageBreak/>
        <w:t xml:space="preserve">length of program, I found when separated into credential programs between one-to-two years in length and less than one year in length that only </w:t>
      </w:r>
      <w:r w:rsidR="00C14D83">
        <w:rPr>
          <w:rFonts w:ascii="Times New Roman" w:hAnsi="Times New Roman" w:cs="Times New Roman"/>
        </w:rPr>
        <w:t xml:space="preserve">credential programs that were less than one year in length returned a significant effect. </w:t>
      </w:r>
    </w:p>
    <w:p w14:paraId="44CB1F87" w14:textId="2140ADE5" w:rsidR="00A41D32" w:rsidRDefault="00A41D32"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This </w:t>
      </w:r>
      <w:r w:rsidR="00B82743">
        <w:rPr>
          <w:rFonts w:ascii="Times New Roman" w:hAnsi="Times New Roman" w:cs="Times New Roman"/>
        </w:rPr>
        <w:t>is</w:t>
      </w:r>
      <w:r>
        <w:rPr>
          <w:rFonts w:ascii="Times New Roman" w:hAnsi="Times New Roman" w:cs="Times New Roman"/>
        </w:rPr>
        <w:t xml:space="preserve"> a promising finding for the effect of promise programs. Within the first five periods of adoption, promise programs </w:t>
      </w:r>
      <w:r w:rsidR="007B3D8F">
        <w:rPr>
          <w:rFonts w:ascii="Times New Roman" w:hAnsi="Times New Roman" w:cs="Times New Roman"/>
        </w:rPr>
        <w:t xml:space="preserve">increased sub-baccalaureate award production at treated institutions by between </w:t>
      </w:r>
      <w:r w:rsidR="00922B5E">
        <w:rPr>
          <w:rFonts w:ascii="Times New Roman" w:hAnsi="Times New Roman" w:cs="Times New Roman"/>
        </w:rPr>
        <w:t>4.2% to 8.6%</w:t>
      </w:r>
      <w:r w:rsidR="00F7219E">
        <w:rPr>
          <w:rFonts w:ascii="Times New Roman" w:hAnsi="Times New Roman" w:cs="Times New Roman"/>
        </w:rPr>
        <w:t>. For my horizon of five years following adoption, the increase of 8.6% was found during the fifth period following adoption</w:t>
      </w:r>
      <w:r w:rsidR="00274E04">
        <w:rPr>
          <w:rFonts w:ascii="Times New Roman" w:hAnsi="Times New Roman" w:cs="Times New Roman"/>
        </w:rPr>
        <w:t>, the latest period examined on my horizon.</w:t>
      </w:r>
      <w:r w:rsidR="0026520A">
        <w:rPr>
          <w:rFonts w:ascii="Times New Roman" w:hAnsi="Times New Roman" w:cs="Times New Roman"/>
        </w:rPr>
        <w:t xml:space="preserve"> </w:t>
      </w:r>
      <w:r w:rsidR="00274E04">
        <w:rPr>
          <w:rFonts w:ascii="Times New Roman" w:hAnsi="Times New Roman" w:cs="Times New Roman"/>
        </w:rPr>
        <w:t xml:space="preserve">This trend in increasing award production </w:t>
      </w:r>
      <w:r w:rsidR="00E270A3">
        <w:rPr>
          <w:rFonts w:ascii="Times New Roman" w:hAnsi="Times New Roman" w:cs="Times New Roman"/>
        </w:rPr>
        <w:t xml:space="preserve">also held for associates degrees with an estimated effect of </w:t>
      </w:r>
      <w:r w:rsidR="004C0A19">
        <w:rPr>
          <w:rFonts w:ascii="Times New Roman" w:hAnsi="Times New Roman" w:cs="Times New Roman"/>
        </w:rPr>
        <w:t xml:space="preserve">an increase by </w:t>
      </w:r>
      <w:r w:rsidR="00E270A3">
        <w:rPr>
          <w:rFonts w:ascii="Times New Roman" w:hAnsi="Times New Roman" w:cs="Times New Roman"/>
        </w:rPr>
        <w:t>7.2</w:t>
      </w:r>
      <w:r w:rsidR="004C0A19">
        <w:rPr>
          <w:rFonts w:ascii="Times New Roman" w:hAnsi="Times New Roman" w:cs="Times New Roman"/>
        </w:rPr>
        <w:t xml:space="preserve">% by the fifth post-treatment period. </w:t>
      </w:r>
      <w:r w:rsidR="003B6A14">
        <w:rPr>
          <w:rFonts w:ascii="Times New Roman" w:hAnsi="Times New Roman" w:cs="Times New Roman"/>
        </w:rPr>
        <w:t xml:space="preserve">Increases for credentials that take less than a year to complete </w:t>
      </w:r>
      <w:r w:rsidR="00973D18">
        <w:rPr>
          <w:rFonts w:ascii="Times New Roman" w:hAnsi="Times New Roman" w:cs="Times New Roman"/>
        </w:rPr>
        <w:t>were</w:t>
      </w:r>
      <w:r w:rsidR="003B6A14">
        <w:rPr>
          <w:rFonts w:ascii="Times New Roman" w:hAnsi="Times New Roman" w:cs="Times New Roman"/>
        </w:rPr>
        <w:t xml:space="preserve"> found to be around 9% to 1</w:t>
      </w:r>
      <w:r w:rsidR="00E252E6">
        <w:rPr>
          <w:rFonts w:ascii="Times New Roman" w:hAnsi="Times New Roman" w:cs="Times New Roman"/>
        </w:rPr>
        <w:t>1</w:t>
      </w:r>
      <w:r w:rsidR="003B6A14">
        <w:rPr>
          <w:rFonts w:ascii="Times New Roman" w:hAnsi="Times New Roman" w:cs="Times New Roman"/>
        </w:rPr>
        <w:t xml:space="preserve">% with a slight decrease found after </w:t>
      </w:r>
      <w:r w:rsidR="00E252E6">
        <w:rPr>
          <w:rFonts w:ascii="Times New Roman" w:hAnsi="Times New Roman" w:cs="Times New Roman"/>
        </w:rPr>
        <w:t>reaching their highest increase on awards in the third year following promise program adoption</w:t>
      </w:r>
      <w:r w:rsidR="006E6540">
        <w:rPr>
          <w:rFonts w:ascii="Times New Roman" w:hAnsi="Times New Roman" w:cs="Times New Roman"/>
        </w:rPr>
        <w:t xml:space="preserve">. While credentials that take between one-to-two years to complete were not found to produce a </w:t>
      </w:r>
      <w:r w:rsidR="00EC3E99">
        <w:rPr>
          <w:rFonts w:ascii="Times New Roman" w:hAnsi="Times New Roman" w:cs="Times New Roman"/>
        </w:rPr>
        <w:t xml:space="preserve">significant increase, a measure that considered both credential lengths together did return a significant increase in award production that also reached a peak in the third post-treatment year of </w:t>
      </w:r>
      <w:r w:rsidR="004A47A2">
        <w:rPr>
          <w:rFonts w:ascii="Times New Roman" w:hAnsi="Times New Roman" w:cs="Times New Roman"/>
        </w:rPr>
        <w:t>21% before declining to an increase of about 10% by the fifth post-treatment period.</w:t>
      </w:r>
    </w:p>
    <w:p w14:paraId="2D76E764" w14:textId="4ED22CEC" w:rsidR="0029093B" w:rsidRDefault="0029093B" w:rsidP="008524FA">
      <w:pPr>
        <w:spacing w:line="480" w:lineRule="auto"/>
        <w:ind w:firstLine="720"/>
        <w:rPr>
          <w:rFonts w:ascii="Times New Roman" w:hAnsi="Times New Roman" w:cs="Times New Roman"/>
        </w:rPr>
      </w:pPr>
      <w:r>
        <w:rPr>
          <w:rFonts w:ascii="Times New Roman" w:hAnsi="Times New Roman" w:cs="Times New Roman"/>
        </w:rPr>
        <w:t xml:space="preserve">In the results section for this research question, I noted that for short-term credentials that take less than a year to complete, a lag was observed before </w:t>
      </w:r>
      <w:r w:rsidR="00E37D7B">
        <w:rPr>
          <w:rFonts w:ascii="Times New Roman" w:hAnsi="Times New Roman" w:cs="Times New Roman"/>
        </w:rPr>
        <w:t>significant</w:t>
      </w:r>
      <w:r>
        <w:rPr>
          <w:rFonts w:ascii="Times New Roman" w:hAnsi="Times New Roman" w:cs="Times New Roman"/>
        </w:rPr>
        <w:t xml:space="preserve"> effects were observed. I believe that this could be due to a lack of access to funds to live on while enrolled in a free college program, these students may not be immediately able to afford the time off work to engage in a short-term program even if it is offered at no </w:t>
      </w:r>
      <w:r>
        <w:rPr>
          <w:rFonts w:ascii="Times New Roman" w:hAnsi="Times New Roman" w:cs="Times New Roman"/>
        </w:rPr>
        <w:lastRenderedPageBreak/>
        <w:t xml:space="preserve">cost to them because of foregone wages. Thus, a lag being needed to meet joint significance here may be representative of two factors. First is that program awareness could be building for the program as news of free college proliferates within communities and students adjust their postsecondary plans accordingly or in other scenarios if the first year of a program was a limited pilot before larger scale adoption. The second is in regard to the potential that lower income students may take slightly longer to respond as they secure the necessary resources to support their selves and potentially their families while enrolled in a short-term program. </w:t>
      </w:r>
    </w:p>
    <w:p w14:paraId="4AFD3F0E" w14:textId="0E4AA58A" w:rsidR="00900910" w:rsidRDefault="00C81E8B"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F1779C">
        <w:rPr>
          <w:rFonts w:ascii="Times New Roman" w:hAnsi="Times New Roman" w:cs="Times New Roman"/>
        </w:rPr>
        <w:t>Moving back to consider findings for question one broadly, c</w:t>
      </w:r>
      <w:r w:rsidR="00A714AB">
        <w:rPr>
          <w:rFonts w:ascii="Times New Roman" w:hAnsi="Times New Roman" w:cs="Times New Roman"/>
        </w:rPr>
        <w:t xml:space="preserve">omparisons to </w:t>
      </w:r>
      <w:r w:rsidR="00F31B0C">
        <w:rPr>
          <w:rFonts w:ascii="Times New Roman" w:hAnsi="Times New Roman" w:cs="Times New Roman"/>
        </w:rPr>
        <w:t xml:space="preserve">the findings of other studies </w:t>
      </w:r>
      <w:r w:rsidR="00A714AB">
        <w:rPr>
          <w:rFonts w:ascii="Times New Roman" w:hAnsi="Times New Roman" w:cs="Times New Roman"/>
        </w:rPr>
        <w:t xml:space="preserve">are limited </w:t>
      </w:r>
      <w:r w:rsidR="00F31B0C">
        <w:rPr>
          <w:rFonts w:ascii="Times New Roman" w:hAnsi="Times New Roman" w:cs="Times New Roman"/>
        </w:rPr>
        <w:t xml:space="preserve">due </w:t>
      </w:r>
      <w:r w:rsidR="00A714AB">
        <w:rPr>
          <w:rFonts w:ascii="Times New Roman" w:hAnsi="Times New Roman" w:cs="Times New Roman"/>
        </w:rPr>
        <w:t>to empirical design</w:t>
      </w:r>
      <w:r w:rsidR="00F31B0C">
        <w:rPr>
          <w:rFonts w:ascii="Times New Roman" w:hAnsi="Times New Roman" w:cs="Times New Roman"/>
        </w:rPr>
        <w:t xml:space="preserve"> and the uniqueness of my explored topic</w:t>
      </w:r>
      <w:r w:rsidR="00A714AB">
        <w:rPr>
          <w:rFonts w:ascii="Times New Roman" w:hAnsi="Times New Roman" w:cs="Times New Roman"/>
        </w:rPr>
        <w:t xml:space="preserve">. Because my data is constructed from institutional level data from IPEDS, I </w:t>
      </w:r>
      <w:r w:rsidR="00FE1CCB">
        <w:rPr>
          <w:rFonts w:ascii="Times New Roman" w:hAnsi="Times New Roman" w:cs="Times New Roman"/>
        </w:rPr>
        <w:t>was</w:t>
      </w:r>
      <w:r w:rsidR="00A714AB">
        <w:rPr>
          <w:rFonts w:ascii="Times New Roman" w:hAnsi="Times New Roman" w:cs="Times New Roman"/>
        </w:rPr>
        <w:t xml:space="preserve"> unable to provide estimates of how much more likely students that attend an institution with a promise program are to complete their program as other scholars working with student-level data </w:t>
      </w:r>
      <w:r w:rsidR="00AD09BE">
        <w:rPr>
          <w:rFonts w:ascii="Times New Roman" w:hAnsi="Times New Roman" w:cs="Times New Roman"/>
        </w:rPr>
        <w:t>have been</w:t>
      </w:r>
      <w:r w:rsidR="00A714AB">
        <w:rPr>
          <w:rFonts w:ascii="Times New Roman" w:hAnsi="Times New Roman" w:cs="Times New Roman"/>
        </w:rPr>
        <w:t xml:space="preserve"> able to do </w:t>
      </w:r>
      <w:r w:rsidR="00A714AB" w:rsidRPr="00193588">
        <w:rPr>
          <w:rFonts w:ascii="Times New Roman" w:hAnsi="Times New Roman" w:cs="Times New Roman"/>
        </w:rPr>
        <w:t>so</w:t>
      </w:r>
      <w:r w:rsidR="007B5B8F" w:rsidRPr="00193588">
        <w:rPr>
          <w:rFonts w:ascii="Times New Roman" w:hAnsi="Times New Roman" w:cs="Times New Roman"/>
        </w:rPr>
        <w:t xml:space="preserve"> </w:t>
      </w:r>
      <w:r w:rsidR="00A714AB" w:rsidRPr="00193588">
        <w:rPr>
          <w:rFonts w:ascii="Times New Roman" w:hAnsi="Times New Roman" w:cs="Times New Roman"/>
        </w:rPr>
        <w:t xml:space="preserve">(Carruthers </w:t>
      </w:r>
      <w:r w:rsidR="007B5B8F" w:rsidRPr="00193588">
        <w:rPr>
          <w:rFonts w:ascii="Times New Roman" w:hAnsi="Times New Roman" w:cs="Times New Roman"/>
        </w:rPr>
        <w:t>et al.</w:t>
      </w:r>
      <w:r w:rsidR="00A714AB" w:rsidRPr="00193588">
        <w:rPr>
          <w:rFonts w:ascii="Times New Roman" w:hAnsi="Times New Roman" w:cs="Times New Roman"/>
        </w:rPr>
        <w:t>, 2023; Gershenfield et al., 2019). However</w:t>
      </w:r>
      <w:r w:rsidR="00A714AB">
        <w:rPr>
          <w:rFonts w:ascii="Times New Roman" w:hAnsi="Times New Roman" w:cs="Times New Roman"/>
        </w:rPr>
        <w:t xml:space="preserve">, I </w:t>
      </w:r>
      <w:r w:rsidR="009138A2">
        <w:rPr>
          <w:rFonts w:ascii="Times New Roman" w:hAnsi="Times New Roman" w:cs="Times New Roman"/>
        </w:rPr>
        <w:t>was</w:t>
      </w:r>
      <w:r w:rsidR="00FE1CCB">
        <w:rPr>
          <w:rFonts w:ascii="Times New Roman" w:hAnsi="Times New Roman" w:cs="Times New Roman"/>
        </w:rPr>
        <w:t xml:space="preserve"> still</w:t>
      </w:r>
      <w:r w:rsidR="00A714AB">
        <w:rPr>
          <w:rFonts w:ascii="Times New Roman" w:hAnsi="Times New Roman" w:cs="Times New Roman"/>
        </w:rPr>
        <w:t xml:space="preserve"> able to compare aggregate increases in the number of completions </w:t>
      </w:r>
      <w:r>
        <w:rPr>
          <w:rFonts w:ascii="Times New Roman" w:hAnsi="Times New Roman" w:cs="Times New Roman"/>
        </w:rPr>
        <w:t>to existing literature</w:t>
      </w:r>
      <w:r w:rsidR="00AD09BE">
        <w:rPr>
          <w:rFonts w:ascii="Times New Roman" w:hAnsi="Times New Roman" w:cs="Times New Roman"/>
        </w:rPr>
        <w:t xml:space="preserve">. </w:t>
      </w:r>
    </w:p>
    <w:p w14:paraId="686DF110" w14:textId="720136F7" w:rsidR="007C7B76" w:rsidRDefault="00AD09BE"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M</w:t>
      </w:r>
      <w:r w:rsidR="00E938F5">
        <w:rPr>
          <w:rFonts w:ascii="Times New Roman" w:hAnsi="Times New Roman" w:cs="Times New Roman"/>
        </w:rPr>
        <w:t xml:space="preserve">y findings </w:t>
      </w:r>
      <w:r>
        <w:rPr>
          <w:rFonts w:ascii="Times New Roman" w:hAnsi="Times New Roman" w:cs="Times New Roman"/>
        </w:rPr>
        <w:t xml:space="preserve">somewhat </w:t>
      </w:r>
      <w:r w:rsidR="00E938F5">
        <w:rPr>
          <w:rFonts w:ascii="Times New Roman" w:hAnsi="Times New Roman" w:cs="Times New Roman"/>
        </w:rPr>
        <w:t>align with previous estimates of individual programs</w:t>
      </w:r>
      <w:r w:rsidR="00875E01">
        <w:rPr>
          <w:rFonts w:ascii="Times New Roman" w:hAnsi="Times New Roman" w:cs="Times New Roman"/>
        </w:rPr>
        <w:t xml:space="preserve"> in terms of scale </w:t>
      </w:r>
      <w:r w:rsidR="00FE23CC">
        <w:rPr>
          <w:rFonts w:ascii="Times New Roman" w:hAnsi="Times New Roman" w:cs="Times New Roman"/>
        </w:rPr>
        <w:t>of general increases in awards but depart from past research findings on sub-baccalaureate outcomes</w:t>
      </w:r>
      <w:r w:rsidR="00E938F5">
        <w:rPr>
          <w:rFonts w:ascii="Times New Roman" w:hAnsi="Times New Roman" w:cs="Times New Roman"/>
        </w:rPr>
        <w:t xml:space="preserve">. </w:t>
      </w:r>
      <w:r w:rsidR="00630090" w:rsidRPr="00467843">
        <w:rPr>
          <w:rFonts w:ascii="Times New Roman" w:hAnsi="Times New Roman" w:cs="Times New Roman"/>
          <w:noProof/>
        </w:rPr>
        <w:t>Bartik et al.</w:t>
      </w:r>
      <w:r w:rsidR="00630090">
        <w:rPr>
          <w:rFonts w:ascii="Times New Roman" w:hAnsi="Times New Roman" w:cs="Times New Roman"/>
          <w:noProof/>
        </w:rPr>
        <w:t xml:space="preserve"> (</w:t>
      </w:r>
      <w:r w:rsidR="00630090" w:rsidRPr="00467843">
        <w:rPr>
          <w:rFonts w:ascii="Times New Roman" w:hAnsi="Times New Roman" w:cs="Times New Roman"/>
          <w:noProof/>
        </w:rPr>
        <w:t>2021)</w:t>
      </w:r>
      <w:r w:rsidR="00467843">
        <w:rPr>
          <w:rFonts w:ascii="Times New Roman" w:hAnsi="Times New Roman" w:cs="Times New Roman"/>
        </w:rPr>
        <w:t xml:space="preserve"> </w:t>
      </w:r>
      <w:r w:rsidR="00310357">
        <w:rPr>
          <w:rFonts w:ascii="Times New Roman" w:hAnsi="Times New Roman" w:cs="Times New Roman"/>
        </w:rPr>
        <w:t>found that the Kalamazoo Promise increased postsecondary completion by 12%</w:t>
      </w:r>
      <w:r w:rsidR="0087002E">
        <w:rPr>
          <w:rFonts w:ascii="Times New Roman" w:hAnsi="Times New Roman" w:cs="Times New Roman"/>
        </w:rPr>
        <w:t xml:space="preserve"> but </w:t>
      </w:r>
      <w:r w:rsidR="00BD15B5">
        <w:rPr>
          <w:rFonts w:ascii="Times New Roman" w:hAnsi="Times New Roman" w:cs="Times New Roman"/>
        </w:rPr>
        <w:t>simultaneously found no</w:t>
      </w:r>
      <w:r w:rsidR="0087002E">
        <w:rPr>
          <w:rFonts w:ascii="Times New Roman" w:hAnsi="Times New Roman" w:cs="Times New Roman"/>
        </w:rPr>
        <w:t xml:space="preserve"> increase for associates degree comp</w:t>
      </w:r>
      <w:r w:rsidR="00630090">
        <w:rPr>
          <w:rFonts w:ascii="Times New Roman" w:hAnsi="Times New Roman" w:cs="Times New Roman"/>
        </w:rPr>
        <w:t>le</w:t>
      </w:r>
      <w:r w:rsidR="0087002E">
        <w:rPr>
          <w:rFonts w:ascii="Times New Roman" w:hAnsi="Times New Roman" w:cs="Times New Roman"/>
        </w:rPr>
        <w:t>t</w:t>
      </w:r>
      <w:r w:rsidR="00630090">
        <w:rPr>
          <w:rFonts w:ascii="Times New Roman" w:hAnsi="Times New Roman" w:cs="Times New Roman"/>
        </w:rPr>
        <w:t>ion</w:t>
      </w:r>
      <w:r w:rsidR="0087002E">
        <w:rPr>
          <w:rFonts w:ascii="Times New Roman" w:hAnsi="Times New Roman" w:cs="Times New Roman"/>
        </w:rPr>
        <w:t>.</w:t>
      </w:r>
      <w:r w:rsidR="004A28ED">
        <w:rPr>
          <w:rFonts w:ascii="Times New Roman" w:hAnsi="Times New Roman" w:cs="Times New Roman"/>
        </w:rPr>
        <w:t xml:space="preserve"> Swanson </w:t>
      </w:r>
      <w:r w:rsidR="00C47EB3">
        <w:rPr>
          <w:rFonts w:ascii="Times New Roman" w:hAnsi="Times New Roman" w:cs="Times New Roman"/>
        </w:rPr>
        <w:t>and</w:t>
      </w:r>
      <w:r w:rsidR="004A28ED">
        <w:rPr>
          <w:rFonts w:ascii="Times New Roman" w:hAnsi="Times New Roman" w:cs="Times New Roman"/>
        </w:rPr>
        <w:t xml:space="preserve"> Ritter</w:t>
      </w:r>
      <w:r w:rsidR="00467843">
        <w:rPr>
          <w:rFonts w:ascii="Times New Roman" w:hAnsi="Times New Roman" w:cs="Times New Roman"/>
        </w:rPr>
        <w:t xml:space="preserve"> </w:t>
      </w:r>
      <w:sdt>
        <w:sdtPr>
          <w:rPr>
            <w:rFonts w:ascii="Times New Roman" w:hAnsi="Times New Roman" w:cs="Times New Roman"/>
          </w:rPr>
          <w:id w:val="-508676043"/>
          <w:citation/>
        </w:sdtPr>
        <w:sdtContent>
          <w:r w:rsidR="00467843">
            <w:rPr>
              <w:rFonts w:ascii="Times New Roman" w:hAnsi="Times New Roman" w:cs="Times New Roman"/>
            </w:rPr>
            <w:fldChar w:fldCharType="begin"/>
          </w:r>
          <w:r w:rsidR="00467843">
            <w:rPr>
              <w:rFonts w:ascii="Times New Roman" w:hAnsi="Times New Roman" w:cs="Times New Roman"/>
            </w:rPr>
            <w:instrText xml:space="preserve">CITATION Swa201 \n  \t  \l 1033 </w:instrText>
          </w:r>
          <w:r w:rsidR="00467843">
            <w:rPr>
              <w:rFonts w:ascii="Times New Roman" w:hAnsi="Times New Roman" w:cs="Times New Roman"/>
            </w:rPr>
            <w:fldChar w:fldCharType="separate"/>
          </w:r>
          <w:r w:rsidR="00A10468" w:rsidRPr="00A10468">
            <w:rPr>
              <w:rFonts w:ascii="Times New Roman" w:hAnsi="Times New Roman" w:cs="Times New Roman"/>
              <w:noProof/>
            </w:rPr>
            <w:t>(2020)</w:t>
          </w:r>
          <w:r w:rsidR="00467843">
            <w:rPr>
              <w:rFonts w:ascii="Times New Roman" w:hAnsi="Times New Roman" w:cs="Times New Roman"/>
            </w:rPr>
            <w:fldChar w:fldCharType="end"/>
          </w:r>
        </w:sdtContent>
      </w:sdt>
      <w:r w:rsidR="0065140A">
        <w:rPr>
          <w:rFonts w:ascii="Times New Roman" w:hAnsi="Times New Roman" w:cs="Times New Roman"/>
        </w:rPr>
        <w:t xml:space="preserve"> </w:t>
      </w:r>
      <w:r w:rsidR="004A28ED">
        <w:rPr>
          <w:rFonts w:ascii="Times New Roman" w:hAnsi="Times New Roman" w:cs="Times New Roman"/>
        </w:rPr>
        <w:t>found the adoption of the El Dorado promise program resulted in a 10.7% percent increase</w:t>
      </w:r>
      <w:r w:rsidR="00BD15B5">
        <w:rPr>
          <w:rFonts w:ascii="Times New Roman" w:hAnsi="Times New Roman" w:cs="Times New Roman"/>
        </w:rPr>
        <w:t xml:space="preserve"> in awards</w:t>
      </w:r>
      <w:r w:rsidR="004A28ED">
        <w:rPr>
          <w:rFonts w:ascii="Times New Roman" w:hAnsi="Times New Roman" w:cs="Times New Roman"/>
        </w:rPr>
        <w:t xml:space="preserve">. </w:t>
      </w:r>
      <w:r w:rsidR="00EC22D7">
        <w:rPr>
          <w:rFonts w:ascii="Times New Roman" w:hAnsi="Times New Roman" w:cs="Times New Roman"/>
        </w:rPr>
        <w:t xml:space="preserve">However, my </w:t>
      </w:r>
      <w:r w:rsidR="00EC22D7">
        <w:rPr>
          <w:rFonts w:ascii="Times New Roman" w:hAnsi="Times New Roman" w:cs="Times New Roman"/>
        </w:rPr>
        <w:lastRenderedPageBreak/>
        <w:t xml:space="preserve">results </w:t>
      </w:r>
      <w:r w:rsidR="003246BD">
        <w:rPr>
          <w:rFonts w:ascii="Times New Roman" w:hAnsi="Times New Roman" w:cs="Times New Roman"/>
        </w:rPr>
        <w:t xml:space="preserve">also </w:t>
      </w:r>
      <w:r w:rsidR="00EC22D7">
        <w:rPr>
          <w:rFonts w:ascii="Times New Roman" w:hAnsi="Times New Roman" w:cs="Times New Roman"/>
        </w:rPr>
        <w:t>depart</w:t>
      </w:r>
      <w:r w:rsidR="00FE1CCB">
        <w:rPr>
          <w:rFonts w:ascii="Times New Roman" w:hAnsi="Times New Roman" w:cs="Times New Roman"/>
        </w:rPr>
        <w:t>ed</w:t>
      </w:r>
      <w:r w:rsidR="00EC22D7">
        <w:rPr>
          <w:rFonts w:ascii="Times New Roman" w:hAnsi="Times New Roman" w:cs="Times New Roman"/>
        </w:rPr>
        <w:t xml:space="preserve"> from the Swanson and Ritter findings which found </w:t>
      </w:r>
      <w:r w:rsidR="00974846">
        <w:rPr>
          <w:rFonts w:ascii="Times New Roman" w:hAnsi="Times New Roman" w:cs="Times New Roman"/>
        </w:rPr>
        <w:t xml:space="preserve">a </w:t>
      </w:r>
      <w:r w:rsidR="00EC22D7">
        <w:rPr>
          <w:rFonts w:ascii="Times New Roman" w:hAnsi="Times New Roman" w:cs="Times New Roman"/>
        </w:rPr>
        <w:t>no</w:t>
      </w:r>
      <w:r w:rsidR="00974846">
        <w:rPr>
          <w:rFonts w:ascii="Times New Roman" w:hAnsi="Times New Roman" w:cs="Times New Roman"/>
        </w:rPr>
        <w:t>n-statistically</w:t>
      </w:r>
      <w:r w:rsidR="00EC22D7">
        <w:rPr>
          <w:rFonts w:ascii="Times New Roman" w:hAnsi="Times New Roman" w:cs="Times New Roman"/>
        </w:rPr>
        <w:t xml:space="preserve"> significant effect on associates degree completion.</w:t>
      </w:r>
    </w:p>
    <w:p w14:paraId="1B8228B4" w14:textId="0D9B0E65" w:rsidR="007C7B76" w:rsidRDefault="007C7B76"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3A7DD1">
        <w:rPr>
          <w:rFonts w:ascii="Times New Roman" w:hAnsi="Times New Roman" w:cs="Times New Roman"/>
        </w:rPr>
        <w:t xml:space="preserve">However, </w:t>
      </w:r>
      <w:r w:rsidR="00824A48">
        <w:rPr>
          <w:rFonts w:ascii="Times New Roman" w:hAnsi="Times New Roman" w:cs="Times New Roman"/>
        </w:rPr>
        <w:t xml:space="preserve">an important caveat </w:t>
      </w:r>
      <w:r w:rsidR="00394B57">
        <w:rPr>
          <w:rFonts w:ascii="Times New Roman" w:hAnsi="Times New Roman" w:cs="Times New Roman"/>
        </w:rPr>
        <w:t xml:space="preserve">mentioned throughout this </w:t>
      </w:r>
      <w:r w:rsidR="00C47EB3">
        <w:rPr>
          <w:rFonts w:ascii="Times New Roman" w:hAnsi="Times New Roman" w:cs="Times New Roman"/>
        </w:rPr>
        <w:t>dissertation</w:t>
      </w:r>
      <w:r w:rsidR="00824A48">
        <w:rPr>
          <w:rFonts w:ascii="Times New Roman" w:hAnsi="Times New Roman" w:cs="Times New Roman"/>
        </w:rPr>
        <w:t xml:space="preserve"> is </w:t>
      </w:r>
      <w:r w:rsidR="0034793C">
        <w:rPr>
          <w:rFonts w:ascii="Times New Roman" w:hAnsi="Times New Roman" w:cs="Times New Roman"/>
        </w:rPr>
        <w:t>that these</w:t>
      </w:r>
      <w:r w:rsidR="00824A48">
        <w:rPr>
          <w:rFonts w:ascii="Times New Roman" w:hAnsi="Times New Roman" w:cs="Times New Roman"/>
        </w:rPr>
        <w:t xml:space="preserve"> stud</w:t>
      </w:r>
      <w:r w:rsidR="0034793C">
        <w:rPr>
          <w:rFonts w:ascii="Times New Roman" w:hAnsi="Times New Roman" w:cs="Times New Roman"/>
        </w:rPr>
        <w:t>ies</w:t>
      </w:r>
      <w:r w:rsidR="00824A48">
        <w:rPr>
          <w:rFonts w:ascii="Times New Roman" w:hAnsi="Times New Roman" w:cs="Times New Roman"/>
        </w:rPr>
        <w:t xml:space="preserve"> examined the El Dorado</w:t>
      </w:r>
      <w:r w:rsidR="0034793C">
        <w:rPr>
          <w:rFonts w:ascii="Times New Roman" w:hAnsi="Times New Roman" w:cs="Times New Roman"/>
        </w:rPr>
        <w:t xml:space="preserve"> Promise</w:t>
      </w:r>
      <w:r w:rsidR="00824A48">
        <w:rPr>
          <w:rFonts w:ascii="Times New Roman" w:hAnsi="Times New Roman" w:cs="Times New Roman"/>
        </w:rPr>
        <w:t xml:space="preserve"> </w:t>
      </w:r>
      <w:r w:rsidR="0034793C">
        <w:rPr>
          <w:rFonts w:ascii="Times New Roman" w:hAnsi="Times New Roman" w:cs="Times New Roman"/>
        </w:rPr>
        <w:t xml:space="preserve">and Kalamazoo Promise </w:t>
      </w:r>
      <w:r w:rsidR="00824A48">
        <w:rPr>
          <w:rFonts w:ascii="Times New Roman" w:hAnsi="Times New Roman" w:cs="Times New Roman"/>
        </w:rPr>
        <w:t>program</w:t>
      </w:r>
      <w:r w:rsidR="0034793C">
        <w:rPr>
          <w:rFonts w:ascii="Times New Roman" w:hAnsi="Times New Roman" w:cs="Times New Roman"/>
        </w:rPr>
        <w:t>s</w:t>
      </w:r>
      <w:r w:rsidR="00824A48">
        <w:rPr>
          <w:rFonts w:ascii="Times New Roman" w:hAnsi="Times New Roman" w:cs="Times New Roman"/>
        </w:rPr>
        <w:t xml:space="preserve"> which can be used at either two-year or four-year institutions</w:t>
      </w:r>
      <w:r w:rsidR="00974846">
        <w:rPr>
          <w:rFonts w:ascii="Times New Roman" w:hAnsi="Times New Roman" w:cs="Times New Roman"/>
        </w:rPr>
        <w:t xml:space="preserve">. </w:t>
      </w:r>
      <w:r w:rsidR="001A2ACA">
        <w:rPr>
          <w:rFonts w:ascii="Times New Roman" w:hAnsi="Times New Roman" w:cs="Times New Roman"/>
        </w:rPr>
        <w:t xml:space="preserve">I discuss this caveat in greater detail in my implications section. </w:t>
      </w:r>
      <w:r w:rsidR="00974846">
        <w:rPr>
          <w:rFonts w:ascii="Times New Roman" w:hAnsi="Times New Roman" w:cs="Times New Roman"/>
        </w:rPr>
        <w:t xml:space="preserve">This </w:t>
      </w:r>
      <w:r w:rsidR="00824A48">
        <w:rPr>
          <w:rFonts w:ascii="Times New Roman" w:hAnsi="Times New Roman" w:cs="Times New Roman"/>
        </w:rPr>
        <w:t xml:space="preserve">is a type of promise program that I exclude from my sample due to a potential scattering effect. </w:t>
      </w:r>
      <w:r w:rsidR="009D032E">
        <w:rPr>
          <w:rFonts w:ascii="Times New Roman" w:hAnsi="Times New Roman" w:cs="Times New Roman"/>
        </w:rPr>
        <w:t xml:space="preserve">Thus, their lack of significant findings for sub-baccalaureate awards may be reflective of students substituting away from the sub-baccalaureate sector as the four-year sector becomes more affordable – something my study is specifically designed to avoid. </w:t>
      </w:r>
      <w:r>
        <w:rPr>
          <w:rFonts w:ascii="Times New Roman" w:hAnsi="Times New Roman" w:cs="Times New Roman"/>
        </w:rPr>
        <w:t xml:space="preserve">My study is unique in that it does not consider these </w:t>
      </w:r>
      <w:r w:rsidR="00D951FA">
        <w:rPr>
          <w:rFonts w:ascii="Times New Roman" w:hAnsi="Times New Roman" w:cs="Times New Roman"/>
        </w:rPr>
        <w:t xml:space="preserve">student </w:t>
      </w:r>
      <w:r w:rsidR="009D032E">
        <w:rPr>
          <w:rFonts w:ascii="Times New Roman" w:hAnsi="Times New Roman" w:cs="Times New Roman"/>
        </w:rPr>
        <w:t xml:space="preserve">scattering </w:t>
      </w:r>
      <w:r w:rsidR="00D951FA">
        <w:rPr>
          <w:rFonts w:ascii="Times New Roman" w:hAnsi="Times New Roman" w:cs="Times New Roman"/>
        </w:rPr>
        <w:t>promise aid awards</w:t>
      </w:r>
      <w:r>
        <w:rPr>
          <w:rFonts w:ascii="Times New Roman" w:hAnsi="Times New Roman" w:cs="Times New Roman"/>
        </w:rPr>
        <w:t xml:space="preserve"> that could be utilized at both the </w:t>
      </w:r>
      <w:r w:rsidR="00402126">
        <w:rPr>
          <w:rFonts w:ascii="Times New Roman" w:hAnsi="Times New Roman" w:cs="Times New Roman"/>
        </w:rPr>
        <w:t>two-year and four-year levels</w:t>
      </w:r>
      <w:r w:rsidR="004B06E1">
        <w:rPr>
          <w:rFonts w:ascii="Times New Roman" w:hAnsi="Times New Roman" w:cs="Times New Roman"/>
        </w:rPr>
        <w:t xml:space="preserve"> but </w:t>
      </w:r>
      <w:r w:rsidR="00D951FA">
        <w:rPr>
          <w:rFonts w:ascii="Times New Roman" w:hAnsi="Times New Roman" w:cs="Times New Roman"/>
        </w:rPr>
        <w:t xml:space="preserve">still </w:t>
      </w:r>
      <w:r w:rsidR="004B06E1">
        <w:rPr>
          <w:rFonts w:ascii="Times New Roman" w:hAnsi="Times New Roman" w:cs="Times New Roman"/>
        </w:rPr>
        <w:t xml:space="preserve">finds </w:t>
      </w:r>
      <w:r w:rsidR="006E12F6">
        <w:rPr>
          <w:rFonts w:ascii="Times New Roman" w:hAnsi="Times New Roman" w:cs="Times New Roman"/>
        </w:rPr>
        <w:t xml:space="preserve">a </w:t>
      </w:r>
      <w:r w:rsidR="004B06E1">
        <w:rPr>
          <w:rFonts w:ascii="Times New Roman" w:hAnsi="Times New Roman" w:cs="Times New Roman"/>
        </w:rPr>
        <w:t xml:space="preserve">similar levels of increased completions to these two studies </w:t>
      </w:r>
      <w:r w:rsidR="006E12F6">
        <w:rPr>
          <w:rFonts w:ascii="Times New Roman" w:hAnsi="Times New Roman" w:cs="Times New Roman"/>
        </w:rPr>
        <w:t>which</w:t>
      </w:r>
      <w:r w:rsidR="004B06E1">
        <w:rPr>
          <w:rFonts w:ascii="Times New Roman" w:hAnsi="Times New Roman" w:cs="Times New Roman"/>
        </w:rPr>
        <w:t xml:space="preserve"> examined promise programs that happen to </w:t>
      </w:r>
      <w:r w:rsidR="00FF4827">
        <w:rPr>
          <w:rFonts w:ascii="Times New Roman" w:hAnsi="Times New Roman" w:cs="Times New Roman"/>
        </w:rPr>
        <w:t xml:space="preserve">also </w:t>
      </w:r>
      <w:r w:rsidR="004B06E1">
        <w:rPr>
          <w:rFonts w:ascii="Times New Roman" w:hAnsi="Times New Roman" w:cs="Times New Roman"/>
        </w:rPr>
        <w:t>affect four-year colleges.</w:t>
      </w:r>
      <w:r w:rsidR="007530BA">
        <w:rPr>
          <w:rFonts w:ascii="Times New Roman" w:hAnsi="Times New Roman" w:cs="Times New Roman"/>
        </w:rPr>
        <w:t xml:space="preserve"> </w:t>
      </w:r>
    </w:p>
    <w:p w14:paraId="5C74EBC0" w14:textId="291EA247" w:rsidR="006C7172" w:rsidRDefault="006C7172"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While it is possible that my study also </w:t>
      </w:r>
      <w:r w:rsidR="00BB03BF">
        <w:rPr>
          <w:rFonts w:ascii="Times New Roman" w:hAnsi="Times New Roman" w:cs="Times New Roman"/>
        </w:rPr>
        <w:t>was</w:t>
      </w:r>
      <w:r w:rsidR="00AD1550">
        <w:rPr>
          <w:rFonts w:ascii="Times New Roman" w:hAnsi="Times New Roman" w:cs="Times New Roman"/>
        </w:rPr>
        <w:t xml:space="preserve"> biased by student choice </w:t>
      </w:r>
      <w:r w:rsidR="00E93E55">
        <w:rPr>
          <w:rFonts w:ascii="Times New Roman" w:hAnsi="Times New Roman" w:cs="Times New Roman"/>
        </w:rPr>
        <w:t>driving</w:t>
      </w:r>
      <w:r w:rsidR="00AD1550">
        <w:rPr>
          <w:rFonts w:ascii="Times New Roman" w:hAnsi="Times New Roman" w:cs="Times New Roman"/>
        </w:rPr>
        <w:t xml:space="preserve"> enrollment substitutions in the opposite direction</w:t>
      </w:r>
      <w:r w:rsidR="00630090">
        <w:rPr>
          <w:rFonts w:ascii="Times New Roman" w:hAnsi="Times New Roman" w:cs="Times New Roman"/>
        </w:rPr>
        <w:t xml:space="preserve"> of the</w:t>
      </w:r>
      <w:r w:rsidR="00A4433C">
        <w:rPr>
          <w:rFonts w:ascii="Times New Roman" w:hAnsi="Times New Roman" w:cs="Times New Roman"/>
        </w:rPr>
        <w:t xml:space="preserve"> above mentioned two projects</w:t>
      </w:r>
      <w:r w:rsidR="00AD1550">
        <w:rPr>
          <w:rFonts w:ascii="Times New Roman" w:hAnsi="Times New Roman" w:cs="Times New Roman"/>
        </w:rPr>
        <w:t>,</w:t>
      </w:r>
      <w:r w:rsidR="00B264BF">
        <w:rPr>
          <w:rFonts w:ascii="Times New Roman" w:hAnsi="Times New Roman" w:cs="Times New Roman"/>
        </w:rPr>
        <w:t xml:space="preserve"> my estimates still offer utility to the field of postsecondary education research. </w:t>
      </w:r>
      <w:r w:rsidR="001A1C39">
        <w:rPr>
          <w:rFonts w:ascii="Times New Roman" w:hAnsi="Times New Roman" w:cs="Times New Roman"/>
        </w:rPr>
        <w:t xml:space="preserve">First, my sub-baccalaureate only promise program findings highlight </w:t>
      </w:r>
      <w:r w:rsidR="00D62B45">
        <w:rPr>
          <w:rFonts w:ascii="Times New Roman" w:hAnsi="Times New Roman" w:cs="Times New Roman"/>
        </w:rPr>
        <w:t xml:space="preserve">a pressing need for future research designs to consider </w:t>
      </w:r>
      <w:r w:rsidR="00D0003B">
        <w:rPr>
          <w:rFonts w:ascii="Times New Roman" w:hAnsi="Times New Roman" w:cs="Times New Roman"/>
        </w:rPr>
        <w:t>student choice in future stud</w:t>
      </w:r>
      <w:r w:rsidR="00A4433C">
        <w:rPr>
          <w:rFonts w:ascii="Times New Roman" w:hAnsi="Times New Roman" w:cs="Times New Roman"/>
        </w:rPr>
        <w:t>ies on</w:t>
      </w:r>
      <w:r w:rsidR="00D0003B">
        <w:rPr>
          <w:rFonts w:ascii="Times New Roman" w:hAnsi="Times New Roman" w:cs="Times New Roman"/>
        </w:rPr>
        <w:t xml:space="preserve"> promise programs. Second, </w:t>
      </w:r>
      <w:r w:rsidR="009A1168">
        <w:rPr>
          <w:rFonts w:ascii="Times New Roman" w:hAnsi="Times New Roman" w:cs="Times New Roman"/>
        </w:rPr>
        <w:t>is that</w:t>
      </w:r>
      <w:r w:rsidR="00A4433C">
        <w:rPr>
          <w:rFonts w:ascii="Times New Roman" w:hAnsi="Times New Roman" w:cs="Times New Roman"/>
        </w:rPr>
        <w:t xml:space="preserve"> my study</w:t>
      </w:r>
      <w:r w:rsidR="009A1168">
        <w:rPr>
          <w:rFonts w:ascii="Times New Roman" w:hAnsi="Times New Roman" w:cs="Times New Roman"/>
        </w:rPr>
        <w:t xml:space="preserve"> offers a</w:t>
      </w:r>
      <w:r w:rsidR="00713267">
        <w:rPr>
          <w:rFonts w:ascii="Times New Roman" w:hAnsi="Times New Roman" w:cs="Times New Roman"/>
        </w:rPr>
        <w:t xml:space="preserve"> window into a deeper </w:t>
      </w:r>
      <w:r w:rsidR="009A1168">
        <w:rPr>
          <w:rFonts w:ascii="Times New Roman" w:hAnsi="Times New Roman" w:cs="Times New Roman"/>
        </w:rPr>
        <w:t xml:space="preserve">understanding of </w:t>
      </w:r>
      <w:r w:rsidR="00713267">
        <w:rPr>
          <w:rFonts w:ascii="Times New Roman" w:hAnsi="Times New Roman" w:cs="Times New Roman"/>
        </w:rPr>
        <w:t>the</w:t>
      </w:r>
      <w:r w:rsidR="009A1168">
        <w:rPr>
          <w:rFonts w:ascii="Times New Roman" w:hAnsi="Times New Roman" w:cs="Times New Roman"/>
        </w:rPr>
        <w:t xml:space="preserve"> effects </w:t>
      </w:r>
      <w:r w:rsidR="00713267">
        <w:rPr>
          <w:rFonts w:ascii="Times New Roman" w:hAnsi="Times New Roman" w:cs="Times New Roman"/>
        </w:rPr>
        <w:t xml:space="preserve">of promise programs </w:t>
      </w:r>
      <w:r w:rsidR="009A1168">
        <w:rPr>
          <w:rFonts w:ascii="Times New Roman" w:hAnsi="Times New Roman" w:cs="Times New Roman"/>
        </w:rPr>
        <w:t>on workforce education</w:t>
      </w:r>
      <w:r w:rsidR="00871EFA">
        <w:rPr>
          <w:rFonts w:ascii="Times New Roman" w:hAnsi="Times New Roman" w:cs="Times New Roman"/>
        </w:rPr>
        <w:t xml:space="preserve">. </w:t>
      </w:r>
      <w:r w:rsidR="00BE3EC2">
        <w:rPr>
          <w:rFonts w:ascii="Times New Roman" w:hAnsi="Times New Roman" w:cs="Times New Roman"/>
        </w:rPr>
        <w:t xml:space="preserve">By identifying that there </w:t>
      </w:r>
      <w:r w:rsidR="00A92E98">
        <w:rPr>
          <w:rFonts w:ascii="Times New Roman" w:hAnsi="Times New Roman" w:cs="Times New Roman"/>
        </w:rPr>
        <w:t>is</w:t>
      </w:r>
      <w:r w:rsidR="00BE3EC2">
        <w:rPr>
          <w:rFonts w:ascii="Times New Roman" w:hAnsi="Times New Roman" w:cs="Times New Roman"/>
        </w:rPr>
        <w:t xml:space="preserve"> a differen</w:t>
      </w:r>
      <w:r w:rsidR="00A92E98">
        <w:rPr>
          <w:rFonts w:ascii="Times New Roman" w:hAnsi="Times New Roman" w:cs="Times New Roman"/>
        </w:rPr>
        <w:t xml:space="preserve">ce in effect for </w:t>
      </w:r>
      <w:r w:rsidR="00BE3EC2">
        <w:rPr>
          <w:rFonts w:ascii="Times New Roman" w:hAnsi="Times New Roman" w:cs="Times New Roman"/>
        </w:rPr>
        <w:t>student completions as determined by promise program features</w:t>
      </w:r>
      <w:r w:rsidR="00A92E98">
        <w:rPr>
          <w:rFonts w:ascii="Times New Roman" w:hAnsi="Times New Roman" w:cs="Times New Roman"/>
        </w:rPr>
        <w:t xml:space="preserve">, </w:t>
      </w:r>
      <w:r w:rsidR="00BE3EC2">
        <w:rPr>
          <w:rFonts w:ascii="Times New Roman" w:hAnsi="Times New Roman" w:cs="Times New Roman"/>
        </w:rPr>
        <w:t>policy and institutional leaders</w:t>
      </w:r>
      <w:r w:rsidR="00A92E98">
        <w:rPr>
          <w:rFonts w:ascii="Times New Roman" w:hAnsi="Times New Roman" w:cs="Times New Roman"/>
        </w:rPr>
        <w:t xml:space="preserve"> </w:t>
      </w:r>
      <w:r w:rsidR="00BE3EC2">
        <w:rPr>
          <w:rFonts w:ascii="Times New Roman" w:hAnsi="Times New Roman" w:cs="Times New Roman"/>
        </w:rPr>
        <w:t xml:space="preserve">can </w:t>
      </w:r>
      <w:r w:rsidR="007A117D">
        <w:rPr>
          <w:rFonts w:ascii="Times New Roman" w:hAnsi="Times New Roman" w:cs="Times New Roman"/>
        </w:rPr>
        <w:t xml:space="preserve">use this knowledge to better construct promise programs that </w:t>
      </w:r>
      <w:r w:rsidR="007A117D">
        <w:rPr>
          <w:rFonts w:ascii="Times New Roman" w:hAnsi="Times New Roman" w:cs="Times New Roman"/>
        </w:rPr>
        <w:lastRenderedPageBreak/>
        <w:t>reflect relevant opportunities for the communities and areas that they desire a promise program to serve. For example</w:t>
      </w:r>
      <w:r w:rsidR="0058739A">
        <w:rPr>
          <w:rFonts w:ascii="Times New Roman" w:hAnsi="Times New Roman" w:cs="Times New Roman"/>
        </w:rPr>
        <w:t xml:space="preserve">, if a state or area’s economic needs </w:t>
      </w:r>
      <w:r w:rsidR="001C7750">
        <w:rPr>
          <w:rFonts w:ascii="Times New Roman" w:hAnsi="Times New Roman" w:cs="Times New Roman"/>
        </w:rPr>
        <w:t>for</w:t>
      </w:r>
      <w:r w:rsidR="0058739A">
        <w:rPr>
          <w:rFonts w:ascii="Times New Roman" w:hAnsi="Times New Roman" w:cs="Times New Roman"/>
        </w:rPr>
        <w:t xml:space="preserve"> </w:t>
      </w:r>
      <w:r w:rsidR="007D7D4E">
        <w:rPr>
          <w:rFonts w:ascii="Times New Roman" w:hAnsi="Times New Roman" w:cs="Times New Roman"/>
        </w:rPr>
        <w:t>four-year graduates was not being met</w:t>
      </w:r>
      <w:r w:rsidR="0058739A">
        <w:rPr>
          <w:rFonts w:ascii="Times New Roman" w:hAnsi="Times New Roman" w:cs="Times New Roman"/>
        </w:rPr>
        <w:t xml:space="preserve"> and the local labor market had a surplus </w:t>
      </w:r>
      <w:r w:rsidR="0032237E">
        <w:rPr>
          <w:rFonts w:ascii="Times New Roman" w:hAnsi="Times New Roman" w:cs="Times New Roman"/>
        </w:rPr>
        <w:t xml:space="preserve">of sub-baccalaureate educated workers then it </w:t>
      </w:r>
      <w:r w:rsidR="001D21B4">
        <w:rPr>
          <w:rFonts w:ascii="Times New Roman" w:hAnsi="Times New Roman" w:cs="Times New Roman"/>
        </w:rPr>
        <w:t xml:space="preserve">may </w:t>
      </w:r>
      <w:r w:rsidR="0032237E">
        <w:rPr>
          <w:rFonts w:ascii="Times New Roman" w:hAnsi="Times New Roman" w:cs="Times New Roman"/>
        </w:rPr>
        <w:t>be be</w:t>
      </w:r>
      <w:r w:rsidR="001D21B4">
        <w:rPr>
          <w:rFonts w:ascii="Times New Roman" w:hAnsi="Times New Roman" w:cs="Times New Roman"/>
        </w:rPr>
        <w:t>neficial</w:t>
      </w:r>
      <w:r w:rsidR="0032237E">
        <w:rPr>
          <w:rFonts w:ascii="Times New Roman" w:hAnsi="Times New Roman" w:cs="Times New Roman"/>
        </w:rPr>
        <w:t xml:space="preserve"> for a promise program to apply to four-year </w:t>
      </w:r>
      <w:r w:rsidR="00714906">
        <w:rPr>
          <w:rFonts w:ascii="Times New Roman" w:hAnsi="Times New Roman" w:cs="Times New Roman"/>
        </w:rPr>
        <w:t>institutions,</w:t>
      </w:r>
      <w:r w:rsidR="001D21B4">
        <w:rPr>
          <w:rFonts w:ascii="Times New Roman" w:hAnsi="Times New Roman" w:cs="Times New Roman"/>
        </w:rPr>
        <w:t xml:space="preserve"> so students substitute up into four-year programs</w:t>
      </w:r>
      <w:r w:rsidR="0032237E">
        <w:rPr>
          <w:rFonts w:ascii="Times New Roman" w:hAnsi="Times New Roman" w:cs="Times New Roman"/>
        </w:rPr>
        <w:t xml:space="preserve">. However, if a local labor market was </w:t>
      </w:r>
      <w:r w:rsidR="006D581C">
        <w:rPr>
          <w:rFonts w:ascii="Times New Roman" w:hAnsi="Times New Roman" w:cs="Times New Roman"/>
        </w:rPr>
        <w:t>over-</w:t>
      </w:r>
      <w:r w:rsidR="0032237E">
        <w:rPr>
          <w:rFonts w:ascii="Times New Roman" w:hAnsi="Times New Roman" w:cs="Times New Roman"/>
        </w:rPr>
        <w:t xml:space="preserve">saturated with </w:t>
      </w:r>
      <w:r w:rsidR="00B71FE1">
        <w:rPr>
          <w:rFonts w:ascii="Times New Roman" w:hAnsi="Times New Roman" w:cs="Times New Roman"/>
        </w:rPr>
        <w:t xml:space="preserve">workers educated at the four-year level and higher, </w:t>
      </w:r>
      <w:r w:rsidR="00714906">
        <w:rPr>
          <w:rFonts w:ascii="Times New Roman" w:hAnsi="Times New Roman" w:cs="Times New Roman"/>
        </w:rPr>
        <w:t xml:space="preserve">then </w:t>
      </w:r>
      <w:r w:rsidR="00B71FE1">
        <w:rPr>
          <w:rFonts w:ascii="Times New Roman" w:hAnsi="Times New Roman" w:cs="Times New Roman"/>
        </w:rPr>
        <w:t xml:space="preserve">a promise program limited to the sub-baccalaureate could potentially </w:t>
      </w:r>
      <w:r w:rsidR="006D581C">
        <w:rPr>
          <w:rFonts w:ascii="Times New Roman" w:hAnsi="Times New Roman" w:cs="Times New Roman"/>
        </w:rPr>
        <w:t xml:space="preserve">reduce this over-saturation by directing incoming workforce participants into the sub-baccalaureate. </w:t>
      </w:r>
    </w:p>
    <w:p w14:paraId="16262378" w14:textId="2F94B38F" w:rsidR="004A47A2" w:rsidRPr="00B853EC" w:rsidRDefault="004A47A2"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385475">
        <w:rPr>
          <w:rFonts w:ascii="Times New Roman" w:hAnsi="Times New Roman" w:cs="Times New Roman"/>
        </w:rPr>
        <w:t xml:space="preserve">In sum, </w:t>
      </w:r>
      <w:r>
        <w:rPr>
          <w:rFonts w:ascii="Times New Roman" w:hAnsi="Times New Roman" w:cs="Times New Roman"/>
        </w:rPr>
        <w:t xml:space="preserve">I </w:t>
      </w:r>
      <w:r w:rsidR="00FD2C8B">
        <w:rPr>
          <w:rFonts w:ascii="Times New Roman" w:hAnsi="Times New Roman" w:cs="Times New Roman"/>
        </w:rPr>
        <w:t>found</w:t>
      </w:r>
      <w:r>
        <w:rPr>
          <w:rFonts w:ascii="Times New Roman" w:hAnsi="Times New Roman" w:cs="Times New Roman"/>
        </w:rPr>
        <w:t xml:space="preserve"> this to be encouraging evidence that even when controlling for an institution’s unique </w:t>
      </w:r>
      <w:r w:rsidR="00E040A4">
        <w:rPr>
          <w:rFonts w:ascii="Times New Roman" w:hAnsi="Times New Roman" w:cs="Times New Roman"/>
        </w:rPr>
        <w:t>trends</w:t>
      </w:r>
      <w:r w:rsidR="001724A7">
        <w:rPr>
          <w:rFonts w:ascii="Times New Roman" w:hAnsi="Times New Roman" w:cs="Times New Roman"/>
        </w:rPr>
        <w:t xml:space="preserve"> (i.e., unit-specific time trends)</w:t>
      </w:r>
      <w:r w:rsidR="00E040A4">
        <w:rPr>
          <w:rFonts w:ascii="Times New Roman" w:hAnsi="Times New Roman" w:cs="Times New Roman"/>
        </w:rPr>
        <w:t xml:space="preserve"> in student completion that promise programs do increase </w:t>
      </w:r>
      <w:r w:rsidR="001724A7">
        <w:rPr>
          <w:rFonts w:ascii="Times New Roman" w:hAnsi="Times New Roman" w:cs="Times New Roman"/>
        </w:rPr>
        <w:t xml:space="preserve">sub-baccalaureate </w:t>
      </w:r>
      <w:r w:rsidR="00E040A4">
        <w:rPr>
          <w:rFonts w:ascii="Times New Roman" w:hAnsi="Times New Roman" w:cs="Times New Roman"/>
        </w:rPr>
        <w:t>student completions.</w:t>
      </w:r>
      <w:r w:rsidR="00836F19">
        <w:rPr>
          <w:rFonts w:ascii="Times New Roman" w:hAnsi="Times New Roman" w:cs="Times New Roman"/>
        </w:rPr>
        <w:t xml:space="preserve"> </w:t>
      </w:r>
      <w:r w:rsidR="00845513">
        <w:rPr>
          <w:rFonts w:ascii="Times New Roman" w:hAnsi="Times New Roman" w:cs="Times New Roman"/>
        </w:rPr>
        <w:t>Worthy of future examination</w:t>
      </w:r>
      <w:r w:rsidR="00836F19">
        <w:rPr>
          <w:rFonts w:ascii="Times New Roman" w:hAnsi="Times New Roman" w:cs="Times New Roman"/>
        </w:rPr>
        <w:t>, my findings provide</w:t>
      </w:r>
      <w:r w:rsidR="00FD2C8B">
        <w:rPr>
          <w:rFonts w:ascii="Times New Roman" w:hAnsi="Times New Roman" w:cs="Times New Roman"/>
        </w:rPr>
        <w:t>d</w:t>
      </w:r>
      <w:r w:rsidR="00836F19">
        <w:rPr>
          <w:rFonts w:ascii="Times New Roman" w:hAnsi="Times New Roman" w:cs="Times New Roman"/>
        </w:rPr>
        <w:t xml:space="preserve"> evidence that completions at two-year colleges can be </w:t>
      </w:r>
      <w:r w:rsidR="00FC1F41">
        <w:rPr>
          <w:rFonts w:ascii="Times New Roman" w:hAnsi="Times New Roman" w:cs="Times New Roman"/>
        </w:rPr>
        <w:t>positively increased</w:t>
      </w:r>
      <w:r w:rsidR="00836F19">
        <w:rPr>
          <w:rFonts w:ascii="Times New Roman" w:hAnsi="Times New Roman" w:cs="Times New Roman"/>
        </w:rPr>
        <w:t xml:space="preserve"> by free college programs</w:t>
      </w:r>
      <w:r w:rsidR="00FC1F41">
        <w:rPr>
          <w:rFonts w:ascii="Times New Roman" w:hAnsi="Times New Roman" w:cs="Times New Roman"/>
        </w:rPr>
        <w:t xml:space="preserve"> when </w:t>
      </w:r>
      <w:r w:rsidR="00845513">
        <w:rPr>
          <w:rFonts w:ascii="Times New Roman" w:hAnsi="Times New Roman" w:cs="Times New Roman"/>
        </w:rPr>
        <w:t xml:space="preserve">a program does not </w:t>
      </w:r>
      <w:r w:rsidR="00B8028E">
        <w:rPr>
          <w:rFonts w:ascii="Times New Roman" w:hAnsi="Times New Roman" w:cs="Times New Roman"/>
        </w:rPr>
        <w:t>cover four-year programs</w:t>
      </w:r>
      <w:r w:rsidR="00FF4827">
        <w:rPr>
          <w:rFonts w:ascii="Times New Roman" w:hAnsi="Times New Roman" w:cs="Times New Roman"/>
        </w:rPr>
        <w:t>.</w:t>
      </w:r>
      <w:r w:rsidR="00B8028E">
        <w:rPr>
          <w:rFonts w:ascii="Times New Roman" w:hAnsi="Times New Roman" w:cs="Times New Roman"/>
        </w:rPr>
        <w:t xml:space="preserve"> </w:t>
      </w:r>
      <w:r w:rsidR="00937E8E">
        <w:rPr>
          <w:rFonts w:ascii="Times New Roman" w:hAnsi="Times New Roman" w:cs="Times New Roman"/>
        </w:rPr>
        <w:t>These results indicate</w:t>
      </w:r>
      <w:r w:rsidR="00FD2C8B">
        <w:rPr>
          <w:rFonts w:ascii="Times New Roman" w:hAnsi="Times New Roman" w:cs="Times New Roman"/>
        </w:rPr>
        <w:t>d</w:t>
      </w:r>
      <w:r w:rsidR="00937E8E">
        <w:rPr>
          <w:rFonts w:ascii="Times New Roman" w:hAnsi="Times New Roman" w:cs="Times New Roman"/>
        </w:rPr>
        <w:t xml:space="preserve"> that promise program adoption can lead to a larger number of sub-baccalaureate graduates that then can hopefully utilize their degrees in the labor market to access the increasing number of opportunities an award provides them in the workforce.</w:t>
      </w:r>
    </w:p>
    <w:p w14:paraId="52D88995" w14:textId="32419533" w:rsidR="00B853EC" w:rsidRDefault="00B853EC" w:rsidP="008524FA">
      <w:pPr>
        <w:pStyle w:val="Heading2"/>
        <w:spacing w:before="0" w:after="0"/>
      </w:pPr>
      <w:bookmarkStart w:id="170" w:name="_Toc183282291"/>
      <w:r>
        <w:t>Findings: Research Question #2</w:t>
      </w:r>
      <w:r w:rsidR="00BB2E97" w:rsidRPr="00BB2E97">
        <w:t xml:space="preserve"> </w:t>
      </w:r>
      <w:r w:rsidR="00BB2E97">
        <w:t xml:space="preserve">Examining Completions by Program </w:t>
      </w:r>
      <w:r w:rsidR="00B82743">
        <w:t>Area of Study</w:t>
      </w:r>
      <w:bookmarkEnd w:id="170"/>
    </w:p>
    <w:p w14:paraId="74BFF8E0" w14:textId="1B184943" w:rsidR="00B853EC" w:rsidRDefault="00B853EC"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F2745E">
        <w:rPr>
          <w:rFonts w:ascii="Times New Roman" w:hAnsi="Times New Roman" w:cs="Times New Roman"/>
        </w:rPr>
        <w:t xml:space="preserve">Examination for parallel pre-treatment trends </w:t>
      </w:r>
      <w:r w:rsidR="00BE5CBC">
        <w:rPr>
          <w:rFonts w:ascii="Times New Roman" w:hAnsi="Times New Roman" w:cs="Times New Roman"/>
        </w:rPr>
        <w:t xml:space="preserve">for completions by program of study for my five </w:t>
      </w:r>
      <w:r w:rsidR="00FD2C8B">
        <w:rPr>
          <w:rFonts w:ascii="Times New Roman" w:hAnsi="Times New Roman" w:cs="Times New Roman"/>
        </w:rPr>
        <w:t xml:space="preserve">super CIP-code </w:t>
      </w:r>
      <w:r w:rsidR="00BE5CBC">
        <w:rPr>
          <w:rFonts w:ascii="Times New Roman" w:hAnsi="Times New Roman" w:cs="Times New Roman"/>
        </w:rPr>
        <w:t xml:space="preserve">categories found that my empirical strategy was appropriate for the following outcome variables: completions for STEM programs, </w:t>
      </w:r>
      <w:r w:rsidR="00BE5CBC">
        <w:rPr>
          <w:rFonts w:ascii="Times New Roman" w:hAnsi="Times New Roman" w:cs="Times New Roman"/>
        </w:rPr>
        <w:lastRenderedPageBreak/>
        <w:t xml:space="preserve">completions for trades programs, completions for </w:t>
      </w:r>
      <w:r w:rsidR="00343429">
        <w:rPr>
          <w:rFonts w:ascii="Times New Roman" w:hAnsi="Times New Roman" w:cs="Times New Roman"/>
        </w:rPr>
        <w:t xml:space="preserve">liberal arts programs, and completions for human services programs. While all coefficients were positive for the effect of promise program adoption on completion for these four outcome variables, the results indicated that this increase was not significantly different from zero. </w:t>
      </w:r>
    </w:p>
    <w:p w14:paraId="17C2A7C0" w14:textId="0AD9E553" w:rsidR="00137D59" w:rsidRPr="00B853EC" w:rsidRDefault="00F742C3"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I </w:t>
      </w:r>
      <w:r w:rsidR="00396968">
        <w:rPr>
          <w:rFonts w:ascii="Times New Roman" w:hAnsi="Times New Roman" w:cs="Times New Roman"/>
        </w:rPr>
        <w:t>posit</w:t>
      </w:r>
      <w:r>
        <w:rPr>
          <w:rFonts w:ascii="Times New Roman" w:hAnsi="Times New Roman" w:cs="Times New Roman"/>
        </w:rPr>
        <w:t xml:space="preserve"> that th</w:t>
      </w:r>
      <w:r w:rsidR="00396968">
        <w:rPr>
          <w:rFonts w:ascii="Times New Roman" w:hAnsi="Times New Roman" w:cs="Times New Roman"/>
        </w:rPr>
        <w:t>ese results</w:t>
      </w:r>
      <w:r>
        <w:rPr>
          <w:rFonts w:ascii="Times New Roman" w:hAnsi="Times New Roman" w:cs="Times New Roman"/>
        </w:rPr>
        <w:t xml:space="preserve"> do not completely conflict with my findings from </w:t>
      </w:r>
      <w:r w:rsidR="00526C99">
        <w:rPr>
          <w:rFonts w:ascii="Times New Roman" w:hAnsi="Times New Roman" w:cs="Times New Roman"/>
        </w:rPr>
        <w:t xml:space="preserve">the </w:t>
      </w:r>
      <w:r>
        <w:rPr>
          <w:rFonts w:ascii="Times New Roman" w:hAnsi="Times New Roman" w:cs="Times New Roman"/>
        </w:rPr>
        <w:t xml:space="preserve">first research question due to the unique distribution of awards by program area </w:t>
      </w:r>
      <w:r w:rsidR="00A4433C">
        <w:rPr>
          <w:rFonts w:ascii="Times New Roman" w:hAnsi="Times New Roman" w:cs="Times New Roman"/>
        </w:rPr>
        <w:t>and</w:t>
      </w:r>
      <w:r w:rsidR="00247F4E">
        <w:rPr>
          <w:rFonts w:ascii="Times New Roman" w:hAnsi="Times New Roman" w:cs="Times New Roman"/>
        </w:rPr>
        <w:t xml:space="preserve"> program length. For example, trades programs </w:t>
      </w:r>
      <w:r w:rsidR="00FD2C8B">
        <w:rPr>
          <w:rFonts w:ascii="Times New Roman" w:hAnsi="Times New Roman" w:cs="Times New Roman"/>
        </w:rPr>
        <w:t>would</w:t>
      </w:r>
      <w:r w:rsidR="00247F4E">
        <w:rPr>
          <w:rFonts w:ascii="Times New Roman" w:hAnsi="Times New Roman" w:cs="Times New Roman"/>
        </w:rPr>
        <w:t xml:space="preserve"> be predominately isolated to shorter-term credentials while liberal arts programs </w:t>
      </w:r>
      <w:r w:rsidR="00FD2C8B">
        <w:rPr>
          <w:rFonts w:ascii="Times New Roman" w:hAnsi="Times New Roman" w:cs="Times New Roman"/>
        </w:rPr>
        <w:t>would</w:t>
      </w:r>
      <w:r w:rsidR="00247F4E">
        <w:rPr>
          <w:rFonts w:ascii="Times New Roman" w:hAnsi="Times New Roman" w:cs="Times New Roman"/>
        </w:rPr>
        <w:t xml:space="preserve"> be found predominately at the associates degree level. </w:t>
      </w:r>
      <w:r w:rsidR="0067662D">
        <w:rPr>
          <w:rFonts w:ascii="Times New Roman" w:hAnsi="Times New Roman" w:cs="Times New Roman"/>
        </w:rPr>
        <w:t xml:space="preserve">Continuing with this example, these distributions </w:t>
      </w:r>
      <w:r w:rsidR="00FD2C8B">
        <w:rPr>
          <w:rFonts w:ascii="Times New Roman" w:hAnsi="Times New Roman" w:cs="Times New Roman"/>
        </w:rPr>
        <w:t>were</w:t>
      </w:r>
      <w:r w:rsidR="00247F4E">
        <w:rPr>
          <w:rFonts w:ascii="Times New Roman" w:hAnsi="Times New Roman" w:cs="Times New Roman"/>
        </w:rPr>
        <w:t xml:space="preserve"> reflective of the intention of these programs</w:t>
      </w:r>
      <w:r w:rsidR="0067662D">
        <w:rPr>
          <w:rFonts w:ascii="Times New Roman" w:hAnsi="Times New Roman" w:cs="Times New Roman"/>
        </w:rPr>
        <w:t>. S</w:t>
      </w:r>
      <w:r w:rsidR="00247F4E">
        <w:rPr>
          <w:rFonts w:ascii="Times New Roman" w:hAnsi="Times New Roman" w:cs="Times New Roman"/>
        </w:rPr>
        <w:t>horter term trades</w:t>
      </w:r>
      <w:r w:rsidR="00E8705C">
        <w:rPr>
          <w:rFonts w:ascii="Times New Roman" w:hAnsi="Times New Roman" w:cs="Times New Roman"/>
        </w:rPr>
        <w:t>-focused</w:t>
      </w:r>
      <w:r w:rsidR="00247F4E">
        <w:rPr>
          <w:rFonts w:ascii="Times New Roman" w:hAnsi="Times New Roman" w:cs="Times New Roman"/>
        </w:rPr>
        <w:t xml:space="preserve"> </w:t>
      </w:r>
      <w:r w:rsidR="0067662D">
        <w:rPr>
          <w:rFonts w:ascii="Times New Roman" w:hAnsi="Times New Roman" w:cs="Times New Roman"/>
        </w:rPr>
        <w:t>credentials</w:t>
      </w:r>
      <w:r w:rsidR="00247F4E">
        <w:rPr>
          <w:rFonts w:ascii="Times New Roman" w:hAnsi="Times New Roman" w:cs="Times New Roman"/>
        </w:rPr>
        <w:t xml:space="preserve"> </w:t>
      </w:r>
      <w:r w:rsidR="00FD2C8B">
        <w:rPr>
          <w:rFonts w:ascii="Times New Roman" w:hAnsi="Times New Roman" w:cs="Times New Roman"/>
        </w:rPr>
        <w:t>were</w:t>
      </w:r>
      <w:r w:rsidR="00E8705C">
        <w:rPr>
          <w:rFonts w:ascii="Times New Roman" w:hAnsi="Times New Roman" w:cs="Times New Roman"/>
        </w:rPr>
        <w:t xml:space="preserve"> reflective of preparing students for immediate careers following program completion while two-year liberal arts programs often align with the transfer missions of community colleges. </w:t>
      </w:r>
    </w:p>
    <w:p w14:paraId="46D77ED5" w14:textId="0CAD6573" w:rsidR="00F87836" w:rsidRDefault="00F87836" w:rsidP="008524FA">
      <w:pPr>
        <w:pStyle w:val="Heading2"/>
        <w:spacing w:before="0" w:after="0"/>
      </w:pPr>
      <w:bookmarkStart w:id="171" w:name="_Toc183282292"/>
      <w:r>
        <w:t>Conclusions on the Effect of Promise Programs</w:t>
      </w:r>
      <w:bookmarkEnd w:id="171"/>
    </w:p>
    <w:p w14:paraId="3998AA1D" w14:textId="0250085E" w:rsidR="0097328C" w:rsidRDefault="0097328C"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In line with past literature</w:t>
      </w:r>
      <w:r w:rsidR="003C6011">
        <w:rPr>
          <w:rFonts w:ascii="Times New Roman" w:hAnsi="Times New Roman" w:cs="Times New Roman"/>
        </w:rPr>
        <w:t xml:space="preserve"> on both financial aid broadly and promise programs specifically</w:t>
      </w:r>
      <w:r>
        <w:rPr>
          <w:rFonts w:ascii="Times New Roman" w:hAnsi="Times New Roman" w:cs="Times New Roman"/>
        </w:rPr>
        <w:t xml:space="preserve">, I </w:t>
      </w:r>
      <w:r w:rsidR="00B4501C">
        <w:rPr>
          <w:rFonts w:ascii="Times New Roman" w:hAnsi="Times New Roman" w:cs="Times New Roman"/>
        </w:rPr>
        <w:t>found</w:t>
      </w:r>
      <w:r>
        <w:rPr>
          <w:rFonts w:ascii="Times New Roman" w:hAnsi="Times New Roman" w:cs="Times New Roman"/>
        </w:rPr>
        <w:t xml:space="preserve"> that making college more affordable for students increases student outcomes. </w:t>
      </w:r>
      <w:r w:rsidR="00496DDF">
        <w:rPr>
          <w:rFonts w:ascii="Times New Roman" w:hAnsi="Times New Roman" w:cs="Times New Roman"/>
        </w:rPr>
        <w:t xml:space="preserve">This is significant for both students individually and society writ large. </w:t>
      </w:r>
      <w:r w:rsidR="00F50003">
        <w:rPr>
          <w:rFonts w:ascii="Times New Roman" w:hAnsi="Times New Roman" w:cs="Times New Roman"/>
        </w:rPr>
        <w:t xml:space="preserve">Even though the return on investment has become increasingly questioned, evidence </w:t>
      </w:r>
      <w:r w:rsidR="007113A5">
        <w:rPr>
          <w:rFonts w:ascii="Times New Roman" w:hAnsi="Times New Roman" w:cs="Times New Roman"/>
        </w:rPr>
        <w:t xml:space="preserve">persists that the individual life-time earnings of having a postsecondary award is </w:t>
      </w:r>
      <w:r w:rsidR="0079341E">
        <w:rPr>
          <w:rFonts w:ascii="Times New Roman" w:hAnsi="Times New Roman" w:cs="Times New Roman"/>
        </w:rPr>
        <w:t>significant</w:t>
      </w:r>
      <w:r w:rsidR="00543160">
        <w:rPr>
          <w:rFonts w:ascii="Times New Roman" w:hAnsi="Times New Roman" w:cs="Times New Roman"/>
        </w:rPr>
        <w:t xml:space="preserve"> </w:t>
      </w:r>
      <w:sdt>
        <w:sdtPr>
          <w:rPr>
            <w:rFonts w:ascii="Times New Roman" w:hAnsi="Times New Roman" w:cs="Times New Roman"/>
          </w:rPr>
          <w:id w:val="109406299"/>
          <w:citation/>
        </w:sdtPr>
        <w:sdtContent>
          <w:r w:rsidR="001C2772">
            <w:rPr>
              <w:rFonts w:ascii="Times New Roman" w:hAnsi="Times New Roman" w:cs="Times New Roman"/>
            </w:rPr>
            <w:fldChar w:fldCharType="begin"/>
          </w:r>
          <w:r w:rsidR="001C2772">
            <w:rPr>
              <w:rFonts w:ascii="Times New Roman" w:hAnsi="Times New Roman" w:cs="Times New Roman"/>
            </w:rPr>
            <w:instrText xml:space="preserve">CITATION Car231 \l 1033 </w:instrText>
          </w:r>
          <w:r w:rsidR="001C2772">
            <w:rPr>
              <w:rFonts w:ascii="Times New Roman" w:hAnsi="Times New Roman" w:cs="Times New Roman"/>
            </w:rPr>
            <w:fldChar w:fldCharType="separate"/>
          </w:r>
          <w:r w:rsidR="00A10468" w:rsidRPr="00A10468">
            <w:rPr>
              <w:rFonts w:ascii="Times New Roman" w:hAnsi="Times New Roman" w:cs="Times New Roman"/>
              <w:noProof/>
            </w:rPr>
            <w:t>(Carnevale, Smith, Van Der Werf, &amp; Quinn, 2023)</w:t>
          </w:r>
          <w:r w:rsidR="001C2772">
            <w:rPr>
              <w:rFonts w:ascii="Times New Roman" w:hAnsi="Times New Roman" w:cs="Times New Roman"/>
            </w:rPr>
            <w:fldChar w:fldCharType="end"/>
          </w:r>
        </w:sdtContent>
      </w:sdt>
      <w:r w:rsidR="001C2772">
        <w:rPr>
          <w:rFonts w:ascii="Times New Roman" w:hAnsi="Times New Roman" w:cs="Times New Roman"/>
        </w:rPr>
        <w:t>.</w:t>
      </w:r>
    </w:p>
    <w:p w14:paraId="50E6BE67" w14:textId="63DC887E" w:rsidR="00B401DB" w:rsidRDefault="00BA2B45"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However, broad increases in any </w:t>
      </w:r>
      <w:r w:rsidR="00C0537E">
        <w:rPr>
          <w:rFonts w:ascii="Times New Roman" w:hAnsi="Times New Roman" w:cs="Times New Roman"/>
        </w:rPr>
        <w:t xml:space="preserve">postsecondary </w:t>
      </w:r>
      <w:r>
        <w:rPr>
          <w:rFonts w:ascii="Times New Roman" w:hAnsi="Times New Roman" w:cs="Times New Roman"/>
        </w:rPr>
        <w:t>awards are not completely desirable</w:t>
      </w:r>
      <w:r w:rsidR="00213DFE">
        <w:rPr>
          <w:rFonts w:ascii="Times New Roman" w:hAnsi="Times New Roman" w:cs="Times New Roman"/>
        </w:rPr>
        <w:t xml:space="preserve">. A recent report found that </w:t>
      </w:r>
      <w:r w:rsidR="00AE6A3B">
        <w:rPr>
          <w:rFonts w:ascii="Times New Roman" w:hAnsi="Times New Roman" w:cs="Times New Roman"/>
        </w:rPr>
        <w:t xml:space="preserve">sub-baccalaureate award production in the </w:t>
      </w:r>
      <w:r w:rsidR="00713267">
        <w:rPr>
          <w:rFonts w:ascii="Times New Roman" w:hAnsi="Times New Roman" w:cs="Times New Roman"/>
        </w:rPr>
        <w:t>United States</w:t>
      </w:r>
      <w:r w:rsidR="00AE6A3B">
        <w:rPr>
          <w:rFonts w:ascii="Times New Roman" w:hAnsi="Times New Roman" w:cs="Times New Roman"/>
        </w:rPr>
        <w:t xml:space="preserve"> is disjointed from the actual demands of local labor markets. </w:t>
      </w:r>
      <w:r w:rsidR="00035011">
        <w:rPr>
          <w:rFonts w:ascii="Times New Roman" w:hAnsi="Times New Roman" w:cs="Times New Roman"/>
        </w:rPr>
        <w:t>Strohl et al.</w:t>
      </w:r>
      <w:r w:rsidR="00AE6A3B">
        <w:rPr>
          <w:rFonts w:ascii="Times New Roman" w:hAnsi="Times New Roman" w:cs="Times New Roman"/>
        </w:rPr>
        <w:t xml:space="preserve"> </w:t>
      </w:r>
      <w:sdt>
        <w:sdtPr>
          <w:rPr>
            <w:rFonts w:ascii="Times New Roman" w:hAnsi="Times New Roman" w:cs="Times New Roman"/>
          </w:rPr>
          <w:id w:val="-2090987851"/>
          <w:citation/>
        </w:sdtPr>
        <w:sdtContent>
          <w:r w:rsidR="001C2772">
            <w:rPr>
              <w:rFonts w:ascii="Times New Roman" w:hAnsi="Times New Roman" w:cs="Times New Roman"/>
            </w:rPr>
            <w:fldChar w:fldCharType="begin"/>
          </w:r>
          <w:r w:rsidR="001C2772">
            <w:rPr>
              <w:rFonts w:ascii="Times New Roman" w:hAnsi="Times New Roman" w:cs="Times New Roman"/>
            </w:rPr>
            <w:instrText xml:space="preserve">CITATION Str24 \n  \t  \l 1033 </w:instrText>
          </w:r>
          <w:r w:rsidR="001C2772">
            <w:rPr>
              <w:rFonts w:ascii="Times New Roman" w:hAnsi="Times New Roman" w:cs="Times New Roman"/>
            </w:rPr>
            <w:fldChar w:fldCharType="separate"/>
          </w:r>
          <w:r w:rsidR="00A10468" w:rsidRPr="00A10468">
            <w:rPr>
              <w:rFonts w:ascii="Times New Roman" w:hAnsi="Times New Roman" w:cs="Times New Roman"/>
              <w:noProof/>
            </w:rPr>
            <w:t>(2024)</w:t>
          </w:r>
          <w:r w:rsidR="001C2772">
            <w:rPr>
              <w:rFonts w:ascii="Times New Roman" w:hAnsi="Times New Roman" w:cs="Times New Roman"/>
            </w:rPr>
            <w:fldChar w:fldCharType="end"/>
          </w:r>
        </w:sdtContent>
      </w:sdt>
      <w:r w:rsidR="001C2772">
        <w:rPr>
          <w:rFonts w:ascii="Times New Roman" w:hAnsi="Times New Roman" w:cs="Times New Roman"/>
        </w:rPr>
        <w:t xml:space="preserve"> </w:t>
      </w:r>
      <w:r w:rsidR="00AE6A3B">
        <w:rPr>
          <w:rFonts w:ascii="Times New Roman" w:hAnsi="Times New Roman" w:cs="Times New Roman"/>
        </w:rPr>
        <w:lastRenderedPageBreak/>
        <w:t>found that</w:t>
      </w:r>
      <w:r w:rsidR="00853175">
        <w:rPr>
          <w:rFonts w:ascii="Times New Roman" w:hAnsi="Times New Roman" w:cs="Times New Roman"/>
        </w:rPr>
        <w:t xml:space="preserve"> recent</w:t>
      </w:r>
      <w:r w:rsidR="00AE6A3B">
        <w:rPr>
          <w:rFonts w:ascii="Times New Roman" w:hAnsi="Times New Roman" w:cs="Times New Roman"/>
        </w:rPr>
        <w:t xml:space="preserve"> </w:t>
      </w:r>
      <w:r w:rsidR="00853175">
        <w:rPr>
          <w:rFonts w:ascii="Times New Roman" w:hAnsi="Times New Roman" w:cs="Times New Roman"/>
        </w:rPr>
        <w:t xml:space="preserve">community and technical college graduates were not graduating from programs that were in demand in their local labor markets. In fact, </w:t>
      </w:r>
      <w:r w:rsidR="00035011">
        <w:rPr>
          <w:rFonts w:ascii="Times New Roman" w:hAnsi="Times New Roman" w:cs="Times New Roman"/>
        </w:rPr>
        <w:t xml:space="preserve">Strohl </w:t>
      </w:r>
      <w:sdt>
        <w:sdtPr>
          <w:rPr>
            <w:rFonts w:ascii="Times New Roman" w:hAnsi="Times New Roman" w:cs="Times New Roman"/>
          </w:rPr>
          <w:id w:val="-1322343522"/>
          <w:citation/>
        </w:sdtPr>
        <w:sdtContent>
          <w:r w:rsidR="001C2772">
            <w:rPr>
              <w:rFonts w:ascii="Times New Roman" w:hAnsi="Times New Roman" w:cs="Times New Roman"/>
            </w:rPr>
            <w:fldChar w:fldCharType="begin"/>
          </w:r>
          <w:r w:rsidR="001C2772">
            <w:rPr>
              <w:rFonts w:ascii="Times New Roman" w:hAnsi="Times New Roman" w:cs="Times New Roman"/>
            </w:rPr>
            <w:instrText xml:space="preserve">CITATION Str24 \n  \t  \l 1033 </w:instrText>
          </w:r>
          <w:r w:rsidR="001C2772">
            <w:rPr>
              <w:rFonts w:ascii="Times New Roman" w:hAnsi="Times New Roman" w:cs="Times New Roman"/>
            </w:rPr>
            <w:fldChar w:fldCharType="separate"/>
          </w:r>
          <w:r w:rsidR="00A10468" w:rsidRPr="00A10468">
            <w:rPr>
              <w:rFonts w:ascii="Times New Roman" w:hAnsi="Times New Roman" w:cs="Times New Roman"/>
              <w:noProof/>
            </w:rPr>
            <w:t>(2024)</w:t>
          </w:r>
          <w:r w:rsidR="001C2772">
            <w:rPr>
              <w:rFonts w:ascii="Times New Roman" w:hAnsi="Times New Roman" w:cs="Times New Roman"/>
            </w:rPr>
            <w:fldChar w:fldCharType="end"/>
          </w:r>
        </w:sdtContent>
      </w:sdt>
      <w:r w:rsidR="001C2772">
        <w:rPr>
          <w:rFonts w:ascii="Times New Roman" w:hAnsi="Times New Roman" w:cs="Times New Roman"/>
        </w:rPr>
        <w:t xml:space="preserve"> </w:t>
      </w:r>
      <w:r w:rsidR="00853175">
        <w:rPr>
          <w:rFonts w:ascii="Times New Roman" w:hAnsi="Times New Roman" w:cs="Times New Roman"/>
        </w:rPr>
        <w:t xml:space="preserve">found that to meet this demand that one half of students would need to change their academic program of focus for community and technical colleges </w:t>
      </w:r>
      <w:r w:rsidR="00653F03">
        <w:rPr>
          <w:rFonts w:ascii="Times New Roman" w:hAnsi="Times New Roman" w:cs="Times New Roman"/>
        </w:rPr>
        <w:t>to align with</w:t>
      </w:r>
      <w:r w:rsidR="006125A5">
        <w:rPr>
          <w:rFonts w:ascii="Times New Roman" w:hAnsi="Times New Roman" w:cs="Times New Roman"/>
        </w:rPr>
        <w:t xml:space="preserve"> local</w:t>
      </w:r>
      <w:r w:rsidR="00653F03">
        <w:rPr>
          <w:rFonts w:ascii="Times New Roman" w:hAnsi="Times New Roman" w:cs="Times New Roman"/>
        </w:rPr>
        <w:t xml:space="preserve"> workforce needs. </w:t>
      </w:r>
      <w:r w:rsidR="00B401DB">
        <w:rPr>
          <w:rFonts w:ascii="Times New Roman" w:hAnsi="Times New Roman" w:cs="Times New Roman"/>
        </w:rPr>
        <w:t xml:space="preserve"> </w:t>
      </w:r>
    </w:p>
    <w:p w14:paraId="1085DD58" w14:textId="420F7686" w:rsidR="0016000A" w:rsidRDefault="00653F03"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As an increasing number of states specifically adopt promise programs to help meet workforce needs, this </w:t>
      </w:r>
      <w:r w:rsidR="00DD644D">
        <w:rPr>
          <w:rFonts w:ascii="Times New Roman" w:hAnsi="Times New Roman" w:cs="Times New Roman"/>
        </w:rPr>
        <w:t>was</w:t>
      </w:r>
      <w:r>
        <w:rPr>
          <w:rFonts w:ascii="Times New Roman" w:hAnsi="Times New Roman" w:cs="Times New Roman"/>
        </w:rPr>
        <w:t xml:space="preserve"> an important consideration to flag. Free college programs can help to </w:t>
      </w:r>
      <w:r w:rsidR="00F76ED4">
        <w:rPr>
          <w:rFonts w:ascii="Times New Roman" w:hAnsi="Times New Roman" w:cs="Times New Roman"/>
        </w:rPr>
        <w:t xml:space="preserve">facilitate graduation but are not the only strategy that should be considered critical for meeting workforce needs. Instead, I recommend that free college programs be considered as a catalyst that </w:t>
      </w:r>
      <w:r w:rsidR="007D6B35">
        <w:rPr>
          <w:rFonts w:ascii="Times New Roman" w:hAnsi="Times New Roman" w:cs="Times New Roman"/>
        </w:rPr>
        <w:t xml:space="preserve">drives and supports students in completing programs and suggest that policy makers and institutional leaders consider </w:t>
      </w:r>
      <w:r w:rsidR="00477628">
        <w:rPr>
          <w:rFonts w:ascii="Times New Roman" w:hAnsi="Times New Roman" w:cs="Times New Roman"/>
        </w:rPr>
        <w:t>the areas of student recruitment, academic advising, and career services as pivotal in ensuring that students graduate into labor markets that value their postsecondary award</w:t>
      </w:r>
      <w:r w:rsidR="001731F3">
        <w:rPr>
          <w:rFonts w:ascii="Times New Roman" w:hAnsi="Times New Roman" w:cs="Times New Roman"/>
        </w:rPr>
        <w:t xml:space="preserve"> </w:t>
      </w:r>
      <w:sdt>
        <w:sdtPr>
          <w:rPr>
            <w:rFonts w:ascii="Times New Roman" w:hAnsi="Times New Roman" w:cs="Times New Roman"/>
          </w:rPr>
          <w:id w:val="-1214197030"/>
          <w:citation/>
        </w:sdtPr>
        <w:sdtContent>
          <w:r w:rsidR="001C2772">
            <w:rPr>
              <w:rFonts w:ascii="Times New Roman" w:hAnsi="Times New Roman" w:cs="Times New Roman"/>
            </w:rPr>
            <w:fldChar w:fldCharType="begin"/>
          </w:r>
          <w:r w:rsidR="001C2772">
            <w:rPr>
              <w:rFonts w:ascii="Times New Roman" w:hAnsi="Times New Roman" w:cs="Times New Roman"/>
            </w:rPr>
            <w:instrText xml:space="preserve"> CITATION Lyn18 \l 1033 </w:instrText>
          </w:r>
          <w:r w:rsidR="001C2772">
            <w:rPr>
              <w:rFonts w:ascii="Times New Roman" w:hAnsi="Times New Roman" w:cs="Times New Roman"/>
            </w:rPr>
            <w:fldChar w:fldCharType="separate"/>
          </w:r>
          <w:r w:rsidR="00A10468" w:rsidRPr="00A10468">
            <w:rPr>
              <w:rFonts w:ascii="Times New Roman" w:hAnsi="Times New Roman" w:cs="Times New Roman"/>
              <w:noProof/>
            </w:rPr>
            <w:t>(Lynch &amp; Lungrin, 2018)</w:t>
          </w:r>
          <w:r w:rsidR="001C2772">
            <w:rPr>
              <w:rFonts w:ascii="Times New Roman" w:hAnsi="Times New Roman" w:cs="Times New Roman"/>
            </w:rPr>
            <w:fldChar w:fldCharType="end"/>
          </w:r>
        </w:sdtContent>
      </w:sdt>
      <w:r w:rsidR="001C2772">
        <w:rPr>
          <w:rFonts w:ascii="Times New Roman" w:hAnsi="Times New Roman" w:cs="Times New Roman"/>
        </w:rPr>
        <w:t>.</w:t>
      </w:r>
      <w:r w:rsidR="00477628">
        <w:rPr>
          <w:rFonts w:ascii="Times New Roman" w:hAnsi="Times New Roman" w:cs="Times New Roman"/>
        </w:rPr>
        <w:t xml:space="preserve"> </w:t>
      </w:r>
      <w:r w:rsidR="007F7D23">
        <w:rPr>
          <w:rFonts w:ascii="Times New Roman" w:hAnsi="Times New Roman" w:cs="Times New Roman"/>
        </w:rPr>
        <w:t>In some ways this reflects the overall trajectory of contemporary postsecondary education in the United States. As institutions and policy makers have shifted from enrollment being of chief concern to also consider student success, it would be a natural evolution to consider the post-graduation outcome</w:t>
      </w:r>
      <w:r w:rsidR="006125A5">
        <w:rPr>
          <w:rFonts w:ascii="Times New Roman" w:hAnsi="Times New Roman" w:cs="Times New Roman"/>
        </w:rPr>
        <w:t>s</w:t>
      </w:r>
      <w:r w:rsidR="007F7D23">
        <w:rPr>
          <w:rFonts w:ascii="Times New Roman" w:hAnsi="Times New Roman" w:cs="Times New Roman"/>
        </w:rPr>
        <w:t xml:space="preserve"> of</w:t>
      </w:r>
      <w:r w:rsidR="006125A5">
        <w:rPr>
          <w:rFonts w:ascii="Times New Roman" w:hAnsi="Times New Roman" w:cs="Times New Roman"/>
        </w:rPr>
        <w:t xml:space="preserve"> earnings and</w:t>
      </w:r>
      <w:r w:rsidR="007F7D23">
        <w:rPr>
          <w:rFonts w:ascii="Times New Roman" w:hAnsi="Times New Roman" w:cs="Times New Roman"/>
        </w:rPr>
        <w:t xml:space="preserve"> job outlook as an emerging frontier in postsecondary accountability. In fact, examples of </w:t>
      </w:r>
      <w:r w:rsidR="000B0A96">
        <w:rPr>
          <w:rFonts w:ascii="Times New Roman" w:hAnsi="Times New Roman" w:cs="Times New Roman"/>
        </w:rPr>
        <w:t xml:space="preserve">this </w:t>
      </w:r>
      <w:r w:rsidR="007F7D23">
        <w:rPr>
          <w:rFonts w:ascii="Times New Roman" w:hAnsi="Times New Roman" w:cs="Times New Roman"/>
        </w:rPr>
        <w:t>transition exist at both the state and federal levels. A number of states</w:t>
      </w:r>
      <w:r w:rsidR="00607862">
        <w:rPr>
          <w:rFonts w:ascii="Times New Roman" w:hAnsi="Times New Roman" w:cs="Times New Roman"/>
        </w:rPr>
        <w:t xml:space="preserve"> have or are moving toward</w:t>
      </w:r>
      <w:r w:rsidR="007F7D23">
        <w:rPr>
          <w:rFonts w:ascii="Times New Roman" w:hAnsi="Times New Roman" w:cs="Times New Roman"/>
        </w:rPr>
        <w:t xml:space="preserve"> adopting frameworks that a</w:t>
      </w:r>
      <w:r w:rsidR="006125A5">
        <w:rPr>
          <w:rFonts w:ascii="Times New Roman" w:hAnsi="Times New Roman" w:cs="Times New Roman"/>
        </w:rPr>
        <w:t>ss</w:t>
      </w:r>
      <w:r w:rsidR="007F7D23">
        <w:rPr>
          <w:rFonts w:ascii="Times New Roman" w:hAnsi="Times New Roman" w:cs="Times New Roman"/>
        </w:rPr>
        <w:t>ess sub-baccalaureate granting institutions not only on traditional measures of student success such as retention and graduation but also post-graduation outcomes such as job demand and earning</w:t>
      </w:r>
      <w:r w:rsidR="009E097B">
        <w:rPr>
          <w:rFonts w:ascii="Times New Roman" w:hAnsi="Times New Roman" w:cs="Times New Roman"/>
        </w:rPr>
        <w:t>s</w:t>
      </w:r>
      <w:r w:rsidR="007F7D23">
        <w:rPr>
          <w:rFonts w:ascii="Times New Roman" w:hAnsi="Times New Roman" w:cs="Times New Roman"/>
        </w:rPr>
        <w:t xml:space="preserve"> </w:t>
      </w:r>
      <w:sdt>
        <w:sdtPr>
          <w:rPr>
            <w:rFonts w:ascii="Times New Roman" w:hAnsi="Times New Roman" w:cs="Times New Roman"/>
          </w:rPr>
          <w:id w:val="-260216789"/>
          <w:citation/>
        </w:sdtPr>
        <w:sdtContent>
          <w:r w:rsidR="009E097B">
            <w:rPr>
              <w:rFonts w:ascii="Times New Roman" w:hAnsi="Times New Roman" w:cs="Times New Roman"/>
            </w:rPr>
            <w:fldChar w:fldCharType="begin"/>
          </w:r>
          <w:r w:rsidR="009E097B">
            <w:rPr>
              <w:rFonts w:ascii="Times New Roman" w:hAnsi="Times New Roman" w:cs="Times New Roman"/>
            </w:rPr>
            <w:instrText xml:space="preserve"> CITATION Nat237 \l 1033 </w:instrText>
          </w:r>
          <w:r w:rsidR="009E097B">
            <w:rPr>
              <w:rFonts w:ascii="Times New Roman" w:hAnsi="Times New Roman" w:cs="Times New Roman"/>
            </w:rPr>
            <w:fldChar w:fldCharType="separate"/>
          </w:r>
          <w:r w:rsidR="00A10468" w:rsidRPr="00A10468">
            <w:rPr>
              <w:rFonts w:ascii="Times New Roman" w:hAnsi="Times New Roman" w:cs="Times New Roman"/>
              <w:noProof/>
            </w:rPr>
            <w:t xml:space="preserve">(National Conference on State </w:t>
          </w:r>
          <w:r w:rsidR="00A10468" w:rsidRPr="00A10468">
            <w:rPr>
              <w:rFonts w:ascii="Times New Roman" w:hAnsi="Times New Roman" w:cs="Times New Roman"/>
              <w:noProof/>
            </w:rPr>
            <w:lastRenderedPageBreak/>
            <w:t>Legislatures, 2023)</w:t>
          </w:r>
          <w:r w:rsidR="009E097B">
            <w:rPr>
              <w:rFonts w:ascii="Times New Roman" w:hAnsi="Times New Roman" w:cs="Times New Roman"/>
            </w:rPr>
            <w:fldChar w:fldCharType="end"/>
          </w:r>
        </w:sdtContent>
      </w:sdt>
      <w:r w:rsidR="000357FC">
        <w:rPr>
          <w:rFonts w:ascii="Times New Roman" w:hAnsi="Times New Roman" w:cs="Times New Roman"/>
        </w:rPr>
        <w:t xml:space="preserve">. </w:t>
      </w:r>
      <w:r w:rsidR="002D1CF8">
        <w:rPr>
          <w:rFonts w:ascii="Times New Roman" w:hAnsi="Times New Roman" w:cs="Times New Roman"/>
        </w:rPr>
        <w:t xml:space="preserve">Regarding the federal government, the adoption of the College Scorecard, allows for transparency in debt and earnings outcomes </w:t>
      </w:r>
      <w:r w:rsidR="00734C39">
        <w:rPr>
          <w:rFonts w:ascii="Times New Roman" w:hAnsi="Times New Roman" w:cs="Times New Roman"/>
        </w:rPr>
        <w:t xml:space="preserve">for institutions and their programs </w:t>
      </w:r>
      <w:sdt>
        <w:sdtPr>
          <w:rPr>
            <w:rFonts w:ascii="Times New Roman" w:hAnsi="Times New Roman" w:cs="Times New Roman"/>
          </w:rPr>
          <w:id w:val="1040790331"/>
          <w:citation/>
        </w:sdtPr>
        <w:sdtContent>
          <w:r w:rsidR="009E097B">
            <w:rPr>
              <w:rFonts w:ascii="Times New Roman" w:hAnsi="Times New Roman" w:cs="Times New Roman"/>
            </w:rPr>
            <w:fldChar w:fldCharType="begin"/>
          </w:r>
          <w:r w:rsidR="009E097B">
            <w:rPr>
              <w:rFonts w:ascii="Times New Roman" w:hAnsi="Times New Roman" w:cs="Times New Roman"/>
            </w:rPr>
            <w:instrText xml:space="preserve"> CITATION Mab20 \l 1033 </w:instrText>
          </w:r>
          <w:r w:rsidR="009E097B">
            <w:rPr>
              <w:rFonts w:ascii="Times New Roman" w:hAnsi="Times New Roman" w:cs="Times New Roman"/>
            </w:rPr>
            <w:fldChar w:fldCharType="separate"/>
          </w:r>
          <w:r w:rsidR="00A10468" w:rsidRPr="00A10468">
            <w:rPr>
              <w:rFonts w:ascii="Times New Roman" w:hAnsi="Times New Roman" w:cs="Times New Roman"/>
              <w:noProof/>
            </w:rPr>
            <w:t>(Mabel, Libassi, &amp; Hurwitz, 2020)</w:t>
          </w:r>
          <w:r w:rsidR="009E097B">
            <w:rPr>
              <w:rFonts w:ascii="Times New Roman" w:hAnsi="Times New Roman" w:cs="Times New Roman"/>
            </w:rPr>
            <w:fldChar w:fldCharType="end"/>
          </w:r>
        </w:sdtContent>
      </w:sdt>
      <w:r w:rsidR="009E097B">
        <w:rPr>
          <w:rFonts w:ascii="Times New Roman" w:hAnsi="Times New Roman" w:cs="Times New Roman"/>
        </w:rPr>
        <w:t>.</w:t>
      </w:r>
      <w:r w:rsidR="00734C39">
        <w:rPr>
          <w:rFonts w:ascii="Times New Roman" w:hAnsi="Times New Roman" w:cs="Times New Roman"/>
        </w:rPr>
        <w:t xml:space="preserve"> </w:t>
      </w:r>
      <w:r w:rsidR="00607862">
        <w:rPr>
          <w:rFonts w:ascii="Times New Roman" w:hAnsi="Times New Roman" w:cs="Times New Roman"/>
        </w:rPr>
        <w:t>With this in mind, a</w:t>
      </w:r>
      <w:r w:rsidR="00276EC2">
        <w:rPr>
          <w:rFonts w:ascii="Times New Roman" w:hAnsi="Times New Roman" w:cs="Times New Roman"/>
        </w:rPr>
        <w:t xml:space="preserve"> future study worth recommending is one that takes advantage of these frameworks </w:t>
      </w:r>
      <w:r w:rsidR="00CF7877">
        <w:rPr>
          <w:rFonts w:ascii="Times New Roman" w:hAnsi="Times New Roman" w:cs="Times New Roman"/>
        </w:rPr>
        <w:t xml:space="preserve">and available state occupational/earnings data to examine labor market outcomes for graduates. </w:t>
      </w:r>
    </w:p>
    <w:p w14:paraId="1FB35B67" w14:textId="61EF38C6" w:rsidR="001579D1" w:rsidRDefault="001579D1"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Thus, I recommend </w:t>
      </w:r>
      <w:r w:rsidR="00120431">
        <w:rPr>
          <w:rFonts w:ascii="Times New Roman" w:hAnsi="Times New Roman" w:cs="Times New Roman"/>
        </w:rPr>
        <w:t>that th</w:t>
      </w:r>
      <w:r w:rsidR="0085009F">
        <w:rPr>
          <w:rFonts w:ascii="Times New Roman" w:hAnsi="Times New Roman" w:cs="Times New Roman"/>
        </w:rPr>
        <w:t xml:space="preserve">e potential excitement around estimating a national-level average effect </w:t>
      </w:r>
      <w:r w:rsidR="00BD6F66">
        <w:rPr>
          <w:rFonts w:ascii="Times New Roman" w:hAnsi="Times New Roman" w:cs="Times New Roman"/>
        </w:rPr>
        <w:t xml:space="preserve">for promise programs on completion be tempered with a reminder that much must be done to </w:t>
      </w:r>
      <w:r w:rsidR="0031694C">
        <w:rPr>
          <w:rFonts w:ascii="Times New Roman" w:hAnsi="Times New Roman" w:cs="Times New Roman"/>
        </w:rPr>
        <w:t>advance student outcomes</w:t>
      </w:r>
      <w:r w:rsidR="00D4330B">
        <w:rPr>
          <w:rFonts w:ascii="Times New Roman" w:hAnsi="Times New Roman" w:cs="Times New Roman"/>
        </w:rPr>
        <w:t>.</w:t>
      </w:r>
      <w:r w:rsidR="0031694C">
        <w:rPr>
          <w:rFonts w:ascii="Times New Roman" w:hAnsi="Times New Roman" w:cs="Times New Roman"/>
        </w:rPr>
        <w:t xml:space="preserve"> Even when college is free-to-students, there are still issues such as housing insecurity, food insecurity, and other financial or life </w:t>
      </w:r>
      <w:r w:rsidR="000835C8">
        <w:rPr>
          <w:rFonts w:ascii="Times New Roman" w:hAnsi="Times New Roman" w:cs="Times New Roman"/>
        </w:rPr>
        <w:t>barriers</w:t>
      </w:r>
      <w:r w:rsidR="0031694C">
        <w:rPr>
          <w:rFonts w:ascii="Times New Roman" w:hAnsi="Times New Roman" w:cs="Times New Roman"/>
        </w:rPr>
        <w:t xml:space="preserve"> </w:t>
      </w:r>
      <w:r w:rsidR="000835C8">
        <w:rPr>
          <w:rFonts w:ascii="Times New Roman" w:hAnsi="Times New Roman" w:cs="Times New Roman"/>
        </w:rPr>
        <w:t>experienced</w:t>
      </w:r>
      <w:r w:rsidR="0031694C">
        <w:rPr>
          <w:rFonts w:ascii="Times New Roman" w:hAnsi="Times New Roman" w:cs="Times New Roman"/>
        </w:rPr>
        <w:t xml:space="preserve"> by </w:t>
      </w:r>
      <w:r w:rsidR="000835C8">
        <w:rPr>
          <w:rFonts w:ascii="Times New Roman" w:hAnsi="Times New Roman" w:cs="Times New Roman"/>
        </w:rPr>
        <w:t>postsecondary students</w:t>
      </w:r>
      <w:r w:rsidR="00885425" w:rsidRPr="00885425">
        <w:rPr>
          <w:rFonts w:ascii="Times New Roman" w:hAnsi="Times New Roman" w:cs="Times New Roman"/>
          <w:noProof/>
        </w:rPr>
        <w:t xml:space="preserve"> </w:t>
      </w:r>
      <w:r w:rsidR="00885425">
        <w:rPr>
          <w:rFonts w:ascii="Times New Roman" w:hAnsi="Times New Roman" w:cs="Times New Roman"/>
          <w:noProof/>
        </w:rPr>
        <w:t>(</w:t>
      </w:r>
      <w:r w:rsidR="00885425" w:rsidRPr="00A10468">
        <w:rPr>
          <w:rFonts w:ascii="Times New Roman" w:hAnsi="Times New Roman" w:cs="Times New Roman"/>
          <w:noProof/>
        </w:rPr>
        <w:t>Broton &amp; Goldrick-Rab, 2018; Center for Community College Student Engagement, 2020; Evans, Kearney, Perry, &amp; Sullivan, 2020; Mayer, et al., 2019; Perin, 2018</w:t>
      </w:r>
      <w:r w:rsidR="00885425">
        <w:rPr>
          <w:rFonts w:ascii="Times New Roman" w:hAnsi="Times New Roman" w:cs="Times New Roman"/>
          <w:noProof/>
        </w:rPr>
        <w:t>;</w:t>
      </w:r>
      <w:r w:rsidR="00885425" w:rsidRPr="00885425">
        <w:rPr>
          <w:rFonts w:ascii="Times New Roman" w:hAnsi="Times New Roman" w:cs="Times New Roman"/>
        </w:rPr>
        <w:t xml:space="preserve"> </w:t>
      </w:r>
      <w:r w:rsidR="00885425" w:rsidRPr="002D49EB">
        <w:rPr>
          <w:rFonts w:ascii="Times New Roman" w:hAnsi="Times New Roman" w:cs="Times New Roman"/>
        </w:rPr>
        <w:t>The Hope Center for College, Community, and Justice</w:t>
      </w:r>
      <w:r w:rsidR="00885425">
        <w:rPr>
          <w:rFonts w:ascii="Times New Roman" w:hAnsi="Times New Roman" w:cs="Times New Roman"/>
        </w:rPr>
        <w:t>, 2021</w:t>
      </w:r>
      <w:r w:rsidR="000835C8">
        <w:rPr>
          <w:rFonts w:ascii="Times New Roman" w:hAnsi="Times New Roman" w:cs="Times New Roman"/>
        </w:rPr>
        <w:t>).</w:t>
      </w:r>
      <w:r w:rsidR="00D4330B">
        <w:rPr>
          <w:rFonts w:ascii="Times New Roman" w:hAnsi="Times New Roman" w:cs="Times New Roman"/>
        </w:rPr>
        <w:t xml:space="preserve"> Especially, the students of sub-baccalaureate programs who </w:t>
      </w:r>
      <w:r w:rsidR="00B93D1C">
        <w:rPr>
          <w:rFonts w:ascii="Times New Roman" w:hAnsi="Times New Roman" w:cs="Times New Roman"/>
        </w:rPr>
        <w:t>serve the largest proportions of</w:t>
      </w:r>
      <w:r w:rsidR="001D4277">
        <w:rPr>
          <w:rFonts w:ascii="Times New Roman" w:hAnsi="Times New Roman" w:cs="Times New Roman"/>
        </w:rPr>
        <w:t xml:space="preserve"> students who are</w:t>
      </w:r>
      <w:r w:rsidR="00B93D1C">
        <w:rPr>
          <w:rFonts w:ascii="Times New Roman" w:hAnsi="Times New Roman" w:cs="Times New Roman"/>
        </w:rPr>
        <w:t xml:space="preserve"> first-generation, low-income, and from historically marginalized groups. </w:t>
      </w:r>
      <w:r w:rsidR="003A7533">
        <w:rPr>
          <w:rFonts w:ascii="Times New Roman" w:hAnsi="Times New Roman" w:cs="Times New Roman"/>
        </w:rPr>
        <w:t xml:space="preserve">It is important to understand that increased postsecondary affordability can increase </w:t>
      </w:r>
      <w:r w:rsidR="00733236">
        <w:rPr>
          <w:rFonts w:ascii="Times New Roman" w:hAnsi="Times New Roman" w:cs="Times New Roman"/>
        </w:rPr>
        <w:t>completions and by result the number of educated workers in the United States</w:t>
      </w:r>
      <w:r w:rsidR="00FD7F21">
        <w:rPr>
          <w:rFonts w:ascii="Times New Roman" w:hAnsi="Times New Roman" w:cs="Times New Roman"/>
        </w:rPr>
        <w:t>. However,</w:t>
      </w:r>
      <w:r w:rsidR="00733236">
        <w:rPr>
          <w:rFonts w:ascii="Times New Roman" w:hAnsi="Times New Roman" w:cs="Times New Roman"/>
        </w:rPr>
        <w:t xml:space="preserve"> </w:t>
      </w:r>
      <w:r w:rsidR="00FD7F21">
        <w:rPr>
          <w:rFonts w:ascii="Times New Roman" w:hAnsi="Times New Roman" w:cs="Times New Roman"/>
        </w:rPr>
        <w:t>leveraging</w:t>
      </w:r>
      <w:r w:rsidR="004F293F">
        <w:rPr>
          <w:rFonts w:ascii="Times New Roman" w:hAnsi="Times New Roman" w:cs="Times New Roman"/>
        </w:rPr>
        <w:t xml:space="preserve"> </w:t>
      </w:r>
      <w:r w:rsidR="00FD7F21">
        <w:rPr>
          <w:rFonts w:ascii="Times New Roman" w:hAnsi="Times New Roman" w:cs="Times New Roman"/>
        </w:rPr>
        <w:t>promise programs</w:t>
      </w:r>
      <w:r w:rsidR="004F293F">
        <w:rPr>
          <w:rFonts w:ascii="Times New Roman" w:hAnsi="Times New Roman" w:cs="Times New Roman"/>
        </w:rPr>
        <w:t xml:space="preserve"> a</w:t>
      </w:r>
      <w:r w:rsidR="00FD7F21">
        <w:rPr>
          <w:rFonts w:ascii="Times New Roman" w:hAnsi="Times New Roman" w:cs="Times New Roman"/>
        </w:rPr>
        <w:t>s a</w:t>
      </w:r>
      <w:r w:rsidR="004F293F">
        <w:rPr>
          <w:rFonts w:ascii="Times New Roman" w:hAnsi="Times New Roman" w:cs="Times New Roman"/>
        </w:rPr>
        <w:t xml:space="preserve"> singular solution for our workforce needs will </w:t>
      </w:r>
      <w:r w:rsidR="00FD7F21">
        <w:rPr>
          <w:rFonts w:ascii="Times New Roman" w:hAnsi="Times New Roman" w:cs="Times New Roman"/>
        </w:rPr>
        <w:t xml:space="preserve">likely </w:t>
      </w:r>
      <w:r w:rsidR="004F293F">
        <w:rPr>
          <w:rFonts w:ascii="Times New Roman" w:hAnsi="Times New Roman" w:cs="Times New Roman"/>
        </w:rPr>
        <w:t xml:space="preserve">not </w:t>
      </w:r>
      <w:r w:rsidR="00262043">
        <w:rPr>
          <w:rFonts w:ascii="Times New Roman" w:hAnsi="Times New Roman" w:cs="Times New Roman"/>
        </w:rPr>
        <w:t>fully</w:t>
      </w:r>
      <w:r w:rsidR="004F293F">
        <w:rPr>
          <w:rFonts w:ascii="Times New Roman" w:hAnsi="Times New Roman" w:cs="Times New Roman"/>
        </w:rPr>
        <w:t xml:space="preserve"> enable students and society the enjoy the benefits of a more educated workforce. </w:t>
      </w:r>
    </w:p>
    <w:p w14:paraId="7A486E8A" w14:textId="03A40690" w:rsidR="006E272D" w:rsidRPr="0047445A" w:rsidRDefault="006E272D" w:rsidP="008524FA">
      <w:pPr>
        <w:pStyle w:val="Heading2"/>
        <w:spacing w:before="0" w:after="0"/>
      </w:pPr>
      <w:bookmarkStart w:id="172" w:name="_Toc183282293"/>
      <w:r>
        <w:t>Future Implications for Research &amp; Policy</w:t>
      </w:r>
      <w:bookmarkEnd w:id="172"/>
    </w:p>
    <w:p w14:paraId="47C59294" w14:textId="73E7A8E6" w:rsidR="006E272D" w:rsidRDefault="006E272D"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D92843">
        <w:rPr>
          <w:rFonts w:ascii="Times New Roman" w:hAnsi="Times New Roman" w:cs="Times New Roman"/>
        </w:rPr>
        <w:t xml:space="preserve">As noted earlier in </w:t>
      </w:r>
      <w:r w:rsidR="00C2558F">
        <w:rPr>
          <w:rFonts w:ascii="Times New Roman" w:hAnsi="Times New Roman" w:cs="Times New Roman"/>
        </w:rPr>
        <w:t>Ch</w:t>
      </w:r>
      <w:r w:rsidR="00D92843">
        <w:rPr>
          <w:rFonts w:ascii="Times New Roman" w:hAnsi="Times New Roman" w:cs="Times New Roman"/>
        </w:rPr>
        <w:t xml:space="preserve">apter </w:t>
      </w:r>
      <w:r w:rsidR="00F769AA">
        <w:rPr>
          <w:rFonts w:ascii="Times New Roman" w:hAnsi="Times New Roman" w:cs="Times New Roman"/>
        </w:rPr>
        <w:t>3</w:t>
      </w:r>
      <w:r w:rsidR="00D92843">
        <w:rPr>
          <w:rFonts w:ascii="Times New Roman" w:hAnsi="Times New Roman" w:cs="Times New Roman"/>
        </w:rPr>
        <w:t xml:space="preserve">, there are several limitations in this study that suggest this area of research remains ripe for future exploration. Future studies would </w:t>
      </w:r>
      <w:r w:rsidR="00D92843">
        <w:rPr>
          <w:rFonts w:ascii="Times New Roman" w:hAnsi="Times New Roman" w:cs="Times New Roman"/>
        </w:rPr>
        <w:lastRenderedPageBreak/>
        <w:t xml:space="preserve">benefit from </w:t>
      </w:r>
      <w:r w:rsidR="00C8046C">
        <w:rPr>
          <w:rFonts w:ascii="Times New Roman" w:hAnsi="Times New Roman" w:cs="Times New Roman"/>
        </w:rPr>
        <w:t xml:space="preserve">further refining both my treatment variable and outcome variables in a number of ways to better examine this topic. Improvements to my treatment variable could include explorations </w:t>
      </w:r>
      <w:r w:rsidR="00747BE7">
        <w:rPr>
          <w:rFonts w:ascii="Times New Roman" w:hAnsi="Times New Roman" w:cs="Times New Roman"/>
        </w:rPr>
        <w:t>of how different program designs (e.g., first-dollar vs last-dollar program designs) influence findings</w:t>
      </w:r>
      <w:r w:rsidR="00AC0F17">
        <w:rPr>
          <w:rFonts w:ascii="Times New Roman" w:hAnsi="Times New Roman" w:cs="Times New Roman"/>
        </w:rPr>
        <w:t>.</w:t>
      </w:r>
      <w:r w:rsidR="00E56AB6">
        <w:rPr>
          <w:rFonts w:ascii="Times New Roman" w:hAnsi="Times New Roman" w:cs="Times New Roman"/>
        </w:rPr>
        <w:t xml:space="preserve"> This would by its merit also include an analysis of programs by state </w:t>
      </w:r>
      <w:r w:rsidR="00AB3891">
        <w:rPr>
          <w:rFonts w:ascii="Times New Roman" w:hAnsi="Times New Roman" w:cs="Times New Roman"/>
        </w:rPr>
        <w:t>and institutional variables that include program scope, state/institutional support of the program, and potentially student-level variables given the correct study design.</w:t>
      </w:r>
      <w:r w:rsidR="00AC0F17">
        <w:rPr>
          <w:rFonts w:ascii="Times New Roman" w:hAnsi="Times New Roman" w:cs="Times New Roman"/>
        </w:rPr>
        <w:t xml:space="preserve"> Improvements to outcome variables could examine for difference in effect between student demographic groups such as adult and traditional age student</w:t>
      </w:r>
      <w:r w:rsidR="00656CCD">
        <w:rPr>
          <w:rFonts w:ascii="Times New Roman" w:hAnsi="Times New Roman" w:cs="Times New Roman"/>
        </w:rPr>
        <w:t>s, gender, or race/ethnicity</w:t>
      </w:r>
      <w:r w:rsidR="00B03684">
        <w:rPr>
          <w:rFonts w:ascii="Times New Roman" w:hAnsi="Times New Roman" w:cs="Times New Roman"/>
        </w:rPr>
        <w:t xml:space="preserve">. </w:t>
      </w:r>
    </w:p>
    <w:p w14:paraId="71882B5A" w14:textId="1A392E19" w:rsidR="00B03684" w:rsidRDefault="00B03684"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More pressingly and of impact to the research of promise programs is </w:t>
      </w:r>
      <w:r w:rsidR="00756887">
        <w:rPr>
          <w:rFonts w:ascii="Times New Roman" w:hAnsi="Times New Roman" w:cs="Times New Roman"/>
        </w:rPr>
        <w:t xml:space="preserve">that this study establishes it is possible to leverage staggered difference-in-difference or event study designs to examine </w:t>
      </w:r>
      <w:r w:rsidR="00736098">
        <w:rPr>
          <w:rFonts w:ascii="Times New Roman" w:hAnsi="Times New Roman" w:cs="Times New Roman"/>
        </w:rPr>
        <w:t xml:space="preserve">the effect of promise programs in a staggered adoption setting. While this study is not the first to employ a staggered difference-in-difference design to examine postsecondary education policy, it </w:t>
      </w:r>
      <w:r w:rsidR="00713A2E">
        <w:rPr>
          <w:rFonts w:ascii="Times New Roman" w:hAnsi="Times New Roman" w:cs="Times New Roman"/>
        </w:rPr>
        <w:t xml:space="preserve">establishes a successful empirical strategy </w:t>
      </w:r>
      <w:r w:rsidR="00677C2E">
        <w:rPr>
          <w:rFonts w:ascii="Times New Roman" w:hAnsi="Times New Roman" w:cs="Times New Roman"/>
        </w:rPr>
        <w:t>for</w:t>
      </w:r>
      <w:r w:rsidR="00713A2E">
        <w:rPr>
          <w:rFonts w:ascii="Times New Roman" w:hAnsi="Times New Roman" w:cs="Times New Roman"/>
        </w:rPr>
        <w:t xml:space="preserve"> studying</w:t>
      </w:r>
      <w:r w:rsidR="00677C2E">
        <w:rPr>
          <w:rFonts w:ascii="Times New Roman" w:hAnsi="Times New Roman" w:cs="Times New Roman"/>
        </w:rPr>
        <w:t xml:space="preserve"> an outcome variable that in the past has proved difficult to examine due to unit-specific time trends. By including an interaction between a time trend variable and institutions, it was possible to </w:t>
      </w:r>
      <w:r w:rsidR="00DE572C">
        <w:rPr>
          <w:rFonts w:ascii="Times New Roman" w:hAnsi="Times New Roman" w:cs="Times New Roman"/>
        </w:rPr>
        <w:t xml:space="preserve">establish the necessary parallel pre-treatment trends to examine this issue. Thus, this approach could be applied to other instances of </w:t>
      </w:r>
      <w:r w:rsidR="00073428">
        <w:rPr>
          <w:rFonts w:ascii="Times New Roman" w:hAnsi="Times New Roman" w:cs="Times New Roman"/>
        </w:rPr>
        <w:t xml:space="preserve">similar research designs. These similar designs could </w:t>
      </w:r>
      <w:r w:rsidR="00A122EC">
        <w:rPr>
          <w:rFonts w:ascii="Times New Roman" w:hAnsi="Times New Roman" w:cs="Times New Roman"/>
        </w:rPr>
        <w:t>add to the literature by studying</w:t>
      </w:r>
      <w:r w:rsidR="00073428">
        <w:rPr>
          <w:rFonts w:ascii="Times New Roman" w:hAnsi="Times New Roman" w:cs="Times New Roman"/>
        </w:rPr>
        <w:t xml:space="preserve"> student enrollment</w:t>
      </w:r>
      <w:r w:rsidR="00A122EC">
        <w:rPr>
          <w:rFonts w:ascii="Times New Roman" w:hAnsi="Times New Roman" w:cs="Times New Roman"/>
        </w:rPr>
        <w:t xml:space="preserve">, </w:t>
      </w:r>
      <w:r w:rsidR="00073428">
        <w:rPr>
          <w:rFonts w:ascii="Times New Roman" w:hAnsi="Times New Roman" w:cs="Times New Roman"/>
        </w:rPr>
        <w:t>completion rates</w:t>
      </w:r>
      <w:r w:rsidR="00A122EC">
        <w:rPr>
          <w:rFonts w:ascii="Times New Roman" w:hAnsi="Times New Roman" w:cs="Times New Roman"/>
        </w:rPr>
        <w:t>, and/or for potential differences in effect within student demographic sub-groups.</w:t>
      </w:r>
    </w:p>
    <w:p w14:paraId="57A8DA8E" w14:textId="44C6BC56" w:rsidR="00203A14" w:rsidRPr="0057249D" w:rsidRDefault="00203A14" w:rsidP="008524FA">
      <w:pPr>
        <w:spacing w:line="480" w:lineRule="auto"/>
        <w:ind w:firstLine="720"/>
        <w:rPr>
          <w:rFonts w:ascii="Times New Roman" w:hAnsi="Times New Roman" w:cs="Times New Roman"/>
        </w:rPr>
      </w:pPr>
      <w:r>
        <w:rPr>
          <w:rFonts w:ascii="Times New Roman" w:hAnsi="Times New Roman" w:cs="Times New Roman"/>
        </w:rPr>
        <w:lastRenderedPageBreak/>
        <w:t xml:space="preserve">Additionally, while I designed this study’s purpose and questions to examine graduation production by award length and program focus separately, I believe that a future study that considers both of these dimensions simultaneously may be able to better tease out findings regarding changes in sub-baccalaureate completions by academic program. I believe that because my design does not simultaneously consider program length and program area of focus that these models are biased by uneven distributions awards by area of focus across program length where my current models only consider program area of focus at all sub-baccalaureate awards level. </w:t>
      </w:r>
    </w:p>
    <w:p w14:paraId="68CBF919" w14:textId="7FC87C97" w:rsidR="0047445A" w:rsidRDefault="003F3B19"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A122EC">
        <w:rPr>
          <w:rFonts w:ascii="Times New Roman" w:hAnsi="Times New Roman" w:cs="Times New Roman"/>
        </w:rPr>
        <w:t xml:space="preserve">For </w:t>
      </w:r>
      <w:r w:rsidR="00B547ED">
        <w:rPr>
          <w:rFonts w:ascii="Times New Roman" w:hAnsi="Times New Roman" w:cs="Times New Roman"/>
        </w:rPr>
        <w:t xml:space="preserve">institutional leaders and policy makers, my findings reconfirm </w:t>
      </w:r>
      <w:r w:rsidR="00C20A58">
        <w:rPr>
          <w:rFonts w:ascii="Times New Roman" w:hAnsi="Times New Roman" w:cs="Times New Roman"/>
        </w:rPr>
        <w:t xml:space="preserve">previous studies albeit on a larger national scale. This </w:t>
      </w:r>
      <w:r w:rsidR="00CA58F2">
        <w:rPr>
          <w:rFonts w:ascii="Times New Roman" w:hAnsi="Times New Roman" w:cs="Times New Roman"/>
        </w:rPr>
        <w:t xml:space="preserve">aggregate </w:t>
      </w:r>
      <w:r w:rsidR="00C20A58">
        <w:rPr>
          <w:rFonts w:ascii="Times New Roman" w:hAnsi="Times New Roman" w:cs="Times New Roman"/>
        </w:rPr>
        <w:t xml:space="preserve">estimate of the </w:t>
      </w:r>
      <w:r w:rsidR="00CA58F2">
        <w:rPr>
          <w:rFonts w:ascii="Times New Roman" w:hAnsi="Times New Roman" w:cs="Times New Roman"/>
        </w:rPr>
        <w:t>effect of promise program adoption would be of use to policy makers</w:t>
      </w:r>
      <w:r w:rsidR="00FD24D4">
        <w:rPr>
          <w:rFonts w:ascii="Times New Roman" w:hAnsi="Times New Roman" w:cs="Times New Roman"/>
        </w:rPr>
        <w:t>. N</w:t>
      </w:r>
      <w:r w:rsidR="00CA58F2">
        <w:rPr>
          <w:rFonts w:ascii="Times New Roman" w:hAnsi="Times New Roman" w:cs="Times New Roman"/>
        </w:rPr>
        <w:t>otably</w:t>
      </w:r>
      <w:r w:rsidR="00FD24D4">
        <w:rPr>
          <w:rFonts w:ascii="Times New Roman" w:hAnsi="Times New Roman" w:cs="Times New Roman"/>
        </w:rPr>
        <w:t>, it would be of potential explicit interest to</w:t>
      </w:r>
      <w:r w:rsidR="00CA58F2">
        <w:rPr>
          <w:rFonts w:ascii="Times New Roman" w:hAnsi="Times New Roman" w:cs="Times New Roman"/>
        </w:rPr>
        <w:t xml:space="preserve"> federal policy makers </w:t>
      </w:r>
      <w:r w:rsidR="00FD24D4">
        <w:rPr>
          <w:rFonts w:ascii="Times New Roman" w:hAnsi="Times New Roman" w:cs="Times New Roman"/>
        </w:rPr>
        <w:t xml:space="preserve">who </w:t>
      </w:r>
      <w:r w:rsidR="0073776E">
        <w:rPr>
          <w:rFonts w:ascii="Times New Roman" w:hAnsi="Times New Roman" w:cs="Times New Roman"/>
        </w:rPr>
        <w:t>regularly examine</w:t>
      </w:r>
      <w:r w:rsidR="000C6FB6">
        <w:rPr>
          <w:rFonts w:ascii="Times New Roman" w:hAnsi="Times New Roman" w:cs="Times New Roman"/>
        </w:rPr>
        <w:t xml:space="preserve"> and </w:t>
      </w:r>
      <w:r w:rsidR="0073776E">
        <w:rPr>
          <w:rFonts w:ascii="Times New Roman" w:hAnsi="Times New Roman" w:cs="Times New Roman"/>
        </w:rPr>
        <w:t xml:space="preserve">make </w:t>
      </w:r>
      <w:r w:rsidR="000C6FB6">
        <w:rPr>
          <w:rFonts w:ascii="Times New Roman" w:hAnsi="Times New Roman" w:cs="Times New Roman"/>
        </w:rPr>
        <w:t xml:space="preserve">campaign promises </w:t>
      </w:r>
      <w:r w:rsidR="0073776E">
        <w:rPr>
          <w:rFonts w:ascii="Times New Roman" w:hAnsi="Times New Roman" w:cs="Times New Roman"/>
        </w:rPr>
        <w:t>regarding national</w:t>
      </w:r>
      <w:r w:rsidR="000C6FB6">
        <w:rPr>
          <w:rFonts w:ascii="Times New Roman" w:hAnsi="Times New Roman" w:cs="Times New Roman"/>
        </w:rPr>
        <w:t xml:space="preserve"> free college programs </w:t>
      </w:r>
      <w:sdt>
        <w:sdtPr>
          <w:rPr>
            <w:rFonts w:ascii="Times New Roman" w:hAnsi="Times New Roman" w:cs="Times New Roman"/>
          </w:rPr>
          <w:id w:val="570238671"/>
          <w:citation/>
        </w:sdtPr>
        <w:sdtContent>
          <w:r w:rsidR="009E097B">
            <w:rPr>
              <w:rFonts w:ascii="Times New Roman" w:hAnsi="Times New Roman" w:cs="Times New Roman"/>
            </w:rPr>
            <w:fldChar w:fldCharType="begin"/>
          </w:r>
          <w:r w:rsidR="009E097B">
            <w:rPr>
              <w:rFonts w:ascii="Times New Roman" w:hAnsi="Times New Roman" w:cs="Times New Roman"/>
            </w:rPr>
            <w:instrText xml:space="preserve"> CITATION Car20 \l 1033 </w:instrText>
          </w:r>
          <w:r w:rsidR="009E097B">
            <w:rPr>
              <w:rFonts w:ascii="Times New Roman" w:hAnsi="Times New Roman" w:cs="Times New Roman"/>
            </w:rPr>
            <w:fldChar w:fldCharType="separate"/>
          </w:r>
          <w:r w:rsidR="00A10468" w:rsidRPr="00A10468">
            <w:rPr>
              <w:rFonts w:ascii="Times New Roman" w:hAnsi="Times New Roman" w:cs="Times New Roman"/>
              <w:noProof/>
            </w:rPr>
            <w:t>(Carnevale, Sablan, Gulish, Quinn, &amp; Cinquegrani, 2020)</w:t>
          </w:r>
          <w:r w:rsidR="009E097B">
            <w:rPr>
              <w:rFonts w:ascii="Times New Roman" w:hAnsi="Times New Roman" w:cs="Times New Roman"/>
            </w:rPr>
            <w:fldChar w:fldCharType="end"/>
          </w:r>
        </w:sdtContent>
      </w:sdt>
      <w:r w:rsidR="009E097B">
        <w:rPr>
          <w:rFonts w:ascii="Times New Roman" w:hAnsi="Times New Roman" w:cs="Times New Roman"/>
        </w:rPr>
        <w:t xml:space="preserve">. </w:t>
      </w:r>
      <w:r w:rsidR="00CC42C4">
        <w:rPr>
          <w:rFonts w:ascii="Times New Roman" w:hAnsi="Times New Roman" w:cs="Times New Roman"/>
        </w:rPr>
        <w:t>This research provides evidence</w:t>
      </w:r>
      <w:r w:rsidR="00F51EBC">
        <w:rPr>
          <w:rFonts w:ascii="Times New Roman" w:hAnsi="Times New Roman" w:cs="Times New Roman"/>
        </w:rPr>
        <w:t xml:space="preserve"> that</w:t>
      </w:r>
      <w:r w:rsidR="00CC42C4">
        <w:rPr>
          <w:rFonts w:ascii="Times New Roman" w:hAnsi="Times New Roman" w:cs="Times New Roman"/>
        </w:rPr>
        <w:t xml:space="preserve"> the message of free college is an effective way to increase the supply of educated workers. </w:t>
      </w:r>
      <w:r w:rsidR="00B01370">
        <w:rPr>
          <w:rFonts w:ascii="Times New Roman" w:hAnsi="Times New Roman" w:cs="Times New Roman"/>
        </w:rPr>
        <w:t xml:space="preserve">However, simultaneously completion rates even at </w:t>
      </w:r>
      <w:r w:rsidR="00713267">
        <w:rPr>
          <w:rFonts w:ascii="Times New Roman" w:hAnsi="Times New Roman" w:cs="Times New Roman"/>
        </w:rPr>
        <w:t xml:space="preserve">a </w:t>
      </w:r>
      <w:r w:rsidR="00B01370">
        <w:rPr>
          <w:rFonts w:ascii="Times New Roman" w:hAnsi="Times New Roman" w:cs="Times New Roman"/>
        </w:rPr>
        <w:t xml:space="preserve">time-and-a-half remain low in the United States at 35% of students from 2-year institutions graduating within 3-years and 65% of students graduating from their less than 2-year programs within time-and-a-half of their program’s length </w:t>
      </w:r>
      <w:sdt>
        <w:sdtPr>
          <w:rPr>
            <w:rFonts w:ascii="Times New Roman" w:hAnsi="Times New Roman" w:cs="Times New Roman"/>
          </w:rPr>
          <w:id w:val="-1753656158"/>
          <w:citation/>
        </w:sdtPr>
        <w:sdtContent>
          <w:r w:rsidR="00600C82">
            <w:rPr>
              <w:rFonts w:ascii="Times New Roman" w:hAnsi="Times New Roman" w:cs="Times New Roman"/>
            </w:rPr>
            <w:fldChar w:fldCharType="begin"/>
          </w:r>
          <w:r w:rsidR="00851068">
            <w:rPr>
              <w:rFonts w:ascii="Times New Roman" w:hAnsi="Times New Roman" w:cs="Times New Roman"/>
            </w:rPr>
            <w:instrText xml:space="preserve">CITATION Nat236 \m Nat235 \l 1033 </w:instrText>
          </w:r>
          <w:r w:rsidR="00600C82">
            <w:rPr>
              <w:rFonts w:ascii="Times New Roman" w:hAnsi="Times New Roman" w:cs="Times New Roman"/>
            </w:rPr>
            <w:fldChar w:fldCharType="separate"/>
          </w:r>
          <w:r w:rsidR="00A10468" w:rsidRPr="00A10468">
            <w:rPr>
              <w:rFonts w:ascii="Times New Roman" w:hAnsi="Times New Roman" w:cs="Times New Roman"/>
              <w:noProof/>
            </w:rPr>
            <w:t>(National Center for Education Statistics, 2024d; National Center for Education Statistics, 2024e)</w:t>
          </w:r>
          <w:r w:rsidR="00600C82">
            <w:rPr>
              <w:rFonts w:ascii="Times New Roman" w:hAnsi="Times New Roman" w:cs="Times New Roman"/>
            </w:rPr>
            <w:fldChar w:fldCharType="end"/>
          </w:r>
        </w:sdtContent>
      </w:sdt>
      <w:r w:rsidR="00B01370">
        <w:rPr>
          <w:rFonts w:ascii="Times New Roman" w:hAnsi="Times New Roman" w:cs="Times New Roman"/>
        </w:rPr>
        <w:t>.</w:t>
      </w:r>
    </w:p>
    <w:p w14:paraId="2F5B7796" w14:textId="687C23B1" w:rsidR="00F21520" w:rsidRDefault="00F21520"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This is indicative that </w:t>
      </w:r>
      <w:r w:rsidR="00B95D54">
        <w:rPr>
          <w:rFonts w:ascii="Times New Roman" w:hAnsi="Times New Roman" w:cs="Times New Roman"/>
        </w:rPr>
        <w:t xml:space="preserve">while </w:t>
      </w:r>
      <w:r>
        <w:rPr>
          <w:rFonts w:ascii="Times New Roman" w:hAnsi="Times New Roman" w:cs="Times New Roman"/>
        </w:rPr>
        <w:t xml:space="preserve">free college </w:t>
      </w:r>
      <w:r w:rsidR="00B95D54">
        <w:rPr>
          <w:rFonts w:ascii="Times New Roman" w:hAnsi="Times New Roman" w:cs="Times New Roman"/>
        </w:rPr>
        <w:t>is</w:t>
      </w:r>
      <w:r>
        <w:rPr>
          <w:rFonts w:ascii="Times New Roman" w:hAnsi="Times New Roman" w:cs="Times New Roman"/>
        </w:rPr>
        <w:t xml:space="preserve"> effective</w:t>
      </w:r>
      <w:r w:rsidR="00B95D54">
        <w:rPr>
          <w:rFonts w:ascii="Times New Roman" w:hAnsi="Times New Roman" w:cs="Times New Roman"/>
        </w:rPr>
        <w:t xml:space="preserve"> at increasing completions</w:t>
      </w:r>
      <w:r>
        <w:rPr>
          <w:rFonts w:ascii="Times New Roman" w:hAnsi="Times New Roman" w:cs="Times New Roman"/>
        </w:rPr>
        <w:t xml:space="preserve">, </w:t>
      </w:r>
      <w:r w:rsidR="0073776E">
        <w:rPr>
          <w:rFonts w:ascii="Times New Roman" w:hAnsi="Times New Roman" w:cs="Times New Roman"/>
        </w:rPr>
        <w:t xml:space="preserve">it </w:t>
      </w:r>
      <w:r>
        <w:rPr>
          <w:rFonts w:ascii="Times New Roman" w:hAnsi="Times New Roman" w:cs="Times New Roman"/>
        </w:rPr>
        <w:t xml:space="preserve">is not a panacea to </w:t>
      </w:r>
      <w:r w:rsidR="00B95D54">
        <w:rPr>
          <w:rFonts w:ascii="Times New Roman" w:hAnsi="Times New Roman" w:cs="Times New Roman"/>
        </w:rPr>
        <w:t>ensuring that</w:t>
      </w:r>
      <w:r>
        <w:rPr>
          <w:rFonts w:ascii="Times New Roman" w:hAnsi="Times New Roman" w:cs="Times New Roman"/>
        </w:rPr>
        <w:t xml:space="preserve"> our supply of educated workers </w:t>
      </w:r>
      <w:r w:rsidR="00B95D54">
        <w:rPr>
          <w:rFonts w:ascii="Times New Roman" w:hAnsi="Times New Roman" w:cs="Times New Roman"/>
        </w:rPr>
        <w:t xml:space="preserve">meets workforce needs </w:t>
      </w:r>
      <w:r>
        <w:rPr>
          <w:rFonts w:ascii="Times New Roman" w:hAnsi="Times New Roman" w:cs="Times New Roman"/>
        </w:rPr>
        <w:lastRenderedPageBreak/>
        <w:t>and improv</w:t>
      </w:r>
      <w:r w:rsidR="00B95D54">
        <w:rPr>
          <w:rFonts w:ascii="Times New Roman" w:hAnsi="Times New Roman" w:cs="Times New Roman"/>
        </w:rPr>
        <w:t>es</w:t>
      </w:r>
      <w:r>
        <w:rPr>
          <w:rFonts w:ascii="Times New Roman" w:hAnsi="Times New Roman" w:cs="Times New Roman"/>
        </w:rPr>
        <w:t xml:space="preserve"> opportunities for</w:t>
      </w:r>
      <w:r w:rsidR="00A129A2">
        <w:rPr>
          <w:rFonts w:ascii="Times New Roman" w:hAnsi="Times New Roman" w:cs="Times New Roman"/>
        </w:rPr>
        <w:t xml:space="preserve"> all</w:t>
      </w:r>
      <w:r>
        <w:rPr>
          <w:rFonts w:ascii="Times New Roman" w:hAnsi="Times New Roman" w:cs="Times New Roman"/>
        </w:rPr>
        <w:t xml:space="preserve"> individual students. Many issues such as academic preparedness, food/housing insecurity, and </w:t>
      </w:r>
      <w:r w:rsidR="00D178E5">
        <w:rPr>
          <w:rFonts w:ascii="Times New Roman" w:hAnsi="Times New Roman" w:cs="Times New Roman"/>
        </w:rPr>
        <w:t>access to advising remain important barriers to student success and eventually graduation, especially in the community and technical college sector</w:t>
      </w:r>
      <w:r w:rsidR="0021190D">
        <w:rPr>
          <w:rFonts w:ascii="Times New Roman" w:hAnsi="Times New Roman" w:cs="Times New Roman"/>
        </w:rPr>
        <w:t xml:space="preserve"> </w:t>
      </w:r>
      <w:sdt>
        <w:sdtPr>
          <w:rPr>
            <w:rFonts w:ascii="Times New Roman" w:hAnsi="Times New Roman" w:cs="Times New Roman"/>
          </w:rPr>
          <w:id w:val="953830474"/>
          <w:citation/>
        </w:sdtPr>
        <w:sdtContent>
          <w:r w:rsidR="00F401C0">
            <w:rPr>
              <w:rFonts w:ascii="Times New Roman" w:hAnsi="Times New Roman" w:cs="Times New Roman"/>
            </w:rPr>
            <w:fldChar w:fldCharType="begin"/>
          </w:r>
          <w:r w:rsidR="00F401C0">
            <w:rPr>
              <w:rFonts w:ascii="Times New Roman" w:hAnsi="Times New Roman" w:cs="Times New Roman"/>
            </w:rPr>
            <w:instrText xml:space="preserve"> CITATION Bro18 \l 1033 </w:instrText>
          </w:r>
          <w:r w:rsidR="00E758DD">
            <w:rPr>
              <w:rFonts w:ascii="Times New Roman" w:hAnsi="Times New Roman" w:cs="Times New Roman"/>
            </w:rPr>
            <w:instrText xml:space="preserve"> \m Cen20 \m Eva20</w:instrText>
          </w:r>
          <w:r w:rsidR="00964AA1">
            <w:rPr>
              <w:rFonts w:ascii="Times New Roman" w:hAnsi="Times New Roman" w:cs="Times New Roman"/>
            </w:rPr>
            <w:instrText xml:space="preserve"> \m May19 \m Per18</w:instrText>
          </w:r>
          <w:r w:rsidR="00F401C0">
            <w:rPr>
              <w:rFonts w:ascii="Times New Roman" w:hAnsi="Times New Roman" w:cs="Times New Roman"/>
            </w:rPr>
            <w:fldChar w:fldCharType="separate"/>
          </w:r>
          <w:r w:rsidR="00A10468" w:rsidRPr="00A10468">
            <w:rPr>
              <w:rFonts w:ascii="Times New Roman" w:hAnsi="Times New Roman" w:cs="Times New Roman"/>
              <w:noProof/>
            </w:rPr>
            <w:t>(Broton &amp; Goldrick-Rab, 2018; Center for Community College Student Engagement, 2020; Evans, Kearney, Perry, &amp; Sullivan, 2020; Mayer, et al., 2019; Perin, 2018)</w:t>
          </w:r>
          <w:r w:rsidR="00F401C0">
            <w:rPr>
              <w:rFonts w:ascii="Times New Roman" w:hAnsi="Times New Roman" w:cs="Times New Roman"/>
            </w:rPr>
            <w:fldChar w:fldCharType="end"/>
          </w:r>
        </w:sdtContent>
      </w:sdt>
      <w:r w:rsidR="00964AA1">
        <w:rPr>
          <w:rFonts w:ascii="Times New Roman" w:hAnsi="Times New Roman" w:cs="Times New Roman"/>
        </w:rPr>
        <w:t>.</w:t>
      </w:r>
      <w:r w:rsidR="00D178E5">
        <w:rPr>
          <w:rFonts w:ascii="Times New Roman" w:hAnsi="Times New Roman" w:cs="Times New Roman"/>
        </w:rPr>
        <w:t xml:space="preserve"> </w:t>
      </w:r>
      <w:r w:rsidR="00A129A2">
        <w:rPr>
          <w:rFonts w:ascii="Times New Roman" w:hAnsi="Times New Roman" w:cs="Times New Roman"/>
        </w:rPr>
        <w:t xml:space="preserve">In sum, </w:t>
      </w:r>
      <w:r w:rsidR="00017206">
        <w:rPr>
          <w:rFonts w:ascii="Times New Roman" w:hAnsi="Times New Roman" w:cs="Times New Roman"/>
        </w:rPr>
        <w:t xml:space="preserve">my national staggered difference-in-difference analysis of sub-baccalaureate completions found that </w:t>
      </w:r>
      <w:r w:rsidR="00A129A2">
        <w:rPr>
          <w:rFonts w:ascii="Times New Roman" w:hAnsi="Times New Roman" w:cs="Times New Roman"/>
        </w:rPr>
        <w:t xml:space="preserve">promise programs keep their promise </w:t>
      </w:r>
      <w:r w:rsidR="00205CE6">
        <w:rPr>
          <w:rFonts w:ascii="Times New Roman" w:hAnsi="Times New Roman" w:cs="Times New Roman"/>
        </w:rPr>
        <w:t xml:space="preserve">of producing educated workers but </w:t>
      </w:r>
      <w:r w:rsidR="0046780D">
        <w:rPr>
          <w:rFonts w:ascii="Times New Roman" w:hAnsi="Times New Roman" w:cs="Times New Roman"/>
        </w:rPr>
        <w:t xml:space="preserve">also </w:t>
      </w:r>
      <w:r w:rsidR="00205CE6">
        <w:rPr>
          <w:rFonts w:ascii="Times New Roman" w:hAnsi="Times New Roman" w:cs="Times New Roman"/>
        </w:rPr>
        <w:t xml:space="preserve">illuminates that there is much still to be done within area of postsecondary education policy research. </w:t>
      </w:r>
    </w:p>
    <w:p w14:paraId="75381EF5" w14:textId="62233441" w:rsidR="00430AA3" w:rsidRPr="00430AA3" w:rsidRDefault="00DF31E5" w:rsidP="008524FA">
      <w:pPr>
        <w:pStyle w:val="Heading2"/>
        <w:spacing w:before="0" w:after="0"/>
      </w:pPr>
      <w:bookmarkStart w:id="173" w:name="_Toc183282294"/>
      <w:r>
        <w:t>Conclusion</w:t>
      </w:r>
      <w:bookmarkStart w:id="174" w:name="_Toc420995911"/>
      <w:bookmarkStart w:id="175" w:name="_Toc422997498"/>
      <w:bookmarkStart w:id="176" w:name="_Toc427156483"/>
      <w:bookmarkEnd w:id="173"/>
    </w:p>
    <w:p w14:paraId="7881F886" w14:textId="77777777" w:rsidR="002F2E3C" w:rsidRDefault="002F2E3C"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I now will close this dissertation by returning to and discussing the caveat I flagged in my discussion of research question one regarding differences in sample selection between my research and past research. I find this caveat important to discuss because my study found that completions increased for my sample of promise programs limited to sub-baccalaureate programs while past literature that only considered programs that could be used at any level of undergraduate education found null effects at the sub-baccalaureate level for promise program adoption. I place importance on this issue because the sub-baccalaureate and baccalaureate postsecondary ecosystem in the United States has been noted to be a two-tiered system (Carnevale et al., 2018). Students from less advantaged backgrounds are overwhelmingly sorted into the lower preforming sub-baccalaureate sector due to a variety of reasons including cost. </w:t>
      </w:r>
    </w:p>
    <w:p w14:paraId="2D28138F" w14:textId="77777777" w:rsidR="002F2E3C" w:rsidRDefault="002F2E3C"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lastRenderedPageBreak/>
        <w:tab/>
        <w:t xml:space="preserve">Thus, promise programs that only allow for utilization at the sub-baccalaureate versus those that allow for utilization at either level undoubtably shape the choices available to students. Considering that completion and career outcomes for four-year students are consistently higher than sub-baccalaureate students, the narrowing of postsecondary choice that programs in my study contribute to is potentially concerning (Carnevale et al., 2024). This is not to say that the students who finish their sub-baccalaureate studies gain nothing. In fact, their outcomes are stronger than those of just high school graduates (Carnevale et al., 2023). The point of this acknowledgement is to highlight the reality that promise programs include a diverse range of programs and that the goals of these aid programs are not entirely consistent among one another (Perna &amp; Leigh, 2018; Perna et al., 2021). </w:t>
      </w:r>
    </w:p>
    <w:p w14:paraId="7583178F" w14:textId="77777777" w:rsidR="002F2E3C" w:rsidRDefault="002F2E3C" w:rsidP="008524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 xml:space="preserve">Instead, each of these programs serve the purposes and needs of their local communities as interpreted by leaders that construct, advocate, and/or facilitate these programs (Billings, 2018). Thus, it will be critical for policy makers and institutional leaders to orient themselves toward identifying and clearly communicating the purpose, opportunities, and benefits of promise programs to their stakeholders. After doing so, leaders will be able to appropriately use promise programs as a policy lever to meet the needs of individuals within their communities. </w:t>
      </w:r>
    </w:p>
    <w:p w14:paraId="6048F6F2" w14:textId="77777777" w:rsidR="0085438F" w:rsidRDefault="0085438F" w:rsidP="00B72267">
      <w:pPr>
        <w:spacing w:line="480" w:lineRule="auto"/>
        <w:rPr>
          <w:rFonts w:ascii="Times New Roman" w:hAnsi="Times New Roman" w:cs="Times New Roman"/>
        </w:rPr>
      </w:pPr>
    </w:p>
    <w:p w14:paraId="57D2ACF1" w14:textId="77777777" w:rsidR="00B72267" w:rsidRDefault="00B72267" w:rsidP="00352691">
      <w:pPr>
        <w:spacing w:line="480" w:lineRule="auto"/>
        <w:ind w:firstLine="720"/>
        <w:rPr>
          <w:rFonts w:ascii="Times New Roman" w:hAnsi="Times New Roman" w:cs="Times New Roman"/>
        </w:rPr>
      </w:pPr>
    </w:p>
    <w:p w14:paraId="6FDA50E9" w14:textId="4D4CFCD6" w:rsidR="00B4501C" w:rsidRPr="00B853EC" w:rsidRDefault="00B4501C" w:rsidP="00514C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 </w:t>
      </w:r>
    </w:p>
    <w:p w14:paraId="6BFB0634" w14:textId="255EFCCC" w:rsidR="000D6BCE" w:rsidRDefault="000D6BCE">
      <w:pPr>
        <w:rPr>
          <w:rFonts w:ascii="Times New Roman" w:hAnsi="Times New Roman" w:cs="Times New Roman"/>
          <w:b/>
          <w:bCs/>
          <w:caps/>
          <w:color w:val="000000" w:themeColor="text1"/>
        </w:rPr>
      </w:pPr>
    </w:p>
    <w:p w14:paraId="548FADF6" w14:textId="77777777" w:rsidR="00514C41" w:rsidRDefault="00514C41">
      <w:pPr>
        <w:rPr>
          <w:rFonts w:ascii="Times New Roman" w:hAnsi="Times New Roman" w:cs="Times New Roman"/>
          <w:b/>
          <w:bCs/>
          <w:caps/>
          <w:color w:val="000000" w:themeColor="text1"/>
        </w:rPr>
      </w:pPr>
      <w:r>
        <w:br w:type="page"/>
      </w:r>
    </w:p>
    <w:p w14:paraId="65B79640" w14:textId="27070D23" w:rsidR="007F58EA" w:rsidRPr="00C63272" w:rsidRDefault="002E752C" w:rsidP="00FF2759">
      <w:pPr>
        <w:pStyle w:val="Heading1"/>
        <w:spacing w:line="240" w:lineRule="auto"/>
      </w:pPr>
      <w:bookmarkStart w:id="177" w:name="_Toc183282295"/>
      <w:r w:rsidRPr="00C63272">
        <w:lastRenderedPageBreak/>
        <w:t>List of Refe</w:t>
      </w:r>
      <w:r w:rsidR="000B010E">
        <w:t>rences</w:t>
      </w:r>
      <w:bookmarkEnd w:id="177"/>
    </w:p>
    <w:p w14:paraId="33D1B412" w14:textId="67589399" w:rsidR="007F58EA" w:rsidRPr="00E94094" w:rsidRDefault="007F58EA" w:rsidP="00DC76D8">
      <w:pPr>
        <w:pStyle w:val="Heading1"/>
        <w:spacing w:line="240" w:lineRule="auto"/>
        <w:jc w:val="left"/>
        <w:rPr>
          <w:noProof/>
        </w:rPr>
      </w:pPr>
    </w:p>
    <w:p w14:paraId="3838481E" w14:textId="1EC49A1F" w:rsidR="00D10CA7" w:rsidRPr="002D49EB" w:rsidRDefault="00D10CA7" w:rsidP="00334A8E">
      <w:pPr>
        <w:spacing w:line="480" w:lineRule="auto"/>
        <w:ind w:left="720" w:hanging="720"/>
        <w:rPr>
          <w:rFonts w:ascii="Times New Roman" w:hAnsi="Times New Roman" w:cs="Times New Roman"/>
        </w:rPr>
      </w:pPr>
      <w:bookmarkStart w:id="178" w:name="_Toc420995912"/>
      <w:bookmarkStart w:id="179" w:name="_Toc422997499"/>
      <w:bookmarkStart w:id="180" w:name="_Toc427156484"/>
      <w:bookmarkEnd w:id="174"/>
      <w:bookmarkEnd w:id="175"/>
      <w:bookmarkEnd w:id="176"/>
      <w:r w:rsidRPr="002D49EB">
        <w:rPr>
          <w:rFonts w:ascii="Times New Roman" w:hAnsi="Times New Roman" w:cs="Times New Roman"/>
        </w:rPr>
        <w:t>Abraham, K. G., &amp; Clark, M. A. (2006). Financial aid and students’ college decisions:</w:t>
      </w:r>
      <w:r w:rsidR="00334A8E">
        <w:rPr>
          <w:rFonts w:ascii="Times New Roman" w:hAnsi="Times New Roman" w:cs="Times New Roman"/>
        </w:rPr>
        <w:t xml:space="preserve">  </w:t>
      </w:r>
      <w:proofErr w:type="gramStart"/>
      <w:r w:rsidRPr="002D49EB">
        <w:rPr>
          <w:rFonts w:ascii="Times New Roman" w:hAnsi="Times New Roman" w:cs="Times New Roman"/>
        </w:rPr>
        <w:t xml:space="preserve">Evidence </w:t>
      </w:r>
      <w:r w:rsidR="00334A8E">
        <w:rPr>
          <w:rFonts w:ascii="Times New Roman" w:hAnsi="Times New Roman" w:cs="Times New Roman"/>
        </w:rPr>
        <w:t xml:space="preserve"> </w:t>
      </w:r>
      <w:r w:rsidRPr="002D49EB">
        <w:rPr>
          <w:rFonts w:ascii="Times New Roman" w:hAnsi="Times New Roman" w:cs="Times New Roman"/>
        </w:rPr>
        <w:t>from</w:t>
      </w:r>
      <w:proofErr w:type="gramEnd"/>
      <w:r w:rsidRPr="002D49EB">
        <w:rPr>
          <w:rFonts w:ascii="Times New Roman" w:hAnsi="Times New Roman" w:cs="Times New Roman"/>
        </w:rPr>
        <w:t xml:space="preserve"> the </w:t>
      </w:r>
      <w:r w:rsidR="00820969">
        <w:rPr>
          <w:rFonts w:ascii="Times New Roman" w:hAnsi="Times New Roman" w:cs="Times New Roman"/>
        </w:rPr>
        <w:t>D</w:t>
      </w:r>
      <w:r w:rsidRPr="002D49EB">
        <w:rPr>
          <w:rFonts w:ascii="Times New Roman" w:hAnsi="Times New Roman" w:cs="Times New Roman"/>
        </w:rPr>
        <w:t xml:space="preserve">istrict of </w:t>
      </w:r>
      <w:r w:rsidR="00820969">
        <w:rPr>
          <w:rFonts w:ascii="Times New Roman" w:hAnsi="Times New Roman" w:cs="Times New Roman"/>
        </w:rPr>
        <w:t>C</w:t>
      </w:r>
      <w:r w:rsidRPr="002D49EB">
        <w:rPr>
          <w:rFonts w:ascii="Times New Roman" w:hAnsi="Times New Roman" w:cs="Times New Roman"/>
        </w:rPr>
        <w:t xml:space="preserve">olumbia tuition assistance grant program. </w:t>
      </w:r>
      <w:r w:rsidRPr="002D49EB">
        <w:rPr>
          <w:rFonts w:ascii="Times New Roman" w:hAnsi="Times New Roman" w:cs="Times New Roman"/>
          <w:i/>
          <w:iCs/>
        </w:rPr>
        <w:t>The Journal of Human Resources</w:t>
      </w:r>
      <w:r w:rsidRPr="002D49EB">
        <w:rPr>
          <w:rFonts w:ascii="Times New Roman" w:hAnsi="Times New Roman" w:cs="Times New Roman"/>
        </w:rPr>
        <w:t xml:space="preserve">, </w:t>
      </w:r>
      <w:r w:rsidRPr="002D49EB">
        <w:rPr>
          <w:rFonts w:ascii="Times New Roman" w:hAnsi="Times New Roman" w:cs="Times New Roman"/>
          <w:i/>
          <w:iCs/>
        </w:rPr>
        <w:t>41</w:t>
      </w:r>
      <w:r w:rsidRPr="002D49EB">
        <w:rPr>
          <w:rFonts w:ascii="Times New Roman" w:hAnsi="Times New Roman" w:cs="Times New Roman"/>
        </w:rPr>
        <w:t>(3), 578–610.</w:t>
      </w:r>
      <w:r w:rsidRPr="002D49EB">
        <w:rPr>
          <w:rFonts w:ascii="Times New Roman" w:hAnsi="Times New Roman" w:cs="Times New Roman"/>
          <w:noProof/>
        </w:rPr>
        <w:t xml:space="preserve"> https://doi.org/10.3368/jhr.XLI.3.578</w:t>
      </w:r>
    </w:p>
    <w:p w14:paraId="623375CC"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Anderson, D., Katharine, B., Goldrick-Rab, S., &amp; Kelchen, R. (2019). Experimental Evidence on the Impacts of Need-Based Financial Aid: Longitudinal Assessment of the Wisconsin Scholars Grant. </w:t>
      </w:r>
      <w:r w:rsidRPr="002D49EB">
        <w:rPr>
          <w:rFonts w:ascii="Times New Roman" w:hAnsi="Times New Roman" w:cs="Times New Roman"/>
          <w:i/>
          <w:iCs/>
        </w:rPr>
        <w:t>Journal of Policy Analysis and Management</w:t>
      </w:r>
      <w:r w:rsidRPr="002D49EB">
        <w:rPr>
          <w:rFonts w:ascii="Times New Roman" w:hAnsi="Times New Roman" w:cs="Times New Roman"/>
        </w:rPr>
        <w:t xml:space="preserve">, </w:t>
      </w:r>
      <w:r w:rsidRPr="002D49EB">
        <w:rPr>
          <w:rFonts w:ascii="Times New Roman" w:hAnsi="Times New Roman" w:cs="Times New Roman"/>
          <w:i/>
          <w:iCs/>
        </w:rPr>
        <w:t>39</w:t>
      </w:r>
      <w:r w:rsidRPr="002D49EB">
        <w:rPr>
          <w:rFonts w:ascii="Times New Roman" w:hAnsi="Times New Roman" w:cs="Times New Roman"/>
        </w:rPr>
        <w:t>(3), 720–739. https://doi.org/doi.org/10.1002/pam.22190</w:t>
      </w:r>
    </w:p>
    <w:p w14:paraId="6B3AF736"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Andrews, R., DesJardins, S., &amp; Ranchhod, V. (2010). The effects of the Kalamazoo Promise on college choice. </w:t>
      </w:r>
      <w:r w:rsidRPr="002D49EB">
        <w:rPr>
          <w:rFonts w:ascii="Times New Roman" w:hAnsi="Times New Roman" w:cs="Times New Roman"/>
          <w:i/>
          <w:iCs/>
        </w:rPr>
        <w:t>Economics of Education Review, 29</w:t>
      </w:r>
      <w:r w:rsidRPr="002D49EB">
        <w:rPr>
          <w:rFonts w:ascii="Times New Roman" w:hAnsi="Times New Roman" w:cs="Times New Roman"/>
        </w:rPr>
        <w:t>(5), 722-737. https://doi.org/10.1016/j.econedurev.2010.05.004</w:t>
      </w:r>
    </w:p>
    <w:p w14:paraId="502AC63B"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Archibald, R. B. (2002). </w:t>
      </w:r>
      <w:r w:rsidRPr="002D49EB">
        <w:rPr>
          <w:rFonts w:ascii="Times New Roman" w:hAnsi="Times New Roman" w:cs="Times New Roman"/>
          <w:i/>
          <w:iCs/>
        </w:rPr>
        <w:t>Redesigning the financial aid system</w:t>
      </w:r>
      <w:r w:rsidRPr="002D49EB">
        <w:rPr>
          <w:rFonts w:ascii="Times New Roman" w:hAnsi="Times New Roman" w:cs="Times New Roman"/>
        </w:rPr>
        <w:t>. Johns Hopkins University Press. https://doi.org/10.56021/9780801871238</w:t>
      </w:r>
    </w:p>
    <w:p w14:paraId="1403A9C4"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Athey, S., &amp; Imbens, G. W. (2017). The state of applied econometrics: Causality and policy evaluation. </w:t>
      </w:r>
      <w:r w:rsidRPr="002D49EB">
        <w:rPr>
          <w:rFonts w:ascii="Times New Roman" w:hAnsi="Times New Roman" w:cs="Times New Roman"/>
          <w:i/>
          <w:iCs/>
        </w:rPr>
        <w:t>Journal of Economic Perspectives</w:t>
      </w:r>
      <w:r w:rsidRPr="002D49EB">
        <w:rPr>
          <w:rFonts w:ascii="Times New Roman" w:hAnsi="Times New Roman" w:cs="Times New Roman"/>
        </w:rPr>
        <w:t xml:space="preserve">, </w:t>
      </w:r>
      <w:r w:rsidRPr="002D49EB">
        <w:rPr>
          <w:rFonts w:ascii="Times New Roman" w:hAnsi="Times New Roman" w:cs="Times New Roman"/>
          <w:i/>
          <w:iCs/>
        </w:rPr>
        <w:t>31</w:t>
      </w:r>
      <w:r w:rsidRPr="002D49EB">
        <w:rPr>
          <w:rFonts w:ascii="Times New Roman" w:hAnsi="Times New Roman" w:cs="Times New Roman"/>
        </w:rPr>
        <w:t>(2), 3–32. https://doi.org/10.1257/jep.31.2.3</w:t>
      </w:r>
    </w:p>
    <w:p w14:paraId="6B947FFE"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Bailey, M. J., &amp; Lindo, J. M. (2018). Access and use of contraception and its effects on women’s outcomes in the U.S. In S. L. Averett, M. Argys, &amp; S. D. Hoffman (Eds.), </w:t>
      </w:r>
      <w:r w:rsidRPr="002D49EB">
        <w:rPr>
          <w:rFonts w:ascii="Times New Roman" w:hAnsi="Times New Roman" w:cs="Times New Roman"/>
          <w:i/>
          <w:iCs/>
        </w:rPr>
        <w:t>The Oxford handbook of women and the economy</w:t>
      </w:r>
      <w:r w:rsidRPr="002D49EB">
        <w:rPr>
          <w:rFonts w:ascii="Times New Roman" w:hAnsi="Times New Roman" w:cs="Times New Roman"/>
        </w:rPr>
        <w:t xml:space="preserve"> (pp. 219–257). The Oxford handbook of women and the economy.</w:t>
      </w:r>
    </w:p>
    <w:p w14:paraId="182DD749" w14:textId="77777777" w:rsidR="00D10CA7" w:rsidRDefault="00D10CA7" w:rsidP="00334A8E">
      <w:pPr>
        <w:spacing w:line="480" w:lineRule="auto"/>
        <w:ind w:hanging="720"/>
        <w:rPr>
          <w:rFonts w:ascii="Times New Roman" w:hAnsi="Times New Roman" w:cs="Times New Roman"/>
        </w:rPr>
      </w:pPr>
    </w:p>
    <w:p w14:paraId="3AFF3187" w14:textId="524ABC7D"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Baird, M., Kofoed, M., Miller, T., &amp; Wenger, J. (2019). For-profit higher education responsiveness to price shocks: An investigation of changes to post 9-11 GI bill allowed maximum tuitions. </w:t>
      </w:r>
      <w:r w:rsidRPr="002D49EB">
        <w:rPr>
          <w:rFonts w:ascii="Times New Roman" w:hAnsi="Times New Roman" w:cs="Times New Roman"/>
          <w:i/>
          <w:iCs/>
        </w:rPr>
        <w:t>Journal of Policy Analysis and Management</w:t>
      </w:r>
      <w:r w:rsidRPr="002D49EB">
        <w:rPr>
          <w:rFonts w:ascii="Times New Roman" w:hAnsi="Times New Roman" w:cs="Times New Roman"/>
        </w:rPr>
        <w:t xml:space="preserve">, </w:t>
      </w:r>
      <w:r w:rsidRPr="002D49EB">
        <w:rPr>
          <w:rFonts w:ascii="Times New Roman" w:hAnsi="Times New Roman" w:cs="Times New Roman"/>
          <w:i/>
          <w:iCs/>
        </w:rPr>
        <w:t>41</w:t>
      </w:r>
      <w:r w:rsidRPr="002D49EB">
        <w:rPr>
          <w:rFonts w:ascii="Times New Roman" w:hAnsi="Times New Roman" w:cs="Times New Roman"/>
        </w:rPr>
        <w:t>(4), 1012–1039. https://doi.org/10.2139/ssrn.3174763</w:t>
      </w:r>
    </w:p>
    <w:p w14:paraId="6B1BE46D"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Baker, A., Larcker, D., &amp; Wang, C. C. Y. (2022). How much should we trust staggered difference-in-differences estimates? </w:t>
      </w:r>
      <w:r w:rsidRPr="002D49EB">
        <w:rPr>
          <w:rFonts w:ascii="Times New Roman" w:hAnsi="Times New Roman" w:cs="Times New Roman"/>
          <w:i/>
          <w:iCs/>
        </w:rPr>
        <w:t>Journal of Financial Economics</w:t>
      </w:r>
      <w:r w:rsidRPr="002D49EB">
        <w:rPr>
          <w:rFonts w:ascii="Times New Roman" w:hAnsi="Times New Roman" w:cs="Times New Roman"/>
        </w:rPr>
        <w:t xml:space="preserve">, </w:t>
      </w:r>
      <w:r w:rsidRPr="002D49EB">
        <w:rPr>
          <w:rFonts w:ascii="Times New Roman" w:hAnsi="Times New Roman" w:cs="Times New Roman"/>
          <w:i/>
          <w:iCs/>
        </w:rPr>
        <w:t>144</w:t>
      </w:r>
      <w:r w:rsidRPr="002D49EB">
        <w:rPr>
          <w:rFonts w:ascii="Times New Roman" w:hAnsi="Times New Roman" w:cs="Times New Roman"/>
        </w:rPr>
        <w:t>(2), 370–395. https://doi.org/10.1016/j.jfineco.2022.01.004</w:t>
      </w:r>
    </w:p>
    <w:p w14:paraId="28172861"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Barid, M., Kofoed, M., Miller, T., &amp; Wenger, J. (2019). For-profit higher education responsiveness to price shocks: An investigation of changes to post 9-11 GI bill allowed maximum tuitions. </w:t>
      </w:r>
      <w:r w:rsidRPr="002D49EB">
        <w:rPr>
          <w:rFonts w:ascii="Times New Roman" w:hAnsi="Times New Roman" w:cs="Times New Roman"/>
          <w:i/>
          <w:iCs/>
        </w:rPr>
        <w:t>Journal of Policy Analysis and Management, 41</w:t>
      </w:r>
      <w:r w:rsidRPr="002D49EB">
        <w:rPr>
          <w:rFonts w:ascii="Times New Roman" w:hAnsi="Times New Roman" w:cs="Times New Roman"/>
        </w:rPr>
        <w:t>(4), 1012-1039.</w:t>
      </w:r>
    </w:p>
    <w:p w14:paraId="1B74D19B"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Barr, A., Bird, K. A., &amp; Castleman, B. L. (2021). The effect of reduced student loan borrowing on academic performance and default: Evidence from a loan counseling experiment. </w:t>
      </w:r>
      <w:r w:rsidRPr="002D49EB">
        <w:rPr>
          <w:rFonts w:ascii="Times New Roman" w:hAnsi="Times New Roman" w:cs="Times New Roman"/>
          <w:i/>
          <w:iCs/>
        </w:rPr>
        <w:t>Journal of Public Economics</w:t>
      </w:r>
      <w:r w:rsidRPr="002D49EB">
        <w:rPr>
          <w:rFonts w:ascii="Times New Roman" w:hAnsi="Times New Roman" w:cs="Times New Roman"/>
        </w:rPr>
        <w:t xml:space="preserve">, </w:t>
      </w:r>
      <w:r w:rsidRPr="002D49EB">
        <w:rPr>
          <w:rFonts w:ascii="Times New Roman" w:hAnsi="Times New Roman" w:cs="Times New Roman"/>
          <w:i/>
          <w:iCs/>
        </w:rPr>
        <w:t>202</w:t>
      </w:r>
      <w:r w:rsidRPr="002D49EB">
        <w:rPr>
          <w:rFonts w:ascii="Times New Roman" w:hAnsi="Times New Roman" w:cs="Times New Roman"/>
        </w:rPr>
        <w:t>, 104493. https://doi.org/10.1016/j.jpubeco.2021.104493</w:t>
      </w:r>
    </w:p>
    <w:p w14:paraId="6B99DBE8"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Bartik, T. J., Hershbein, B., &amp; Lachowska, M. (2021). The effects of the Kalamazoo Promise scholarship on college enrollment and completion. </w:t>
      </w:r>
      <w:r w:rsidRPr="002D49EB">
        <w:rPr>
          <w:rFonts w:ascii="Times New Roman" w:hAnsi="Times New Roman" w:cs="Times New Roman"/>
          <w:i/>
          <w:iCs/>
        </w:rPr>
        <w:t>Journal of Human Resources</w:t>
      </w:r>
      <w:r w:rsidRPr="002D49EB">
        <w:rPr>
          <w:rFonts w:ascii="Times New Roman" w:hAnsi="Times New Roman" w:cs="Times New Roman"/>
        </w:rPr>
        <w:t xml:space="preserve">, </w:t>
      </w:r>
      <w:r w:rsidRPr="002D49EB">
        <w:rPr>
          <w:rFonts w:ascii="Times New Roman" w:hAnsi="Times New Roman" w:cs="Times New Roman"/>
          <w:i/>
          <w:iCs/>
        </w:rPr>
        <w:t>56</w:t>
      </w:r>
      <w:r w:rsidRPr="002D49EB">
        <w:rPr>
          <w:rFonts w:ascii="Times New Roman" w:hAnsi="Times New Roman" w:cs="Times New Roman"/>
        </w:rPr>
        <w:t>(1), 269–310. https://doi.org/10.3368/jhr.56.1.0416-7824R4</w:t>
      </w:r>
    </w:p>
    <w:p w14:paraId="3551A4AB" w14:textId="77594E1B" w:rsidR="00D10CA7"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Baum, A., Burns, D., Camo-Biogradlija, J., Dynarski, S., Michelmore, K.,  Lam, N., &amp; Own, S. (2021). Increasing economic diversity at a flagship university. Retrieved from Gerald R. Ford School of Public Policy. (Policy Brief May 2021). https://edpolicy.umich.edu/s</w:t>
      </w:r>
    </w:p>
    <w:p w14:paraId="073EEE21" w14:textId="31A8D720"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Bell, E., &amp; Gándara, D. (2021). Can free community college close racial disparities in postsecondary attainment? How Tulsa Achieves affects racially minoritized student outcomes. </w:t>
      </w:r>
      <w:r w:rsidRPr="002D49EB">
        <w:rPr>
          <w:rFonts w:ascii="Times New Roman" w:hAnsi="Times New Roman" w:cs="Times New Roman"/>
          <w:i/>
          <w:iCs/>
        </w:rPr>
        <w:t>American Educational Research Journal</w:t>
      </w:r>
      <w:r w:rsidRPr="002D49EB">
        <w:rPr>
          <w:rFonts w:ascii="Times New Roman" w:hAnsi="Times New Roman" w:cs="Times New Roman"/>
        </w:rPr>
        <w:t xml:space="preserve">, </w:t>
      </w:r>
      <w:r w:rsidRPr="002D49EB">
        <w:rPr>
          <w:rFonts w:ascii="Times New Roman" w:hAnsi="Times New Roman" w:cs="Times New Roman"/>
          <w:i/>
          <w:iCs/>
        </w:rPr>
        <w:t>58</w:t>
      </w:r>
      <w:r w:rsidRPr="002D49EB">
        <w:rPr>
          <w:rFonts w:ascii="Times New Roman" w:hAnsi="Times New Roman" w:cs="Times New Roman"/>
        </w:rPr>
        <w:t>(6), 1142–1177. https://doi.org/10.3102/00028312211003501</w:t>
      </w:r>
    </w:p>
    <w:p w14:paraId="14421C71"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Bettinger, E. (2004). How Financial Aid Affects Persistence. In C. M. Hoxby (Ed.), </w:t>
      </w:r>
      <w:r w:rsidRPr="002D49EB">
        <w:rPr>
          <w:rFonts w:ascii="Times New Roman" w:hAnsi="Times New Roman" w:cs="Times New Roman"/>
          <w:i/>
          <w:iCs/>
        </w:rPr>
        <w:t>College choices: The economics of where to go, when to go, and how to pay for it</w:t>
      </w:r>
      <w:r w:rsidRPr="002D49EB">
        <w:rPr>
          <w:rFonts w:ascii="Times New Roman" w:hAnsi="Times New Roman" w:cs="Times New Roman"/>
        </w:rPr>
        <w:t xml:space="preserve"> (pp. 207–238). University of Chicago Press. https://www.nber.org/books-and-chapters/college-choices-economics-where-go-when-go-and-how-pay-it/how-financial-aid-affects-persistence</w:t>
      </w:r>
    </w:p>
    <w:p w14:paraId="4749D439"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Bettinger, E., Gurantz, O., Kawano, L., Sacerdote, B., &amp; Stevens, M. (2019). The long-run impacts of financial aid: Evidence from California’s Cal Grant. </w:t>
      </w:r>
      <w:r w:rsidRPr="002D49EB">
        <w:rPr>
          <w:rFonts w:ascii="Times New Roman" w:hAnsi="Times New Roman" w:cs="Times New Roman"/>
          <w:i/>
          <w:iCs/>
        </w:rPr>
        <w:t>American Economic Journal: Economic Policy</w:t>
      </w:r>
      <w:r w:rsidRPr="002D49EB">
        <w:rPr>
          <w:rFonts w:ascii="Times New Roman" w:hAnsi="Times New Roman" w:cs="Times New Roman"/>
        </w:rPr>
        <w:t xml:space="preserve">, </w:t>
      </w:r>
      <w:r w:rsidRPr="002D49EB">
        <w:rPr>
          <w:rFonts w:ascii="Times New Roman" w:hAnsi="Times New Roman" w:cs="Times New Roman"/>
          <w:i/>
          <w:iCs/>
        </w:rPr>
        <w:t>11</w:t>
      </w:r>
      <w:r w:rsidRPr="002D49EB">
        <w:rPr>
          <w:rFonts w:ascii="Times New Roman" w:hAnsi="Times New Roman" w:cs="Times New Roman"/>
        </w:rPr>
        <w:t>(1), 64–94. https://doi.org/10.1257/pol.20170466</w:t>
      </w:r>
    </w:p>
    <w:p w14:paraId="765F58E2"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Bettinger, E., &amp; Williams, B. (2013). Federal and state financial aid during the Great Recession. In J. R. Brown &amp; C. M. Hoxby (Eds.), </w:t>
      </w:r>
      <w:r w:rsidRPr="002D49EB">
        <w:rPr>
          <w:rFonts w:ascii="Times New Roman" w:hAnsi="Times New Roman" w:cs="Times New Roman"/>
          <w:i/>
          <w:iCs/>
        </w:rPr>
        <w:t>How the financial crisis and great recession affected higher education</w:t>
      </w:r>
      <w:r w:rsidRPr="002D49EB">
        <w:rPr>
          <w:rFonts w:ascii="Times New Roman" w:hAnsi="Times New Roman" w:cs="Times New Roman"/>
        </w:rPr>
        <w:t xml:space="preserve"> (pp. 235–262). University of Chicago Press. https://ideas.repec.org//h/nbr/nberch/12861.html</w:t>
      </w:r>
    </w:p>
    <w:p w14:paraId="42E1CF8F"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Bickell, E. (2022). </w:t>
      </w:r>
      <w:r w:rsidRPr="002D49EB">
        <w:rPr>
          <w:rFonts w:ascii="Times New Roman" w:hAnsi="Times New Roman" w:cs="Times New Roman"/>
          <w:i/>
          <w:iCs/>
        </w:rPr>
        <w:t>The U.S. land-grant university system: Overview and role in agricultural research</w:t>
      </w:r>
      <w:r w:rsidRPr="002D49EB">
        <w:rPr>
          <w:rFonts w:ascii="Times New Roman" w:hAnsi="Times New Roman" w:cs="Times New Roman"/>
        </w:rPr>
        <w:t xml:space="preserve"> (No. R45897). https://crsreports.congress.gov</w:t>
      </w:r>
    </w:p>
    <w:p w14:paraId="6BE48BB8"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Bifulco, R., Rubenstein, R., &amp; Hosung, S. (2019). Evaluating the effects of universal place‐based scholarships on student outcomes: The Buffalo “say yes to education” </w:t>
      </w:r>
      <w:r w:rsidRPr="002D49EB">
        <w:rPr>
          <w:rFonts w:ascii="Times New Roman" w:hAnsi="Times New Roman" w:cs="Times New Roman"/>
        </w:rPr>
        <w:lastRenderedPageBreak/>
        <w:t xml:space="preserve">program. </w:t>
      </w:r>
      <w:r w:rsidRPr="002D49EB">
        <w:rPr>
          <w:rFonts w:ascii="Times New Roman" w:hAnsi="Times New Roman" w:cs="Times New Roman"/>
          <w:i/>
          <w:iCs/>
        </w:rPr>
        <w:t>Journal of Policy Analysis and Management</w:t>
      </w:r>
      <w:r w:rsidRPr="002D49EB">
        <w:rPr>
          <w:rFonts w:ascii="Times New Roman" w:hAnsi="Times New Roman" w:cs="Times New Roman"/>
        </w:rPr>
        <w:t xml:space="preserve">, </w:t>
      </w:r>
      <w:r w:rsidRPr="002D49EB">
        <w:rPr>
          <w:rFonts w:ascii="Times New Roman" w:hAnsi="Times New Roman" w:cs="Times New Roman"/>
          <w:i/>
          <w:iCs/>
        </w:rPr>
        <w:t>38</w:t>
      </w:r>
      <w:r w:rsidRPr="002D49EB">
        <w:rPr>
          <w:rFonts w:ascii="Times New Roman" w:hAnsi="Times New Roman" w:cs="Times New Roman"/>
        </w:rPr>
        <w:t>(4), 918–943. https://doi.org/10.1002/pam.22139</w:t>
      </w:r>
    </w:p>
    <w:p w14:paraId="39D10BD4" w14:textId="637181D8"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Billings, M. (2018). </w:t>
      </w:r>
      <w:r w:rsidRPr="002D49EB">
        <w:rPr>
          <w:rFonts w:ascii="Times New Roman" w:hAnsi="Times New Roman" w:cs="Times New Roman"/>
          <w:i/>
          <w:iCs/>
        </w:rPr>
        <w:t>Free</w:t>
      </w:r>
      <w:r w:rsidR="004A242B">
        <w:rPr>
          <w:rFonts w:ascii="Times New Roman" w:hAnsi="Times New Roman" w:cs="Times New Roman"/>
          <w:i/>
          <w:iCs/>
        </w:rPr>
        <w:t xml:space="preserve"> c</w:t>
      </w:r>
      <w:r w:rsidRPr="002D49EB">
        <w:rPr>
          <w:rFonts w:ascii="Times New Roman" w:hAnsi="Times New Roman" w:cs="Times New Roman"/>
          <w:i/>
          <w:iCs/>
        </w:rPr>
        <w:t xml:space="preserve">ollege </w:t>
      </w:r>
      <w:r w:rsidR="004A242B">
        <w:rPr>
          <w:rFonts w:ascii="Times New Roman" w:hAnsi="Times New Roman" w:cs="Times New Roman"/>
          <w:i/>
          <w:iCs/>
        </w:rPr>
        <w:t>f</w:t>
      </w:r>
      <w:r w:rsidRPr="002D49EB">
        <w:rPr>
          <w:rFonts w:ascii="Times New Roman" w:hAnsi="Times New Roman" w:cs="Times New Roman"/>
          <w:i/>
          <w:iCs/>
        </w:rPr>
        <w:t xml:space="preserve">or </w:t>
      </w:r>
      <w:r w:rsidR="004A242B">
        <w:rPr>
          <w:rFonts w:ascii="Times New Roman" w:hAnsi="Times New Roman" w:cs="Times New Roman"/>
          <w:i/>
          <w:iCs/>
        </w:rPr>
        <w:t>a</w:t>
      </w:r>
      <w:r w:rsidRPr="002D49EB">
        <w:rPr>
          <w:rFonts w:ascii="Times New Roman" w:hAnsi="Times New Roman" w:cs="Times New Roman"/>
          <w:i/>
          <w:iCs/>
        </w:rPr>
        <w:t xml:space="preserve">ll: The </w:t>
      </w:r>
      <w:r w:rsidR="004A242B">
        <w:rPr>
          <w:rFonts w:ascii="Times New Roman" w:hAnsi="Times New Roman" w:cs="Times New Roman"/>
          <w:i/>
          <w:iCs/>
        </w:rPr>
        <w:t>i</w:t>
      </w:r>
      <w:r w:rsidRPr="002D49EB">
        <w:rPr>
          <w:rFonts w:ascii="Times New Roman" w:hAnsi="Times New Roman" w:cs="Times New Roman"/>
          <w:i/>
          <w:iCs/>
        </w:rPr>
        <w:t xml:space="preserve">mpact </w:t>
      </w:r>
      <w:r w:rsidR="004A242B">
        <w:rPr>
          <w:rFonts w:ascii="Times New Roman" w:hAnsi="Times New Roman" w:cs="Times New Roman"/>
          <w:i/>
          <w:iCs/>
        </w:rPr>
        <w:t>o</w:t>
      </w:r>
      <w:r w:rsidRPr="002D49EB">
        <w:rPr>
          <w:rFonts w:ascii="Times New Roman" w:hAnsi="Times New Roman" w:cs="Times New Roman"/>
          <w:i/>
          <w:iCs/>
        </w:rPr>
        <w:t xml:space="preserve">f </w:t>
      </w:r>
      <w:r w:rsidR="004A242B">
        <w:rPr>
          <w:rFonts w:ascii="Times New Roman" w:hAnsi="Times New Roman" w:cs="Times New Roman"/>
          <w:i/>
          <w:iCs/>
        </w:rPr>
        <w:t>p</w:t>
      </w:r>
      <w:r w:rsidRPr="002D49EB">
        <w:rPr>
          <w:rFonts w:ascii="Times New Roman" w:hAnsi="Times New Roman" w:cs="Times New Roman"/>
          <w:i/>
          <w:iCs/>
        </w:rPr>
        <w:t xml:space="preserve">romise </w:t>
      </w:r>
      <w:r w:rsidR="004A242B">
        <w:rPr>
          <w:rFonts w:ascii="Times New Roman" w:hAnsi="Times New Roman" w:cs="Times New Roman"/>
          <w:i/>
          <w:iCs/>
        </w:rPr>
        <w:t>p</w:t>
      </w:r>
      <w:r w:rsidRPr="002D49EB">
        <w:rPr>
          <w:rFonts w:ascii="Times New Roman" w:hAnsi="Times New Roman" w:cs="Times New Roman"/>
          <w:i/>
          <w:iCs/>
        </w:rPr>
        <w:t xml:space="preserve">rograms </w:t>
      </w:r>
      <w:r w:rsidR="004A242B">
        <w:rPr>
          <w:rFonts w:ascii="Times New Roman" w:hAnsi="Times New Roman" w:cs="Times New Roman"/>
          <w:i/>
          <w:iCs/>
        </w:rPr>
        <w:t>o</w:t>
      </w:r>
      <w:r w:rsidRPr="002D49EB">
        <w:rPr>
          <w:rFonts w:ascii="Times New Roman" w:hAnsi="Times New Roman" w:cs="Times New Roman"/>
          <w:i/>
          <w:iCs/>
        </w:rPr>
        <w:t xml:space="preserve">n </w:t>
      </w:r>
      <w:r w:rsidR="004A242B">
        <w:rPr>
          <w:rFonts w:ascii="Times New Roman" w:hAnsi="Times New Roman" w:cs="Times New Roman"/>
          <w:i/>
          <w:iCs/>
        </w:rPr>
        <w:t>c</w:t>
      </w:r>
      <w:r w:rsidRPr="002D49EB">
        <w:rPr>
          <w:rFonts w:ascii="Times New Roman" w:hAnsi="Times New Roman" w:cs="Times New Roman"/>
          <w:i/>
          <w:iCs/>
        </w:rPr>
        <w:t xml:space="preserve">ollege </w:t>
      </w:r>
      <w:r w:rsidR="004A242B">
        <w:rPr>
          <w:rFonts w:ascii="Times New Roman" w:hAnsi="Times New Roman" w:cs="Times New Roman"/>
          <w:i/>
          <w:iCs/>
        </w:rPr>
        <w:t>a</w:t>
      </w:r>
      <w:r w:rsidRPr="002D49EB">
        <w:rPr>
          <w:rFonts w:ascii="Times New Roman" w:hAnsi="Times New Roman" w:cs="Times New Roman"/>
          <w:i/>
          <w:iCs/>
        </w:rPr>
        <w:t xml:space="preserve">ccess </w:t>
      </w:r>
      <w:r w:rsidR="004A242B">
        <w:rPr>
          <w:rFonts w:ascii="Times New Roman" w:hAnsi="Times New Roman" w:cs="Times New Roman"/>
          <w:i/>
          <w:iCs/>
        </w:rPr>
        <w:t>a</w:t>
      </w:r>
      <w:r w:rsidRPr="002D49EB">
        <w:rPr>
          <w:rFonts w:ascii="Times New Roman" w:hAnsi="Times New Roman" w:cs="Times New Roman"/>
          <w:i/>
          <w:iCs/>
        </w:rPr>
        <w:t xml:space="preserve">nd </w:t>
      </w:r>
      <w:r w:rsidR="004A242B">
        <w:rPr>
          <w:rFonts w:ascii="Times New Roman" w:hAnsi="Times New Roman" w:cs="Times New Roman"/>
          <w:i/>
          <w:iCs/>
        </w:rPr>
        <w:t>s</w:t>
      </w:r>
      <w:r w:rsidRPr="002D49EB">
        <w:rPr>
          <w:rFonts w:ascii="Times New Roman" w:hAnsi="Times New Roman" w:cs="Times New Roman"/>
          <w:i/>
          <w:iCs/>
        </w:rPr>
        <w:t>uccess</w:t>
      </w:r>
      <w:r w:rsidRPr="002D49EB">
        <w:rPr>
          <w:rFonts w:ascii="Times New Roman" w:hAnsi="Times New Roman" w:cs="Times New Roman"/>
        </w:rPr>
        <w:t xml:space="preserve"> [Doctoral Dissertation, University of Michigan]. Deep Blue Documents. http://deepblue.lib.umich.edu/handle/2027.42/144101</w:t>
      </w:r>
    </w:p>
    <w:p w14:paraId="23BF92C4"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Black, S. E., Denning, J. T., Dettling, L. J., Goodman, S., &amp; Turner, L. J. (2023). Taking it to the limit: Effects of increased student loan availability on attainment, earnings, and financial well-being. </w:t>
      </w:r>
      <w:r w:rsidRPr="002D49EB">
        <w:rPr>
          <w:rFonts w:ascii="Times New Roman" w:hAnsi="Times New Roman" w:cs="Times New Roman"/>
          <w:i/>
          <w:iCs/>
        </w:rPr>
        <w:t>American Economic Review</w:t>
      </w:r>
      <w:r w:rsidRPr="002D49EB">
        <w:rPr>
          <w:rFonts w:ascii="Times New Roman" w:hAnsi="Times New Roman" w:cs="Times New Roman"/>
        </w:rPr>
        <w:t xml:space="preserve">, </w:t>
      </w:r>
      <w:r w:rsidRPr="002D49EB">
        <w:rPr>
          <w:rFonts w:ascii="Times New Roman" w:hAnsi="Times New Roman" w:cs="Times New Roman"/>
          <w:i/>
          <w:iCs/>
        </w:rPr>
        <w:t>113</w:t>
      </w:r>
      <w:r w:rsidRPr="002D49EB">
        <w:rPr>
          <w:rFonts w:ascii="Times New Roman" w:hAnsi="Times New Roman" w:cs="Times New Roman"/>
        </w:rPr>
        <w:t>(12), 3357–3400. https://doi.org/10.1257/aer.20210926</w:t>
      </w:r>
    </w:p>
    <w:p w14:paraId="076E3F60"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Board of Governors of the Federal Reserve System. (2024). </w:t>
      </w:r>
      <w:r w:rsidRPr="002D49EB">
        <w:rPr>
          <w:rFonts w:ascii="Times New Roman" w:hAnsi="Times New Roman" w:cs="Times New Roman"/>
          <w:i/>
          <w:iCs/>
        </w:rPr>
        <w:t>Federal Reserve Board—Consumer Credit—G.19</w:t>
      </w:r>
      <w:r w:rsidRPr="002D49EB">
        <w:rPr>
          <w:rFonts w:ascii="Times New Roman" w:hAnsi="Times New Roman" w:cs="Times New Roman"/>
        </w:rPr>
        <w:t>. https://www.federalreserve.gov/releases/g19/current/</w:t>
      </w:r>
    </w:p>
    <w:p w14:paraId="2B81F502"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Borusyak, K., &amp; Jaravel, X. (2017). Consistency and inference in Bartik research designs (Technical Report No. Working paper 187). Harvard University. https://scholar.harvard.edu/files/xavier/files/bartik_may10.pdf</w:t>
      </w:r>
    </w:p>
    <w:p w14:paraId="33A10ADE"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Borusyak, K., &amp; Jaravel, X. (2024). Revising event-study designs: Robust and efficient estimation. </w:t>
      </w:r>
      <w:r w:rsidRPr="002D49EB">
        <w:rPr>
          <w:rFonts w:ascii="Times New Roman" w:hAnsi="Times New Roman" w:cs="Times New Roman"/>
          <w:i/>
          <w:iCs/>
        </w:rPr>
        <w:t>The Review of Economic Studies</w:t>
      </w:r>
      <w:r w:rsidRPr="002D49EB">
        <w:rPr>
          <w:rFonts w:ascii="Times New Roman" w:hAnsi="Times New Roman" w:cs="Times New Roman"/>
        </w:rPr>
        <w:t xml:space="preserve">, </w:t>
      </w:r>
      <w:r w:rsidRPr="002D49EB">
        <w:rPr>
          <w:rFonts w:ascii="Times New Roman" w:hAnsi="Times New Roman" w:cs="Times New Roman"/>
          <w:i/>
          <w:iCs/>
        </w:rPr>
        <w:t>91</w:t>
      </w:r>
      <w:r w:rsidRPr="002D49EB">
        <w:rPr>
          <w:rFonts w:ascii="Times New Roman" w:hAnsi="Times New Roman" w:cs="Times New Roman"/>
        </w:rPr>
        <w:t>(6), 3253–3285. https://doi.org/10.1093/restud/rdae007</w:t>
      </w:r>
    </w:p>
    <w:p w14:paraId="442AC8E1"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Bozick, R., Gonzalez, G., &amp; Engberg, J. (2015). Using a merit-based scholarship program to increase rates of college enrollment in an urban school district: The case of the Pittsburgh Promise. </w:t>
      </w:r>
      <w:r w:rsidRPr="002D49EB">
        <w:rPr>
          <w:rFonts w:ascii="Times New Roman" w:hAnsi="Times New Roman" w:cs="Times New Roman"/>
          <w:i/>
          <w:iCs/>
        </w:rPr>
        <w:t>Journal of Student Financial Aid</w:t>
      </w:r>
      <w:r w:rsidRPr="002D49EB">
        <w:rPr>
          <w:rFonts w:ascii="Times New Roman" w:hAnsi="Times New Roman" w:cs="Times New Roman"/>
        </w:rPr>
        <w:t xml:space="preserve">, </w:t>
      </w:r>
      <w:r w:rsidRPr="002D49EB">
        <w:rPr>
          <w:rFonts w:ascii="Times New Roman" w:hAnsi="Times New Roman" w:cs="Times New Roman"/>
          <w:i/>
          <w:iCs/>
        </w:rPr>
        <w:t>45</w:t>
      </w:r>
      <w:r w:rsidRPr="002D49EB">
        <w:rPr>
          <w:rFonts w:ascii="Times New Roman" w:hAnsi="Times New Roman" w:cs="Times New Roman"/>
        </w:rPr>
        <w:t>(2). https://doi.org/10.55504/0884-9153.1552</w:t>
      </w:r>
    </w:p>
    <w:p w14:paraId="38693E99" w14:textId="77777777" w:rsidR="00D10CA7" w:rsidRPr="00D55617" w:rsidRDefault="00D10CA7" w:rsidP="00334A8E">
      <w:pPr>
        <w:spacing w:line="480" w:lineRule="auto"/>
        <w:ind w:left="720" w:hanging="720"/>
        <w:rPr>
          <w:rFonts w:ascii="Times New Roman" w:hAnsi="Times New Roman" w:cs="Times New Roman"/>
        </w:rPr>
      </w:pPr>
      <w:r w:rsidRPr="00D55617">
        <w:rPr>
          <w:rFonts w:ascii="Times New Roman" w:hAnsi="Times New Roman" w:cs="Times New Roman"/>
        </w:rPr>
        <w:lastRenderedPageBreak/>
        <w:t xml:space="preserve">Brookings Institute. (2017). </w:t>
      </w:r>
      <w:r w:rsidRPr="00D55617">
        <w:rPr>
          <w:rFonts w:ascii="Times New Roman" w:hAnsi="Times New Roman" w:cs="Times New Roman"/>
          <w:i/>
          <w:iCs/>
        </w:rPr>
        <w:t>The closing of the jobs gap: A decade of recession and recovery</w:t>
      </w:r>
      <w:r w:rsidRPr="00D55617">
        <w:rPr>
          <w:rFonts w:ascii="Times New Roman" w:hAnsi="Times New Roman" w:cs="Times New Roman"/>
        </w:rPr>
        <w:t>. Retrieved from https://www.brookings.edu/articles/the-closing-of-the-jobs-gap-a-decade-of-recession-and-recovery/</w:t>
      </w:r>
      <w:r w:rsidRPr="002D49EB">
        <w:rPr>
          <w:rFonts w:ascii="Times New Roman" w:hAnsi="Times New Roman" w:cs="Times New Roman"/>
        </w:rPr>
        <w:t xml:space="preserve"> </w:t>
      </w:r>
    </w:p>
    <w:p w14:paraId="38934BC6"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Broton, K. M., &amp; Goldrick-Rab, S. (2018). Going without: An exploration of food and housing insecurity among undergraduates. </w:t>
      </w:r>
      <w:r w:rsidRPr="002D49EB">
        <w:rPr>
          <w:rFonts w:ascii="Times New Roman" w:hAnsi="Times New Roman" w:cs="Times New Roman"/>
          <w:i/>
          <w:iCs/>
        </w:rPr>
        <w:t>Educational Researcher</w:t>
      </w:r>
      <w:r w:rsidRPr="002D49EB">
        <w:rPr>
          <w:rFonts w:ascii="Times New Roman" w:hAnsi="Times New Roman" w:cs="Times New Roman"/>
        </w:rPr>
        <w:t xml:space="preserve">, </w:t>
      </w:r>
      <w:r w:rsidRPr="002D49EB">
        <w:rPr>
          <w:rFonts w:ascii="Times New Roman" w:hAnsi="Times New Roman" w:cs="Times New Roman"/>
          <w:i/>
          <w:iCs/>
        </w:rPr>
        <w:t>47</w:t>
      </w:r>
      <w:r w:rsidRPr="002D49EB">
        <w:rPr>
          <w:rFonts w:ascii="Times New Roman" w:hAnsi="Times New Roman" w:cs="Times New Roman"/>
        </w:rPr>
        <w:t>(2), 121–133. https://doi.org/10.3102/0013189X17741303</w:t>
      </w:r>
    </w:p>
    <w:p w14:paraId="05CEBCC1"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Bruce, D. J., &amp; Carruthers, C. K. (2014). Jackpot? The impact of lottery scholarships on enrollment in Tennessee. </w:t>
      </w:r>
      <w:r w:rsidRPr="002D49EB">
        <w:rPr>
          <w:rFonts w:ascii="Times New Roman" w:hAnsi="Times New Roman" w:cs="Times New Roman"/>
          <w:i/>
          <w:iCs/>
        </w:rPr>
        <w:t>Journal of Urban Economics</w:t>
      </w:r>
      <w:r w:rsidRPr="002D49EB">
        <w:rPr>
          <w:rFonts w:ascii="Times New Roman" w:hAnsi="Times New Roman" w:cs="Times New Roman"/>
        </w:rPr>
        <w:t xml:space="preserve">, </w:t>
      </w:r>
      <w:r w:rsidRPr="002D49EB">
        <w:rPr>
          <w:rFonts w:ascii="Times New Roman" w:hAnsi="Times New Roman" w:cs="Times New Roman"/>
          <w:i/>
          <w:iCs/>
        </w:rPr>
        <w:t>81</w:t>
      </w:r>
      <w:r w:rsidRPr="002D49EB">
        <w:rPr>
          <w:rFonts w:ascii="Times New Roman" w:hAnsi="Times New Roman" w:cs="Times New Roman"/>
        </w:rPr>
        <w:t>, 30–44. https://doi.org/10.1016/j.jue.2014.01.006</w:t>
      </w:r>
    </w:p>
    <w:p w14:paraId="672BF913"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Burland, E., Dynarski, S., Michelmore, K., Owen, S., &amp; Raghuraman, S. (2023). The power of certainty: Experimental evidence on the effective design of free tuition programs. </w:t>
      </w:r>
      <w:r w:rsidRPr="002D49EB">
        <w:rPr>
          <w:rFonts w:ascii="Times New Roman" w:hAnsi="Times New Roman" w:cs="Times New Roman"/>
          <w:i/>
          <w:iCs/>
        </w:rPr>
        <w:t>American Economic Review: Insights</w:t>
      </w:r>
      <w:r w:rsidRPr="002D49EB">
        <w:rPr>
          <w:rFonts w:ascii="Times New Roman" w:hAnsi="Times New Roman" w:cs="Times New Roman"/>
        </w:rPr>
        <w:t xml:space="preserve">, </w:t>
      </w:r>
      <w:r w:rsidRPr="002D49EB">
        <w:rPr>
          <w:rFonts w:ascii="Times New Roman" w:hAnsi="Times New Roman" w:cs="Times New Roman"/>
          <w:i/>
          <w:iCs/>
        </w:rPr>
        <w:t>5</w:t>
      </w:r>
      <w:r w:rsidRPr="002D49EB">
        <w:rPr>
          <w:rFonts w:ascii="Times New Roman" w:hAnsi="Times New Roman" w:cs="Times New Roman"/>
        </w:rPr>
        <w:t>(3), 293–310. https://doi.org/10.1257/aeri.20220094</w:t>
      </w:r>
    </w:p>
    <w:p w14:paraId="1CFF3A40"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Callaway, B., &amp; Sant’Anna, P. H. C. (2021). Difference-in-Differences with multiple time periods. </w:t>
      </w:r>
      <w:r w:rsidRPr="002D49EB">
        <w:rPr>
          <w:rFonts w:ascii="Times New Roman" w:hAnsi="Times New Roman" w:cs="Times New Roman"/>
          <w:i/>
          <w:iCs/>
        </w:rPr>
        <w:t>Journal of Econometrics</w:t>
      </w:r>
      <w:r w:rsidRPr="002D49EB">
        <w:rPr>
          <w:rFonts w:ascii="Times New Roman" w:hAnsi="Times New Roman" w:cs="Times New Roman"/>
        </w:rPr>
        <w:t xml:space="preserve">, </w:t>
      </w:r>
      <w:r w:rsidRPr="002D49EB">
        <w:rPr>
          <w:rFonts w:ascii="Times New Roman" w:hAnsi="Times New Roman" w:cs="Times New Roman"/>
          <w:i/>
          <w:iCs/>
        </w:rPr>
        <w:t>225</w:t>
      </w:r>
      <w:r w:rsidRPr="002D49EB">
        <w:rPr>
          <w:rFonts w:ascii="Times New Roman" w:hAnsi="Times New Roman" w:cs="Times New Roman"/>
        </w:rPr>
        <w:t>(2), 200–230. https://doi.org/10.1016/j.jeconom.2020.12.001</w:t>
      </w:r>
    </w:p>
    <w:p w14:paraId="066A75C1"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Camo-Biogradlija, J., Dynarski, S., Michelmore, K., Lam, N. W., &amp; Owen, S. (2021, April). </w:t>
      </w:r>
      <w:r w:rsidRPr="002D49EB">
        <w:rPr>
          <w:rFonts w:ascii="Times New Roman" w:hAnsi="Times New Roman" w:cs="Times New Roman"/>
          <w:i/>
          <w:iCs/>
        </w:rPr>
        <w:t>Increasing economic diversity at a flagship university</w:t>
      </w:r>
      <w:r w:rsidRPr="002D49EB">
        <w:rPr>
          <w:rFonts w:ascii="Times New Roman" w:hAnsi="Times New Roman" w:cs="Times New Roman"/>
        </w:rPr>
        <w:t>. University of Michigan Education Policy Initiative. https://edpolicy.umich.edu/research/epi-policy-briefs/increasing-economic-diversity-flagship-university</w:t>
      </w:r>
    </w:p>
    <w:p w14:paraId="3D34320C"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Campaign for Free College Tuition. (n.d.). </w:t>
      </w:r>
      <w:r w:rsidRPr="002D49EB">
        <w:rPr>
          <w:rFonts w:ascii="Times New Roman" w:hAnsi="Times New Roman" w:cs="Times New Roman"/>
          <w:i/>
          <w:iCs/>
        </w:rPr>
        <w:t>Promise Programs</w:t>
      </w:r>
      <w:r w:rsidRPr="002D49EB">
        <w:rPr>
          <w:rFonts w:ascii="Times New Roman" w:hAnsi="Times New Roman" w:cs="Times New Roman"/>
        </w:rPr>
        <w:t>. https://www.freecollegenow.org/promise_programs</w:t>
      </w:r>
    </w:p>
    <w:p w14:paraId="1670D466"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lastRenderedPageBreak/>
        <w:t>Carl. D. Perkins Career and Technical Education Act, Pub. L. 98-524 Stat. 2435 (https://www.govinfo.gov/content/pkg/STATUTE-98/pdf/STATUTE-98-Pg2435.pdf 1984).</w:t>
      </w:r>
    </w:p>
    <w:p w14:paraId="0190FEF6"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Carnevale, A. P., Sablan, J. R., Gulish, A., Quinn, M. C., &amp; Cinquegrani, G. (2020). </w:t>
      </w:r>
      <w:r w:rsidRPr="002D49EB">
        <w:rPr>
          <w:rFonts w:ascii="Times New Roman" w:hAnsi="Times New Roman" w:cs="Times New Roman"/>
          <w:i/>
          <w:iCs/>
        </w:rPr>
        <w:t>The dollars and sense of free college</w:t>
      </w:r>
      <w:r w:rsidRPr="002D49EB">
        <w:rPr>
          <w:rFonts w:ascii="Times New Roman" w:hAnsi="Times New Roman" w:cs="Times New Roman"/>
        </w:rPr>
        <w:t>. McCourt School of Public Policy Georgetown University. https://cew.georgetown.edu/wp-content/uploads/CEW-The-Cost-of-Free-College-FR.pdf</w:t>
      </w:r>
    </w:p>
    <w:p w14:paraId="3291D5CC"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Carnevale, A. P., Smith, N., Van Der Werf, M., &amp; Quinn, M. C. (2023). </w:t>
      </w:r>
      <w:r w:rsidRPr="002D49EB">
        <w:rPr>
          <w:rFonts w:ascii="Times New Roman" w:hAnsi="Times New Roman" w:cs="Times New Roman"/>
          <w:i/>
          <w:iCs/>
        </w:rPr>
        <w:t>After everything: Projections of jobs, education, and training requirements through 2031</w:t>
      </w:r>
      <w:r w:rsidRPr="002D49EB">
        <w:rPr>
          <w:rFonts w:ascii="Times New Roman" w:hAnsi="Times New Roman" w:cs="Times New Roman"/>
        </w:rPr>
        <w:t>. McCourt School of Public Policy Georgetown University. https://cew.georgetown.edu/cew-reports/projections2031/#resources</w:t>
      </w:r>
    </w:p>
    <w:p w14:paraId="1FC3AFF4"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Carnevale, A. P., Strohl, J., Campbell, K. P., Gulish, A., Cheah, B., Nyhof, E., &amp; Fix, L. (2024). </w:t>
      </w:r>
      <w:r w:rsidRPr="002D49EB">
        <w:rPr>
          <w:rFonts w:ascii="Times New Roman" w:hAnsi="Times New Roman" w:cs="Times New Roman"/>
          <w:i/>
          <w:iCs/>
        </w:rPr>
        <w:t>Learning and earrings by degrees: Gains in college degree attainment have enriched the nation and every state, but racial and gender inequality persists</w:t>
      </w:r>
      <w:r w:rsidRPr="002D49EB">
        <w:rPr>
          <w:rFonts w:ascii="Times New Roman" w:hAnsi="Times New Roman" w:cs="Times New Roman"/>
        </w:rPr>
        <w:t>. Georgetown University Center on Education and the Workforce. https://cew.georgetown.edu/cew-reports/attainmentgains/#resources</w:t>
      </w:r>
    </w:p>
    <w:p w14:paraId="3141F580"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Carnevale, A. P., Van Der Werf, M., Quinn, M. C., Strohl, J., &amp; Repnikov, D. (2018). </w:t>
      </w:r>
      <w:r w:rsidRPr="002D49EB">
        <w:rPr>
          <w:rFonts w:ascii="Times New Roman" w:hAnsi="Times New Roman" w:cs="Times New Roman"/>
          <w:i/>
          <w:iCs/>
        </w:rPr>
        <w:t>Our separate &amp; unequal public colleges: How public colleges reinforce white racial privilege and marginalize black and latino students</w:t>
      </w:r>
      <w:r w:rsidRPr="002D49EB">
        <w:rPr>
          <w:rFonts w:ascii="Times New Roman" w:hAnsi="Times New Roman" w:cs="Times New Roman"/>
        </w:rPr>
        <w:t>. McCourt School of Public Policy Georgetown University. https://cew.georgetown.edu/wp-content/uploads/SAUStates_FR.pdf</w:t>
      </w:r>
    </w:p>
    <w:p w14:paraId="4A740721"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Carruthers, C. K., Fox, W. F., &amp; Jepsen, C. (2023). What knox achieved: Estimated effects of tuition-free community college on attainment and earnings. </w:t>
      </w:r>
      <w:r w:rsidRPr="002D49EB">
        <w:rPr>
          <w:rFonts w:ascii="Times New Roman" w:hAnsi="Times New Roman" w:cs="Times New Roman"/>
          <w:i/>
          <w:iCs/>
        </w:rPr>
        <w:t>Journal of Human Resources</w:t>
      </w:r>
      <w:r w:rsidRPr="002D49EB">
        <w:rPr>
          <w:rFonts w:ascii="Times New Roman" w:hAnsi="Times New Roman" w:cs="Times New Roman"/>
        </w:rPr>
        <w:t>. https://doi.org/10.3368/jhr.1220-11359R2</w:t>
      </w:r>
    </w:p>
    <w:p w14:paraId="60425417"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Carruthers, C. K., &amp; Welch, J. G. (2019). Not whether, but where? Pell grants and college choices. </w:t>
      </w:r>
      <w:r w:rsidRPr="002D49EB">
        <w:rPr>
          <w:rFonts w:ascii="Times New Roman" w:hAnsi="Times New Roman" w:cs="Times New Roman"/>
          <w:i/>
          <w:iCs/>
        </w:rPr>
        <w:t>Journal of Public Economics</w:t>
      </w:r>
      <w:r w:rsidRPr="002D49EB">
        <w:rPr>
          <w:rFonts w:ascii="Times New Roman" w:hAnsi="Times New Roman" w:cs="Times New Roman"/>
        </w:rPr>
        <w:t xml:space="preserve">, </w:t>
      </w:r>
      <w:r w:rsidRPr="002D49EB">
        <w:rPr>
          <w:rFonts w:ascii="Times New Roman" w:hAnsi="Times New Roman" w:cs="Times New Roman"/>
          <w:i/>
          <w:iCs/>
        </w:rPr>
        <w:t>172</w:t>
      </w:r>
      <w:r w:rsidRPr="002D49EB">
        <w:rPr>
          <w:rFonts w:ascii="Times New Roman" w:hAnsi="Times New Roman" w:cs="Times New Roman"/>
        </w:rPr>
        <w:t>, 1–19. https://doi.org/10.1016/j.jpubeco.2018.11.006</w:t>
      </w:r>
    </w:p>
    <w:p w14:paraId="6BA0E971"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Cellini, S. R., &amp; Goldin, C. (2014). Does federal student aid raise tuition? New evidence on for-profit colleges. </w:t>
      </w:r>
      <w:r w:rsidRPr="002D49EB">
        <w:rPr>
          <w:rFonts w:ascii="Times New Roman" w:hAnsi="Times New Roman" w:cs="Times New Roman"/>
          <w:i/>
          <w:iCs/>
        </w:rPr>
        <w:t>American Economic Journal: Economic Policy</w:t>
      </w:r>
      <w:r w:rsidRPr="002D49EB">
        <w:rPr>
          <w:rFonts w:ascii="Times New Roman" w:hAnsi="Times New Roman" w:cs="Times New Roman"/>
        </w:rPr>
        <w:t xml:space="preserve">, </w:t>
      </w:r>
      <w:r w:rsidRPr="002D49EB">
        <w:rPr>
          <w:rFonts w:ascii="Times New Roman" w:hAnsi="Times New Roman" w:cs="Times New Roman"/>
          <w:i/>
          <w:iCs/>
        </w:rPr>
        <w:t>6</w:t>
      </w:r>
      <w:r w:rsidRPr="002D49EB">
        <w:rPr>
          <w:rFonts w:ascii="Times New Roman" w:hAnsi="Times New Roman" w:cs="Times New Roman"/>
        </w:rPr>
        <w:t>(4), 174–206. https://doi.org/10.1257/pol.6.4.174</w:t>
      </w:r>
    </w:p>
    <w:p w14:paraId="17289442"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Center for Community College Student Engagement. (2020). </w:t>
      </w:r>
      <w:r w:rsidRPr="002D49EB">
        <w:rPr>
          <w:rFonts w:ascii="Times New Roman" w:hAnsi="Times New Roman" w:cs="Times New Roman"/>
          <w:i/>
          <w:iCs/>
        </w:rPr>
        <w:t>Community college survey of student engagement—2020 cohort</w:t>
      </w:r>
      <w:r w:rsidRPr="002D49EB">
        <w:rPr>
          <w:rFonts w:ascii="Times New Roman" w:hAnsi="Times New Roman" w:cs="Times New Roman"/>
        </w:rPr>
        <w:t>. https://www.ccsse.org/</w:t>
      </w:r>
    </w:p>
    <w:p w14:paraId="0ACC535D"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College Promise. (n.d.). </w:t>
      </w:r>
      <w:r w:rsidRPr="002D49EB">
        <w:rPr>
          <w:rFonts w:ascii="Times New Roman" w:hAnsi="Times New Roman" w:cs="Times New Roman"/>
          <w:i/>
          <w:iCs/>
        </w:rPr>
        <w:t>My college promise tool</w:t>
      </w:r>
      <w:r w:rsidRPr="002D49EB">
        <w:rPr>
          <w:rFonts w:ascii="Times New Roman" w:hAnsi="Times New Roman" w:cs="Times New Roman"/>
        </w:rPr>
        <w:t>. https://www.mypromisetool.org/?source=college-promise-web</w:t>
      </w:r>
    </w:p>
    <w:p w14:paraId="5BA6D0C7"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Cornwell, C., Mustard, D. B., &amp; Sridhar, D. J. (2006). The enrollment effects of merit‐based financial aid: Evidence from Georgia’s HOPE program. </w:t>
      </w:r>
      <w:r w:rsidRPr="002D49EB">
        <w:rPr>
          <w:rFonts w:ascii="Times New Roman" w:hAnsi="Times New Roman" w:cs="Times New Roman"/>
          <w:i/>
          <w:iCs/>
        </w:rPr>
        <w:t>Journal of Labor Economics</w:t>
      </w:r>
      <w:r w:rsidRPr="002D49EB">
        <w:rPr>
          <w:rFonts w:ascii="Times New Roman" w:hAnsi="Times New Roman" w:cs="Times New Roman"/>
        </w:rPr>
        <w:t xml:space="preserve">, </w:t>
      </w:r>
      <w:r w:rsidRPr="002D49EB">
        <w:rPr>
          <w:rFonts w:ascii="Times New Roman" w:hAnsi="Times New Roman" w:cs="Times New Roman"/>
          <w:i/>
          <w:iCs/>
        </w:rPr>
        <w:t>24</w:t>
      </w:r>
      <w:r w:rsidRPr="002D49EB">
        <w:rPr>
          <w:rFonts w:ascii="Times New Roman" w:hAnsi="Times New Roman" w:cs="Times New Roman"/>
        </w:rPr>
        <w:t>(4), 761–786. https://doi.org/10.1086/506485</w:t>
      </w:r>
    </w:p>
    <w:p w14:paraId="29A452C3"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Croft, G. K. (2019). The US land-grant university system: An overview. CRS Report, 45897. https://www.everycrsreport.com/files/20190829_R45897_5efa0858fffb8907390aa992527916db88aa8d54.pdf.</w:t>
      </w:r>
    </w:p>
    <w:p w14:paraId="2007CEF8"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Cummings, K. M., Deane, K., McCall, B. P., &amp; DesJardins, S. L. (2022). Exploring race and income Heterogeneity in the effects of state merit aid loss among four-year </w:t>
      </w:r>
      <w:r w:rsidRPr="002D49EB">
        <w:rPr>
          <w:rFonts w:ascii="Times New Roman" w:hAnsi="Times New Roman" w:cs="Times New Roman"/>
        </w:rPr>
        <w:lastRenderedPageBreak/>
        <w:t xml:space="preserve">college entrants. </w:t>
      </w:r>
      <w:r w:rsidRPr="002D49EB">
        <w:rPr>
          <w:rFonts w:ascii="Times New Roman" w:hAnsi="Times New Roman" w:cs="Times New Roman"/>
          <w:i/>
          <w:iCs/>
        </w:rPr>
        <w:t>The Journal of Higher Education</w:t>
      </w:r>
      <w:r w:rsidRPr="002D49EB">
        <w:rPr>
          <w:rFonts w:ascii="Times New Roman" w:hAnsi="Times New Roman" w:cs="Times New Roman"/>
        </w:rPr>
        <w:t xml:space="preserve">, </w:t>
      </w:r>
      <w:r w:rsidRPr="002D49EB">
        <w:rPr>
          <w:rFonts w:ascii="Times New Roman" w:hAnsi="Times New Roman" w:cs="Times New Roman"/>
          <w:i/>
          <w:iCs/>
        </w:rPr>
        <w:t>93</w:t>
      </w:r>
      <w:r w:rsidRPr="002D49EB">
        <w:rPr>
          <w:rFonts w:ascii="Times New Roman" w:hAnsi="Times New Roman" w:cs="Times New Roman"/>
        </w:rPr>
        <w:t>(6), 873–900. https://doi.org/10.1080/00221546.2022.2042155</w:t>
      </w:r>
    </w:p>
    <w:p w14:paraId="669BC88C"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Daugherty, L., &amp; Gonzalez, G. (2016). </w:t>
      </w:r>
      <w:r w:rsidRPr="002D49EB">
        <w:rPr>
          <w:rFonts w:ascii="Times New Roman" w:hAnsi="Times New Roman" w:cs="Times New Roman"/>
          <w:i/>
          <w:iCs/>
        </w:rPr>
        <w:t>The impact of the New Haven Promise Program on college enrollment, choice, and persistence.</w:t>
      </w:r>
      <w:r w:rsidRPr="002D49EB">
        <w:rPr>
          <w:rFonts w:ascii="Times New Roman" w:hAnsi="Times New Roman" w:cs="Times New Roman"/>
        </w:rPr>
        <w:t xml:space="preserve"> RAND Corporation. https://doi.org/10.7249/WR1147</w:t>
      </w:r>
    </w:p>
    <w:p w14:paraId="01699581"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de Chaisemartin, C., &amp; D’Haultfœuille, X. (2020). Two-way fixed effects estimators with heterogenous treatment effects. </w:t>
      </w:r>
      <w:r w:rsidRPr="002D49EB">
        <w:rPr>
          <w:rFonts w:ascii="Times New Roman" w:hAnsi="Times New Roman" w:cs="Times New Roman"/>
          <w:i/>
          <w:iCs/>
        </w:rPr>
        <w:t>American Economic Review</w:t>
      </w:r>
      <w:r w:rsidRPr="002D49EB">
        <w:rPr>
          <w:rFonts w:ascii="Times New Roman" w:hAnsi="Times New Roman" w:cs="Times New Roman"/>
        </w:rPr>
        <w:t xml:space="preserve">, </w:t>
      </w:r>
      <w:r w:rsidRPr="002D49EB">
        <w:rPr>
          <w:rFonts w:ascii="Times New Roman" w:hAnsi="Times New Roman" w:cs="Times New Roman"/>
          <w:i/>
          <w:iCs/>
        </w:rPr>
        <w:t>110</w:t>
      </w:r>
      <w:r w:rsidRPr="002D49EB">
        <w:rPr>
          <w:rFonts w:ascii="Times New Roman" w:hAnsi="Times New Roman" w:cs="Times New Roman"/>
        </w:rPr>
        <w:t>(9), 2964–2996. https://doi.org/10.1257/aer.20181169</w:t>
      </w:r>
    </w:p>
    <w:p w14:paraId="4A9925E4"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de Chaisemartin, C., &amp; D’Haultfœuille, X. (2023). Two-way fixed effects and differences-in-differences with heterogeneous treatment effects: A survey. </w:t>
      </w:r>
      <w:r w:rsidRPr="002D49EB">
        <w:rPr>
          <w:rFonts w:ascii="Times New Roman" w:hAnsi="Times New Roman" w:cs="Times New Roman"/>
          <w:i/>
          <w:iCs/>
        </w:rPr>
        <w:t>The Econometrics Journal</w:t>
      </w:r>
      <w:r w:rsidRPr="002D49EB">
        <w:rPr>
          <w:rFonts w:ascii="Times New Roman" w:hAnsi="Times New Roman" w:cs="Times New Roman"/>
        </w:rPr>
        <w:t xml:space="preserve">, </w:t>
      </w:r>
      <w:r w:rsidRPr="002D49EB">
        <w:rPr>
          <w:rFonts w:ascii="Times New Roman" w:hAnsi="Times New Roman" w:cs="Times New Roman"/>
          <w:i/>
          <w:iCs/>
        </w:rPr>
        <w:t>26</w:t>
      </w:r>
      <w:r w:rsidRPr="002D49EB">
        <w:rPr>
          <w:rFonts w:ascii="Times New Roman" w:hAnsi="Times New Roman" w:cs="Times New Roman"/>
        </w:rPr>
        <w:t>(3), C1–C30. https://doi.org/10.1093/ectj/utac017</w:t>
      </w:r>
    </w:p>
    <w:p w14:paraId="704F863A"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Denning, J. T., Marx, B. M., &amp; Turner, L. J. (2019). ProPelled: The effects of grants on graduation, earnings, and welfare. </w:t>
      </w:r>
      <w:r w:rsidRPr="002D49EB">
        <w:rPr>
          <w:rFonts w:ascii="Times New Roman" w:hAnsi="Times New Roman" w:cs="Times New Roman"/>
          <w:i/>
          <w:iCs/>
        </w:rPr>
        <w:t>American Economic Journal: Applied Economics</w:t>
      </w:r>
      <w:r w:rsidRPr="002D49EB">
        <w:rPr>
          <w:rFonts w:ascii="Times New Roman" w:hAnsi="Times New Roman" w:cs="Times New Roman"/>
        </w:rPr>
        <w:t xml:space="preserve">, </w:t>
      </w:r>
      <w:r w:rsidRPr="002D49EB">
        <w:rPr>
          <w:rFonts w:ascii="Times New Roman" w:hAnsi="Times New Roman" w:cs="Times New Roman"/>
          <w:i/>
          <w:iCs/>
        </w:rPr>
        <w:t>11</w:t>
      </w:r>
      <w:r w:rsidRPr="002D49EB">
        <w:rPr>
          <w:rFonts w:ascii="Times New Roman" w:hAnsi="Times New Roman" w:cs="Times New Roman"/>
        </w:rPr>
        <w:t>(3), 193–224. https://doi.org/10.1257/app.20180100</w:t>
      </w:r>
    </w:p>
    <w:p w14:paraId="35DD41AD"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Di Maggio, M., Kalda, A., &amp; Yao, V. (2020). </w:t>
      </w:r>
      <w:r w:rsidRPr="002D49EB">
        <w:rPr>
          <w:rFonts w:ascii="Times New Roman" w:hAnsi="Times New Roman" w:cs="Times New Roman"/>
          <w:i/>
          <w:iCs/>
        </w:rPr>
        <w:t>Second chance: Life without student debt</w:t>
      </w:r>
      <w:r w:rsidRPr="002D49EB">
        <w:rPr>
          <w:rFonts w:ascii="Times New Roman" w:hAnsi="Times New Roman" w:cs="Times New Roman"/>
        </w:rPr>
        <w:t xml:space="preserve"> (No. 25810). National Bureau of Economic Research. https://doi.org/10.3386/w25810</w:t>
      </w:r>
    </w:p>
    <w:p w14:paraId="042D6530"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Dimitrovová, K., Perelman, J., &amp; Serrano-Alarcón, M. (2020). Effect of a national primary care reform on avoidable hospital admissions (2000-2015): A difference-in-difference analysis. </w:t>
      </w:r>
      <w:r w:rsidRPr="002D49EB">
        <w:rPr>
          <w:rFonts w:ascii="Times New Roman" w:hAnsi="Times New Roman" w:cs="Times New Roman"/>
          <w:i/>
          <w:iCs/>
        </w:rPr>
        <w:t>Social Science &amp; Medicine (1982)</w:t>
      </w:r>
      <w:r w:rsidRPr="002D49EB">
        <w:rPr>
          <w:rFonts w:ascii="Times New Roman" w:hAnsi="Times New Roman" w:cs="Times New Roman"/>
        </w:rPr>
        <w:t xml:space="preserve">, </w:t>
      </w:r>
      <w:r w:rsidRPr="002D49EB">
        <w:rPr>
          <w:rFonts w:ascii="Times New Roman" w:hAnsi="Times New Roman" w:cs="Times New Roman"/>
          <w:i/>
          <w:iCs/>
        </w:rPr>
        <w:t>252</w:t>
      </w:r>
      <w:r w:rsidRPr="002D49EB">
        <w:rPr>
          <w:rFonts w:ascii="Times New Roman" w:hAnsi="Times New Roman" w:cs="Times New Roman"/>
        </w:rPr>
        <w:t>, 112908. https://doi.org/10.1016/j.socscimed.2020.112908</w:t>
      </w:r>
    </w:p>
    <w:p w14:paraId="5C8FA605"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Dougherty, K. (2004). </w:t>
      </w:r>
      <w:r w:rsidRPr="002D49EB">
        <w:rPr>
          <w:rFonts w:ascii="Times New Roman" w:hAnsi="Times New Roman" w:cs="Times New Roman"/>
          <w:i/>
          <w:iCs/>
        </w:rPr>
        <w:t>Financing higher education in the United States: Structure, trends, and issues.</w:t>
      </w:r>
      <w:r w:rsidRPr="002D49EB">
        <w:rPr>
          <w:rFonts w:ascii="Times New Roman" w:hAnsi="Times New Roman" w:cs="Times New Roman"/>
        </w:rPr>
        <w:t xml:space="preserve"> Address to the Institute for Economics of Education., Teachers College, Columbia University.</w:t>
      </w:r>
    </w:p>
    <w:p w14:paraId="0DE107E1" w14:textId="77777777" w:rsidR="00D10CA7" w:rsidRPr="002D49EB" w:rsidRDefault="00D10CA7" w:rsidP="00334A8E">
      <w:pPr>
        <w:spacing w:line="480" w:lineRule="auto"/>
        <w:ind w:left="720" w:hanging="720"/>
        <w:rPr>
          <w:rStyle w:val="Hyperlink"/>
          <w:rFonts w:ascii="Times New Roman" w:hAnsi="Times New Roman" w:cs="Times New Roman"/>
        </w:rPr>
      </w:pPr>
      <w:r w:rsidRPr="002D49EB">
        <w:rPr>
          <w:rFonts w:ascii="Times New Roman" w:hAnsi="Times New Roman" w:cs="Times New Roman"/>
        </w:rPr>
        <w:t xml:space="preserve">Dynarski, S. (2000). Hope for whom? Financial aid for the middle class and Its impact on college attendance. </w:t>
      </w:r>
      <w:r w:rsidRPr="002D49EB">
        <w:rPr>
          <w:rFonts w:ascii="Times New Roman" w:hAnsi="Times New Roman" w:cs="Times New Roman"/>
          <w:i/>
          <w:iCs/>
        </w:rPr>
        <w:t>National Tax Journal</w:t>
      </w:r>
      <w:r w:rsidRPr="002D49EB">
        <w:rPr>
          <w:rFonts w:ascii="Times New Roman" w:hAnsi="Times New Roman" w:cs="Times New Roman"/>
        </w:rPr>
        <w:t xml:space="preserve">, </w:t>
      </w:r>
      <w:r w:rsidRPr="002D49EB">
        <w:rPr>
          <w:rFonts w:ascii="Times New Roman" w:hAnsi="Times New Roman" w:cs="Times New Roman"/>
          <w:i/>
          <w:iCs/>
        </w:rPr>
        <w:t>53</w:t>
      </w:r>
      <w:r w:rsidRPr="002D49EB">
        <w:rPr>
          <w:rFonts w:ascii="Times New Roman" w:hAnsi="Times New Roman" w:cs="Times New Roman"/>
        </w:rPr>
        <w:t>(3.2), 629–661. https://doi.org/10.17310/ntj.2000.3S.02</w:t>
      </w:r>
    </w:p>
    <w:p w14:paraId="0CF7F219"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Dynarski, S. (2003). Does aid matter?: Measuring the effect of student aid on college attendance and completion. The American Economic Review, 93(1), 279–288. https://doi.org/10.1257/000282803321455287</w:t>
      </w:r>
    </w:p>
    <w:p w14:paraId="1F0F54C4"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Dynarski, S. (2004). The new merit aid. In C. M. Hoxby (Ed.), </w:t>
      </w:r>
      <w:r w:rsidRPr="002D49EB">
        <w:rPr>
          <w:rFonts w:ascii="Times New Roman" w:hAnsi="Times New Roman" w:cs="Times New Roman"/>
          <w:i/>
          <w:iCs/>
        </w:rPr>
        <w:t>College choices: The economics of where to go, when to go, and how to pay for It</w:t>
      </w:r>
      <w:r w:rsidRPr="002D49EB">
        <w:rPr>
          <w:rFonts w:ascii="Times New Roman" w:hAnsi="Times New Roman" w:cs="Times New Roman"/>
        </w:rPr>
        <w:t xml:space="preserve"> (pp. 63–100). University of Chicago Press. https://www.nber.org/books-and-chapters/college-choices-economics-where-go-when-go-and-how-pay-it/new-merit-aid</w:t>
      </w:r>
    </w:p>
    <w:p w14:paraId="2A33B913"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Dynarski, S., Libassi, C. J., Michelmore, K., &amp; Owen, S. (2021). Closing the gap: The effect of reducing complexity and uncertainty in college pricing on the choices of low-income students. </w:t>
      </w:r>
      <w:r w:rsidRPr="002D49EB">
        <w:rPr>
          <w:rFonts w:ascii="Times New Roman" w:hAnsi="Times New Roman" w:cs="Times New Roman"/>
          <w:i/>
          <w:iCs/>
        </w:rPr>
        <w:t>American Economic Review</w:t>
      </w:r>
      <w:r w:rsidRPr="002D49EB">
        <w:rPr>
          <w:rFonts w:ascii="Times New Roman" w:hAnsi="Times New Roman" w:cs="Times New Roman"/>
        </w:rPr>
        <w:t xml:space="preserve">, </w:t>
      </w:r>
      <w:r w:rsidRPr="002D49EB">
        <w:rPr>
          <w:rFonts w:ascii="Times New Roman" w:hAnsi="Times New Roman" w:cs="Times New Roman"/>
          <w:i/>
          <w:iCs/>
        </w:rPr>
        <w:t>111</w:t>
      </w:r>
      <w:r w:rsidRPr="002D49EB">
        <w:rPr>
          <w:rFonts w:ascii="Times New Roman" w:hAnsi="Times New Roman" w:cs="Times New Roman"/>
        </w:rPr>
        <w:t>(6), 1721–1756. https://doi.org/10.1257/aer.20200451</w:t>
      </w:r>
    </w:p>
    <w:p w14:paraId="1D4FC786"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Dynarski, S. M. (2003). Does aid matter? Measuring the effect of student aid on college attendance and completion. </w:t>
      </w:r>
      <w:r w:rsidRPr="002D49EB">
        <w:rPr>
          <w:rFonts w:ascii="Times New Roman" w:hAnsi="Times New Roman" w:cs="Times New Roman"/>
          <w:i/>
          <w:iCs/>
        </w:rPr>
        <w:t>The American Economic Review</w:t>
      </w:r>
      <w:r w:rsidRPr="002D49EB">
        <w:rPr>
          <w:rFonts w:ascii="Times New Roman" w:hAnsi="Times New Roman" w:cs="Times New Roman"/>
        </w:rPr>
        <w:t xml:space="preserve">, </w:t>
      </w:r>
      <w:r w:rsidRPr="002D49EB">
        <w:rPr>
          <w:rFonts w:ascii="Times New Roman" w:hAnsi="Times New Roman" w:cs="Times New Roman"/>
          <w:i/>
          <w:iCs/>
        </w:rPr>
        <w:t>93</w:t>
      </w:r>
      <w:r w:rsidRPr="002D49EB">
        <w:rPr>
          <w:rFonts w:ascii="Times New Roman" w:hAnsi="Times New Roman" w:cs="Times New Roman"/>
        </w:rPr>
        <w:t>(1), 279–288.</w:t>
      </w:r>
    </w:p>
    <w:p w14:paraId="18A62D4F"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Dynarski, S., Page, L., &amp; Scott-Clayton, J. (2023). College costs, financial aid, and student decisions. In E. Hanushek, S. Machin, &amp; L. Woessmann (Eds.), </w:t>
      </w:r>
      <w:r w:rsidRPr="002D49EB">
        <w:rPr>
          <w:rFonts w:ascii="Times New Roman" w:hAnsi="Times New Roman" w:cs="Times New Roman"/>
          <w:i/>
          <w:iCs/>
        </w:rPr>
        <w:lastRenderedPageBreak/>
        <w:t>Handbook of the Economics of Education</w:t>
      </w:r>
      <w:r w:rsidRPr="002D49EB">
        <w:rPr>
          <w:rFonts w:ascii="Times New Roman" w:hAnsi="Times New Roman" w:cs="Times New Roman"/>
        </w:rPr>
        <w:t xml:space="preserve"> (Vol. 7, pp. 227–285). Elsevier. https://doi.org/10.1016/bs.hesedu.2023.03.006</w:t>
      </w:r>
    </w:p>
    <w:p w14:paraId="3A24EA12" w14:textId="77777777" w:rsidR="00D10CA7" w:rsidRPr="00652154" w:rsidRDefault="00D10CA7" w:rsidP="00334A8E">
      <w:pPr>
        <w:spacing w:line="480" w:lineRule="auto"/>
        <w:ind w:left="720" w:hanging="720"/>
        <w:rPr>
          <w:rFonts w:ascii="Times New Roman" w:hAnsi="Times New Roman" w:cs="Times New Roman"/>
        </w:rPr>
      </w:pPr>
      <w:r w:rsidRPr="00652154">
        <w:rPr>
          <w:rFonts w:ascii="Times New Roman" w:hAnsi="Times New Roman" w:cs="Times New Roman"/>
        </w:rPr>
        <w:t>Economic Opportunity Act, Pub. L. No. 88-452. 78 Stat. 508 (https://www.govinfo.gov/content/pkg/STATUTE-78/pdf/STATUTE-78-Pg508.pdf 1964).</w:t>
      </w:r>
    </w:p>
    <w:p w14:paraId="35347B1F"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Eng, A., &amp; Matsudaira, J. (2021). Pell grants and student success: Evidence from the universe of federal aid recipients. </w:t>
      </w:r>
      <w:r w:rsidRPr="002D49EB">
        <w:rPr>
          <w:rFonts w:ascii="Times New Roman" w:hAnsi="Times New Roman" w:cs="Times New Roman"/>
          <w:i/>
          <w:iCs/>
        </w:rPr>
        <w:t>Journal of Labor Economics</w:t>
      </w:r>
      <w:r w:rsidRPr="002D49EB">
        <w:rPr>
          <w:rFonts w:ascii="Times New Roman" w:hAnsi="Times New Roman" w:cs="Times New Roman"/>
        </w:rPr>
        <w:t xml:space="preserve">, </w:t>
      </w:r>
      <w:r w:rsidRPr="002D49EB">
        <w:rPr>
          <w:rFonts w:ascii="Times New Roman" w:hAnsi="Times New Roman" w:cs="Times New Roman"/>
          <w:i/>
          <w:iCs/>
        </w:rPr>
        <w:t>39</w:t>
      </w:r>
      <w:r w:rsidRPr="002D49EB">
        <w:rPr>
          <w:rFonts w:ascii="Times New Roman" w:hAnsi="Times New Roman" w:cs="Times New Roman"/>
        </w:rPr>
        <w:t>(S2), S413–S454. https://doi.org/10.1086/712556</w:t>
      </w:r>
    </w:p>
    <w:p w14:paraId="39643226"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Evans, B. J., &amp; Nguyen, T. D. (2019). Monetary substitution of loans, earnings, and need-based aid in postsecondary education: The impact of Pell Grant eligibility. </w:t>
      </w:r>
      <w:r w:rsidRPr="002D49EB">
        <w:rPr>
          <w:rFonts w:ascii="Times New Roman" w:hAnsi="Times New Roman" w:cs="Times New Roman"/>
          <w:i/>
          <w:iCs/>
        </w:rPr>
        <w:t>Economics of Education Review</w:t>
      </w:r>
      <w:r w:rsidRPr="002D49EB">
        <w:rPr>
          <w:rFonts w:ascii="Times New Roman" w:hAnsi="Times New Roman" w:cs="Times New Roman"/>
        </w:rPr>
        <w:t xml:space="preserve">, </w:t>
      </w:r>
      <w:r w:rsidRPr="002D49EB">
        <w:rPr>
          <w:rFonts w:ascii="Times New Roman" w:hAnsi="Times New Roman" w:cs="Times New Roman"/>
          <w:i/>
          <w:iCs/>
        </w:rPr>
        <w:t>70</w:t>
      </w:r>
      <w:r w:rsidRPr="002D49EB">
        <w:rPr>
          <w:rFonts w:ascii="Times New Roman" w:hAnsi="Times New Roman" w:cs="Times New Roman"/>
        </w:rPr>
        <w:t>, 1–19. https://doi.org/10.1016/j.econedurev.2019.02.004</w:t>
      </w:r>
    </w:p>
    <w:p w14:paraId="53E4A622"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Evans, W. N., Kearney, M. S., Perry, B., &amp; Sullivan, J. X. (2020). Increasing community college completion rates among low-income students: Evidence from a randomized controlled trial evaluation of a case-management intervention. </w:t>
      </w:r>
      <w:r w:rsidRPr="002D49EB">
        <w:rPr>
          <w:rFonts w:ascii="Times New Roman" w:hAnsi="Times New Roman" w:cs="Times New Roman"/>
          <w:i/>
          <w:iCs/>
        </w:rPr>
        <w:t>Journal of Policy Analysis and Management</w:t>
      </w:r>
      <w:r w:rsidRPr="002D49EB">
        <w:rPr>
          <w:rFonts w:ascii="Times New Roman" w:hAnsi="Times New Roman" w:cs="Times New Roman"/>
        </w:rPr>
        <w:t xml:space="preserve">, </w:t>
      </w:r>
      <w:r w:rsidRPr="002D49EB">
        <w:rPr>
          <w:rFonts w:ascii="Times New Roman" w:hAnsi="Times New Roman" w:cs="Times New Roman"/>
          <w:i/>
          <w:iCs/>
        </w:rPr>
        <w:t>39</w:t>
      </w:r>
      <w:r w:rsidRPr="002D49EB">
        <w:rPr>
          <w:rFonts w:ascii="Times New Roman" w:hAnsi="Times New Roman" w:cs="Times New Roman"/>
        </w:rPr>
        <w:t>(4), 930–965. https://doi.org/10.1002/pam.22256</w:t>
      </w:r>
    </w:p>
    <w:p w14:paraId="05C64763"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Ezeugo, E., Klein, C., &amp; Whitfield, C. (2021). </w:t>
      </w:r>
      <w:r w:rsidRPr="002D49EB">
        <w:rPr>
          <w:rFonts w:ascii="Times New Roman" w:hAnsi="Times New Roman" w:cs="Times New Roman"/>
          <w:i/>
          <w:iCs/>
        </w:rPr>
        <w:t>Privacy and security in state postsecondary data systems: Strong foundations 2020</w:t>
      </w:r>
      <w:r w:rsidRPr="002D49EB">
        <w:rPr>
          <w:rFonts w:ascii="Times New Roman" w:hAnsi="Times New Roman" w:cs="Times New Roman"/>
        </w:rPr>
        <w:t>. State Higher Education Executive Officers Association. https://postsecondarydata.sheeo.org/resource/privacy-and-security-in-state-postsecondary-data-systems-strong-foundations-2020/</w:t>
      </w:r>
    </w:p>
    <w:p w14:paraId="22AD5D0F"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Federal Reserve Bank of Boston. (2024). </w:t>
      </w:r>
      <w:r w:rsidRPr="002D49EB">
        <w:rPr>
          <w:rFonts w:ascii="Times New Roman" w:hAnsi="Times New Roman" w:cs="Times New Roman"/>
          <w:i/>
          <w:iCs/>
        </w:rPr>
        <w:t>Do loans increase college access and choice? Examining the introduction of universal student loans</w:t>
      </w:r>
      <w:r w:rsidRPr="002D49EB">
        <w:rPr>
          <w:rFonts w:ascii="Times New Roman" w:hAnsi="Times New Roman" w:cs="Times New Roman"/>
        </w:rPr>
        <w:t>. Federal Reserve Bank of Boston. https://www.bostonfed.org/publications/new-england-public-policy-center-working-paper/2007/do-loans-increase-college-access-and-choice-examining-the-introduction-of-universal-student-loans.aspx</w:t>
      </w:r>
    </w:p>
    <w:p w14:paraId="6FD7D5D9"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Field, K. (2024, March 21). Race to the finish: The rise of faster bachelor’s degrees raises the question: What is college for? </w:t>
      </w:r>
      <w:r w:rsidRPr="002D49EB">
        <w:rPr>
          <w:rFonts w:ascii="Times New Roman" w:hAnsi="Times New Roman" w:cs="Times New Roman"/>
          <w:i/>
          <w:iCs/>
        </w:rPr>
        <w:t>The Chronicle of Higher Education</w:t>
      </w:r>
      <w:r w:rsidRPr="002D49EB">
        <w:rPr>
          <w:rFonts w:ascii="Times New Roman" w:hAnsi="Times New Roman" w:cs="Times New Roman"/>
        </w:rPr>
        <w:t>. https://www.chronicle.com/article/race-to-the-finish?sra=true</w:t>
      </w:r>
    </w:p>
    <w:p w14:paraId="4633D806"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Fry, R., Braga, D., &amp; Parker, K. (2024, May 23). Is college worth It? </w:t>
      </w:r>
      <w:r w:rsidRPr="002D49EB">
        <w:rPr>
          <w:rFonts w:ascii="Times New Roman" w:hAnsi="Times New Roman" w:cs="Times New Roman"/>
          <w:i/>
          <w:iCs/>
        </w:rPr>
        <w:t>Pew Research Center</w:t>
      </w:r>
      <w:r w:rsidRPr="002D49EB">
        <w:rPr>
          <w:rFonts w:ascii="Times New Roman" w:hAnsi="Times New Roman" w:cs="Times New Roman"/>
        </w:rPr>
        <w:t>. https://www.pewresearch.org/social-trends/2024/05/23/is-college-worth-it-2/</w:t>
      </w:r>
    </w:p>
    <w:p w14:paraId="4DF33120"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Fuller, M. (2014). A history of financial aid to students. </w:t>
      </w:r>
      <w:r w:rsidRPr="002D49EB">
        <w:rPr>
          <w:rFonts w:ascii="Times New Roman" w:hAnsi="Times New Roman" w:cs="Times New Roman"/>
          <w:i/>
          <w:iCs/>
        </w:rPr>
        <w:t>Journal of Student Financial Aid</w:t>
      </w:r>
      <w:r w:rsidRPr="002D49EB">
        <w:rPr>
          <w:rFonts w:ascii="Times New Roman" w:hAnsi="Times New Roman" w:cs="Times New Roman"/>
        </w:rPr>
        <w:t xml:space="preserve">, </w:t>
      </w:r>
      <w:r w:rsidRPr="002D49EB">
        <w:rPr>
          <w:rFonts w:ascii="Times New Roman" w:hAnsi="Times New Roman" w:cs="Times New Roman"/>
          <w:i/>
          <w:iCs/>
        </w:rPr>
        <w:t>44</w:t>
      </w:r>
      <w:r w:rsidRPr="002D49EB">
        <w:rPr>
          <w:rFonts w:ascii="Times New Roman" w:hAnsi="Times New Roman" w:cs="Times New Roman"/>
        </w:rPr>
        <w:t>(1). https://doi.org/10.55504/0884-9153.1078</w:t>
      </w:r>
    </w:p>
    <w:p w14:paraId="05B07564"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Gándara, D., &amp; Li, A. (2020). Promise for whom? “Free-college” Programs and enrollments by race and gender classifications at public, 2-year colleges. </w:t>
      </w:r>
      <w:r w:rsidRPr="002D49EB">
        <w:rPr>
          <w:rFonts w:ascii="Times New Roman" w:hAnsi="Times New Roman" w:cs="Times New Roman"/>
          <w:i/>
          <w:iCs/>
        </w:rPr>
        <w:t>Educational Evaluation and Policy Analysis</w:t>
      </w:r>
      <w:r w:rsidRPr="002D49EB">
        <w:rPr>
          <w:rFonts w:ascii="Times New Roman" w:hAnsi="Times New Roman" w:cs="Times New Roman"/>
        </w:rPr>
        <w:t xml:space="preserve">, </w:t>
      </w:r>
      <w:r w:rsidRPr="002D49EB">
        <w:rPr>
          <w:rFonts w:ascii="Times New Roman" w:hAnsi="Times New Roman" w:cs="Times New Roman"/>
          <w:i/>
          <w:iCs/>
        </w:rPr>
        <w:t>42</w:t>
      </w:r>
      <w:r w:rsidRPr="002D49EB">
        <w:rPr>
          <w:rFonts w:ascii="Times New Roman" w:hAnsi="Times New Roman" w:cs="Times New Roman"/>
        </w:rPr>
        <w:t>(4), 603–627. https://doi.org/10.3102/0162373720962472</w:t>
      </w:r>
    </w:p>
    <w:p w14:paraId="5D942BDB"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Gershenfeld, S., Zhan, M., &amp; Hood, D. W. (2019). The impact of a promise: A loan replacement grant, low-income students, and college graduation. </w:t>
      </w:r>
      <w:r w:rsidRPr="002D49EB">
        <w:rPr>
          <w:rFonts w:ascii="Times New Roman" w:hAnsi="Times New Roman" w:cs="Times New Roman"/>
          <w:i/>
          <w:iCs/>
        </w:rPr>
        <w:t>The Review of Higher Education</w:t>
      </w:r>
      <w:r w:rsidRPr="002D49EB">
        <w:rPr>
          <w:rFonts w:ascii="Times New Roman" w:hAnsi="Times New Roman" w:cs="Times New Roman"/>
        </w:rPr>
        <w:t xml:space="preserve">, </w:t>
      </w:r>
      <w:r w:rsidRPr="002D49EB">
        <w:rPr>
          <w:rFonts w:ascii="Times New Roman" w:hAnsi="Times New Roman" w:cs="Times New Roman"/>
          <w:i/>
          <w:iCs/>
        </w:rPr>
        <w:t>42</w:t>
      </w:r>
      <w:r w:rsidRPr="002D49EB">
        <w:rPr>
          <w:rFonts w:ascii="Times New Roman" w:hAnsi="Times New Roman" w:cs="Times New Roman"/>
        </w:rPr>
        <w:t>(3), 1073–1100.</w:t>
      </w:r>
    </w:p>
    <w:p w14:paraId="1863690C"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Gillen, A. (2012). </w:t>
      </w:r>
      <w:r w:rsidRPr="002D49EB">
        <w:rPr>
          <w:rFonts w:ascii="Times New Roman" w:hAnsi="Times New Roman" w:cs="Times New Roman"/>
          <w:i/>
          <w:iCs/>
        </w:rPr>
        <w:t>Introducing Bennett Hypothesis 2.0</w:t>
      </w:r>
      <w:r w:rsidRPr="002D49EB">
        <w:rPr>
          <w:rFonts w:ascii="Times New Roman" w:hAnsi="Times New Roman" w:cs="Times New Roman"/>
        </w:rPr>
        <w:t>. Center for College Affordability and Productivity. https://files.eric.ed.gov/fulltext/ED536151.pdf</w:t>
      </w:r>
    </w:p>
    <w:p w14:paraId="38C1A7D5"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Goldin, C., &amp; Katz, L. F. (1999). The shaping of higher education: The formative years in the United States, 1890 to 1940. </w:t>
      </w:r>
      <w:r w:rsidRPr="002D49EB">
        <w:rPr>
          <w:rFonts w:ascii="Times New Roman" w:hAnsi="Times New Roman" w:cs="Times New Roman"/>
          <w:i/>
          <w:iCs/>
        </w:rPr>
        <w:t>Journal of Economic Perspectives</w:t>
      </w:r>
      <w:r w:rsidRPr="002D49EB">
        <w:rPr>
          <w:rFonts w:ascii="Times New Roman" w:hAnsi="Times New Roman" w:cs="Times New Roman"/>
        </w:rPr>
        <w:t xml:space="preserve">, </w:t>
      </w:r>
      <w:r w:rsidRPr="002D49EB">
        <w:rPr>
          <w:rFonts w:ascii="Times New Roman" w:hAnsi="Times New Roman" w:cs="Times New Roman"/>
          <w:i/>
          <w:iCs/>
        </w:rPr>
        <w:t>13</w:t>
      </w:r>
      <w:r w:rsidRPr="002D49EB">
        <w:rPr>
          <w:rFonts w:ascii="Times New Roman" w:hAnsi="Times New Roman" w:cs="Times New Roman"/>
        </w:rPr>
        <w:t>(1), 37–62. https://doi.org/10.1257/jep.13.1.37</w:t>
      </w:r>
    </w:p>
    <w:p w14:paraId="7850723D"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Goldrick-Rab, S., Kelchen, R., &amp; Harris, D. (2016). Reducing income inequality in educational attainment: Experimental evidence on the impact of financial aid on college completion. </w:t>
      </w:r>
      <w:r w:rsidRPr="002D49EB">
        <w:rPr>
          <w:rFonts w:ascii="Times New Roman" w:hAnsi="Times New Roman" w:cs="Times New Roman"/>
          <w:i/>
          <w:iCs/>
        </w:rPr>
        <w:t>American Journal of Sociology</w:t>
      </w:r>
      <w:r w:rsidRPr="002D49EB">
        <w:rPr>
          <w:rFonts w:ascii="Times New Roman" w:hAnsi="Times New Roman" w:cs="Times New Roman"/>
        </w:rPr>
        <w:t xml:space="preserve">, </w:t>
      </w:r>
      <w:r w:rsidRPr="002D49EB">
        <w:rPr>
          <w:rFonts w:ascii="Times New Roman" w:hAnsi="Times New Roman" w:cs="Times New Roman"/>
          <w:i/>
          <w:iCs/>
        </w:rPr>
        <w:t>121</w:t>
      </w:r>
      <w:r w:rsidRPr="002D49EB">
        <w:rPr>
          <w:rFonts w:ascii="Times New Roman" w:hAnsi="Times New Roman" w:cs="Times New Roman"/>
        </w:rPr>
        <w:t>(6), 1762–1817.</w:t>
      </w:r>
    </w:p>
    <w:p w14:paraId="413B8286" w14:textId="77777777" w:rsidR="00D10CA7" w:rsidRPr="002D49EB"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Gonzalez, G. C., Bozick, R., Daugherty, L., Scherer, E., Singh, R., Suarez, M., &amp; Ryan, S. (2014). </w:t>
      </w:r>
      <w:r w:rsidRPr="002D49EB">
        <w:rPr>
          <w:rFonts w:ascii="Times New Roman" w:hAnsi="Times New Roman" w:cs="Times New Roman"/>
          <w:i/>
          <w:iCs/>
        </w:rPr>
        <w:t>Transforming an urban school system: Progress of New Haven school change and New Haven Promise education reforms (2010–2013)</w:t>
      </w:r>
      <w:r w:rsidRPr="002D49EB">
        <w:rPr>
          <w:rFonts w:ascii="Times New Roman" w:hAnsi="Times New Roman" w:cs="Times New Roman"/>
        </w:rPr>
        <w:t>. RAND Corporation. https://www.rand.org/pubs/research_reports/RR777.html</w:t>
      </w:r>
    </w:p>
    <w:p w14:paraId="230B2BF8" w14:textId="77777777" w:rsidR="00D10CA7" w:rsidRPr="002D49EB" w:rsidRDefault="00D10CA7" w:rsidP="008B6A8E">
      <w:pPr>
        <w:spacing w:line="480" w:lineRule="auto"/>
        <w:ind w:left="720" w:hanging="720"/>
        <w:rPr>
          <w:rFonts w:ascii="Times New Roman" w:hAnsi="Times New Roman" w:cs="Times New Roman"/>
        </w:rPr>
      </w:pPr>
      <w:r w:rsidRPr="002D49EB">
        <w:rPr>
          <w:rFonts w:ascii="Times New Roman" w:hAnsi="Times New Roman" w:cs="Times New Roman"/>
        </w:rPr>
        <w:t xml:space="preserve">Goodman-Bacon, A. (2021). Difference-in-differences with variation in treatment timing. </w:t>
      </w:r>
      <w:r w:rsidRPr="002D49EB">
        <w:rPr>
          <w:rFonts w:ascii="Times New Roman" w:hAnsi="Times New Roman" w:cs="Times New Roman"/>
          <w:i/>
          <w:iCs/>
        </w:rPr>
        <w:t>Journal of Econometrics</w:t>
      </w:r>
      <w:r w:rsidRPr="002D49EB">
        <w:rPr>
          <w:rFonts w:ascii="Times New Roman" w:hAnsi="Times New Roman" w:cs="Times New Roman"/>
        </w:rPr>
        <w:t xml:space="preserve">, </w:t>
      </w:r>
      <w:r w:rsidRPr="002D49EB">
        <w:rPr>
          <w:rFonts w:ascii="Times New Roman" w:hAnsi="Times New Roman" w:cs="Times New Roman"/>
          <w:i/>
          <w:iCs/>
        </w:rPr>
        <w:t>225</w:t>
      </w:r>
      <w:r w:rsidRPr="002D49EB">
        <w:rPr>
          <w:rFonts w:ascii="Times New Roman" w:hAnsi="Times New Roman" w:cs="Times New Roman"/>
        </w:rPr>
        <w:t>(2), 254–277. https://doi.org/10.1016/j.jeconom.2021.03.014</w:t>
      </w:r>
    </w:p>
    <w:p w14:paraId="7EA28209" w14:textId="77777777" w:rsidR="00D10CA7" w:rsidRPr="002D49EB" w:rsidRDefault="00D10CA7" w:rsidP="008B6A8E">
      <w:pPr>
        <w:spacing w:line="480" w:lineRule="auto"/>
        <w:ind w:left="720" w:hanging="720"/>
        <w:rPr>
          <w:rFonts w:ascii="Times New Roman" w:hAnsi="Times New Roman" w:cs="Times New Roman"/>
        </w:rPr>
      </w:pPr>
      <w:r w:rsidRPr="002D49EB">
        <w:rPr>
          <w:rFonts w:ascii="Times New Roman" w:hAnsi="Times New Roman" w:cs="Times New Roman"/>
        </w:rPr>
        <w:t xml:space="preserve">Gurantz, O. (2020). What does free community college buy? Early impacts from the Oregon Promise. </w:t>
      </w:r>
      <w:r w:rsidRPr="002D49EB">
        <w:rPr>
          <w:rFonts w:ascii="Times New Roman" w:hAnsi="Times New Roman" w:cs="Times New Roman"/>
          <w:i/>
          <w:iCs/>
        </w:rPr>
        <w:t>Journal of Policy Analysis and Management</w:t>
      </w:r>
      <w:r w:rsidRPr="002D49EB">
        <w:rPr>
          <w:rFonts w:ascii="Times New Roman" w:hAnsi="Times New Roman" w:cs="Times New Roman"/>
        </w:rPr>
        <w:t xml:space="preserve">, </w:t>
      </w:r>
      <w:r w:rsidRPr="002D49EB">
        <w:rPr>
          <w:rFonts w:ascii="Times New Roman" w:hAnsi="Times New Roman" w:cs="Times New Roman"/>
          <w:i/>
          <w:iCs/>
        </w:rPr>
        <w:t>39</w:t>
      </w:r>
      <w:r w:rsidRPr="002D49EB">
        <w:rPr>
          <w:rFonts w:ascii="Times New Roman" w:hAnsi="Times New Roman" w:cs="Times New Roman"/>
        </w:rPr>
        <w:t>(1), 11–35. https://doi.org/10.1002/pam.22157</w:t>
      </w:r>
    </w:p>
    <w:p w14:paraId="3B639545" w14:textId="77777777" w:rsidR="00D10CA7" w:rsidRPr="002D49EB" w:rsidRDefault="00D10CA7" w:rsidP="008B6A8E">
      <w:pPr>
        <w:spacing w:line="480" w:lineRule="auto"/>
        <w:ind w:left="720" w:hanging="720"/>
        <w:rPr>
          <w:rFonts w:ascii="Times New Roman" w:hAnsi="Times New Roman" w:cs="Times New Roman"/>
        </w:rPr>
      </w:pPr>
      <w:r w:rsidRPr="002D49EB">
        <w:rPr>
          <w:rFonts w:ascii="Times New Roman" w:hAnsi="Times New Roman" w:cs="Times New Roman"/>
        </w:rPr>
        <w:t xml:space="preserve">Handel, M. J. (2024). Labor shortages: What is the problem? </w:t>
      </w:r>
      <w:r w:rsidRPr="002D49EB">
        <w:rPr>
          <w:rFonts w:ascii="Times New Roman" w:hAnsi="Times New Roman" w:cs="Times New Roman"/>
          <w:i/>
          <w:iCs/>
        </w:rPr>
        <w:t>Intereconomics Review of European Economic Policy</w:t>
      </w:r>
      <w:r w:rsidRPr="002D49EB">
        <w:rPr>
          <w:rFonts w:ascii="Times New Roman" w:hAnsi="Times New Roman" w:cs="Times New Roman"/>
        </w:rPr>
        <w:t xml:space="preserve">, </w:t>
      </w:r>
      <w:r w:rsidRPr="002D49EB">
        <w:rPr>
          <w:rFonts w:ascii="Times New Roman" w:hAnsi="Times New Roman" w:cs="Times New Roman"/>
          <w:i/>
          <w:iCs/>
        </w:rPr>
        <w:t>59</w:t>
      </w:r>
      <w:r w:rsidRPr="002D49EB">
        <w:rPr>
          <w:rFonts w:ascii="Times New Roman" w:hAnsi="Times New Roman" w:cs="Times New Roman"/>
        </w:rPr>
        <w:t>(3), 136–142.</w:t>
      </w:r>
    </w:p>
    <w:p w14:paraId="76625799" w14:textId="77777777" w:rsidR="00D10CA7" w:rsidRPr="002D49EB" w:rsidRDefault="00D10CA7" w:rsidP="008B6A8E">
      <w:pPr>
        <w:spacing w:line="480" w:lineRule="auto"/>
        <w:ind w:left="720" w:hanging="720"/>
        <w:rPr>
          <w:rFonts w:ascii="Times New Roman" w:hAnsi="Times New Roman" w:cs="Times New Roman"/>
        </w:rPr>
      </w:pPr>
      <w:r w:rsidRPr="002D49EB">
        <w:rPr>
          <w:rFonts w:ascii="Times New Roman" w:hAnsi="Times New Roman" w:cs="Times New Roman"/>
        </w:rPr>
        <w:t xml:space="preserve">Hansen, W. L. (1983). Impact of student financial aid on access. </w:t>
      </w:r>
      <w:r w:rsidRPr="002D49EB">
        <w:rPr>
          <w:rFonts w:ascii="Times New Roman" w:hAnsi="Times New Roman" w:cs="Times New Roman"/>
          <w:i/>
          <w:iCs/>
        </w:rPr>
        <w:t>Proceedings of the Academy of Political Science</w:t>
      </w:r>
      <w:r w:rsidRPr="002D49EB">
        <w:rPr>
          <w:rFonts w:ascii="Times New Roman" w:hAnsi="Times New Roman" w:cs="Times New Roman"/>
        </w:rPr>
        <w:t xml:space="preserve">, </w:t>
      </w:r>
      <w:r w:rsidRPr="002D49EB">
        <w:rPr>
          <w:rFonts w:ascii="Times New Roman" w:hAnsi="Times New Roman" w:cs="Times New Roman"/>
          <w:i/>
          <w:iCs/>
        </w:rPr>
        <w:t>35</w:t>
      </w:r>
      <w:r w:rsidRPr="002D49EB">
        <w:rPr>
          <w:rFonts w:ascii="Times New Roman" w:hAnsi="Times New Roman" w:cs="Times New Roman"/>
        </w:rPr>
        <w:t>(2), 84–96. https://doi.org/10.2307/3700892</w:t>
      </w:r>
    </w:p>
    <w:p w14:paraId="35C77920" w14:textId="77777777" w:rsidR="00D10CA7" w:rsidRPr="002D49EB" w:rsidRDefault="00D10CA7" w:rsidP="008B6A8E">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Hanushek, E. A., Peterson, P. E., Talpey, L., &amp; Woessmann, L. (2019). </w:t>
      </w:r>
      <w:r w:rsidRPr="002D49EB">
        <w:rPr>
          <w:rFonts w:ascii="Times New Roman" w:hAnsi="Times New Roman" w:cs="Times New Roman"/>
          <w:i/>
          <w:iCs/>
        </w:rPr>
        <w:t>The unwavering ses achievement gap: Trends in U.S. Student Performance</w:t>
      </w:r>
      <w:r w:rsidRPr="002D49EB">
        <w:rPr>
          <w:rFonts w:ascii="Times New Roman" w:hAnsi="Times New Roman" w:cs="Times New Roman"/>
        </w:rPr>
        <w:t>. https://doi.org/10.2139/ssrn.3357905</w:t>
      </w:r>
    </w:p>
    <w:p w14:paraId="407E93B9" w14:textId="77777777" w:rsidR="00D10CA7" w:rsidRPr="002D49EB" w:rsidRDefault="00D10CA7" w:rsidP="008B6A8E">
      <w:pPr>
        <w:spacing w:line="480" w:lineRule="auto"/>
        <w:ind w:left="720" w:hanging="720"/>
        <w:rPr>
          <w:rFonts w:ascii="Times New Roman" w:hAnsi="Times New Roman" w:cs="Times New Roman"/>
        </w:rPr>
      </w:pPr>
      <w:r w:rsidRPr="002D49EB">
        <w:rPr>
          <w:rFonts w:ascii="Times New Roman" w:hAnsi="Times New Roman" w:cs="Times New Roman"/>
        </w:rPr>
        <w:t xml:space="preserve">Harrington, J. R., Munoz, J., Curs, B., &amp; Ehlert, M. (2016). Examining the impact of a highly targeted state administered merit aid program on brain drain: Evidence from a regression discontinuity analysis of Missouri’s Bright Flight program. </w:t>
      </w:r>
      <w:r w:rsidRPr="002D49EB">
        <w:rPr>
          <w:rFonts w:ascii="Times New Roman" w:hAnsi="Times New Roman" w:cs="Times New Roman"/>
          <w:i/>
          <w:iCs/>
        </w:rPr>
        <w:t>Research in Higher Education</w:t>
      </w:r>
      <w:r w:rsidRPr="002D49EB">
        <w:rPr>
          <w:rFonts w:ascii="Times New Roman" w:hAnsi="Times New Roman" w:cs="Times New Roman"/>
        </w:rPr>
        <w:t xml:space="preserve">, </w:t>
      </w:r>
      <w:r w:rsidRPr="002D49EB">
        <w:rPr>
          <w:rFonts w:ascii="Times New Roman" w:hAnsi="Times New Roman" w:cs="Times New Roman"/>
          <w:i/>
          <w:iCs/>
        </w:rPr>
        <w:t>57</w:t>
      </w:r>
      <w:r w:rsidRPr="002D49EB">
        <w:rPr>
          <w:rFonts w:ascii="Times New Roman" w:hAnsi="Times New Roman" w:cs="Times New Roman"/>
        </w:rPr>
        <w:t>, 423–447. https://doi.org/10.1007/s11162-015-9392-9</w:t>
      </w:r>
    </w:p>
    <w:p w14:paraId="52F5E48A" w14:textId="77777777" w:rsidR="00D10CA7" w:rsidRPr="002D49EB" w:rsidRDefault="00D10CA7" w:rsidP="008B6A8E">
      <w:pPr>
        <w:spacing w:line="480" w:lineRule="auto"/>
        <w:ind w:left="720" w:hanging="720"/>
        <w:rPr>
          <w:rFonts w:ascii="Times New Roman" w:hAnsi="Times New Roman" w:cs="Times New Roman"/>
        </w:rPr>
      </w:pPr>
      <w:r w:rsidRPr="002D49EB">
        <w:rPr>
          <w:rFonts w:ascii="Times New Roman" w:hAnsi="Times New Roman" w:cs="Times New Roman"/>
        </w:rPr>
        <w:t xml:space="preserve">Hearn, J. C. (2001). The paradox of growth in federal aid for college students, 1960–1990. In M. B. Paulsen &amp; J. C. Smart (Eds.), </w:t>
      </w:r>
      <w:r w:rsidRPr="002D49EB">
        <w:rPr>
          <w:rFonts w:ascii="Times New Roman" w:hAnsi="Times New Roman" w:cs="Times New Roman"/>
          <w:i/>
          <w:iCs/>
        </w:rPr>
        <w:t>The Finance of Higher Education: Theory, Research, Policy, and Practice</w:t>
      </w:r>
      <w:r w:rsidRPr="002D49EB">
        <w:rPr>
          <w:rFonts w:ascii="Times New Roman" w:hAnsi="Times New Roman" w:cs="Times New Roman"/>
        </w:rPr>
        <w:t xml:space="preserve"> (pp. 267–320). Algora Publishing.</w:t>
      </w:r>
    </w:p>
    <w:p w14:paraId="3E4D7526"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Heller, D. (2006). State support of higher education: Past, present, and future. In D. M. Priest &amp; E. P. S. John (Eds.), </w:t>
      </w:r>
      <w:r w:rsidRPr="002D49EB">
        <w:rPr>
          <w:rFonts w:ascii="Times New Roman" w:hAnsi="Times New Roman" w:cs="Times New Roman"/>
          <w:i/>
          <w:iCs/>
        </w:rPr>
        <w:t>Privatization and Public Universities</w:t>
      </w:r>
      <w:r w:rsidRPr="002D49EB">
        <w:rPr>
          <w:rFonts w:ascii="Times New Roman" w:hAnsi="Times New Roman" w:cs="Times New Roman"/>
        </w:rPr>
        <w:t xml:space="preserve"> (pp. 11–37). Indiana University Press.</w:t>
      </w:r>
    </w:p>
    <w:p w14:paraId="3C9405AD"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Heller, E. D. E., &amp; Marin, P. (2002). Who should we help? The negative social consequences of merit scholarships. Harvard University. https://files.eric.ed.gov/fulltext/ED468845.pdf</w:t>
      </w:r>
    </w:p>
    <w:p w14:paraId="15AA93A5"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Henry, G. T., Rubenstein, R., &amp; Bugler, D. T. (2004). Is hope enough? Impacts of receiving and losing merit-based financial aid. </w:t>
      </w:r>
      <w:r w:rsidRPr="002D49EB">
        <w:rPr>
          <w:rFonts w:ascii="Times New Roman" w:hAnsi="Times New Roman" w:cs="Times New Roman"/>
          <w:i/>
          <w:iCs/>
        </w:rPr>
        <w:t>Politics of Education Association</w:t>
      </w:r>
      <w:r w:rsidRPr="002D49EB">
        <w:rPr>
          <w:rFonts w:ascii="Times New Roman" w:hAnsi="Times New Roman" w:cs="Times New Roman"/>
        </w:rPr>
        <w:t xml:space="preserve">, </w:t>
      </w:r>
      <w:r w:rsidRPr="002D49EB">
        <w:rPr>
          <w:rFonts w:ascii="Times New Roman" w:hAnsi="Times New Roman" w:cs="Times New Roman"/>
          <w:i/>
          <w:iCs/>
        </w:rPr>
        <w:t>18</w:t>
      </w:r>
      <w:r w:rsidRPr="002D49EB">
        <w:rPr>
          <w:rFonts w:ascii="Times New Roman" w:hAnsi="Times New Roman" w:cs="Times New Roman"/>
        </w:rPr>
        <w:t>(5), 686–709. https://doi.org/doi.org/10.1177/0895904804269098</w:t>
      </w:r>
    </w:p>
    <w:p w14:paraId="4BEED398"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Hershbein, B. J., McMullen, I., Pittelko, B., &amp; Timmeney, B. F. (2021). </w:t>
      </w:r>
      <w:r w:rsidRPr="002D49EB">
        <w:rPr>
          <w:rFonts w:ascii="Times New Roman" w:hAnsi="Times New Roman" w:cs="Times New Roman"/>
          <w:i/>
          <w:iCs/>
        </w:rPr>
        <w:t>Beyond degrees: Longer term outcomes of the Kalamazoo Promise</w:t>
      </w:r>
      <w:r w:rsidRPr="002D49EB">
        <w:rPr>
          <w:rFonts w:ascii="Times New Roman" w:hAnsi="Times New Roman" w:cs="Times New Roman"/>
        </w:rPr>
        <w:t xml:space="preserve"> (No. Working Paper No. 21-350). W.E. Upjohn Institute. https://doi.org/10.17848/wp21-350</w:t>
      </w:r>
    </w:p>
    <w:p w14:paraId="24383FF8"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Higher Education Act, Pub. L. No. 89-329. 79 Stat. 1219. https://www.govinfo.gov/link/statute/79/1219 1965</w:t>
      </w:r>
    </w:p>
    <w:p w14:paraId="1CFAC717"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Higher Education Act, Pub. L. No. 92-318 Stat. 235 https://www.govinfo.gov/content/pkg/STATUTE-86/pdf/STATUTE-86-Pg235.pdf 1972</w:t>
      </w:r>
    </w:p>
    <w:p w14:paraId="63CA32F3" w14:textId="4D81616C" w:rsidR="00D10CA7"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Horn, L., Nevill, S., &amp; Griffith, J. (2006). </w:t>
      </w:r>
      <w:r w:rsidRPr="002D49EB">
        <w:rPr>
          <w:rFonts w:ascii="Times New Roman" w:hAnsi="Times New Roman" w:cs="Times New Roman"/>
          <w:i/>
          <w:iCs/>
        </w:rPr>
        <w:t>Profile of undergraduates in US postsecondary education institutions, 2003-04: With a special analysis of community college students. Statistical Analysis Report.</w:t>
      </w:r>
      <w:r w:rsidRPr="002D49EB">
        <w:rPr>
          <w:rFonts w:ascii="Times New Roman" w:hAnsi="Times New Roman" w:cs="Times New Roman"/>
        </w:rPr>
        <w:t xml:space="preserve"> (No. NCES 2006-184) [Dataset]. https://doi.org/10.1037/e492172006-011</w:t>
      </w:r>
    </w:p>
    <w:p w14:paraId="37BD85FF" w14:textId="3921C39F"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House, E., &amp; Dell, M. (2020). Keeping the promise: Early outcomes of Tennessee’s tuition-free college initiative. In L. W. Perna &amp; E. Smith (Eds.), </w:t>
      </w:r>
      <w:r w:rsidRPr="002D49EB">
        <w:rPr>
          <w:rFonts w:ascii="Times New Roman" w:hAnsi="Times New Roman" w:cs="Times New Roman"/>
          <w:i/>
          <w:iCs/>
        </w:rPr>
        <w:t xml:space="preserve">Improving research-based knowledge of college promise programs of </w:t>
      </w:r>
      <w:r w:rsidR="008977E9" w:rsidRPr="002D49EB">
        <w:rPr>
          <w:rFonts w:ascii="Times New Roman" w:hAnsi="Times New Roman" w:cs="Times New Roman"/>
          <w:i/>
          <w:iCs/>
        </w:rPr>
        <w:t>college</w:t>
      </w:r>
      <w:r w:rsidRPr="002D49EB">
        <w:rPr>
          <w:rFonts w:ascii="Times New Roman" w:hAnsi="Times New Roman" w:cs="Times New Roman"/>
          <w:i/>
          <w:iCs/>
        </w:rPr>
        <w:t xml:space="preserve"> promise programs</w:t>
      </w:r>
      <w:r w:rsidRPr="002D49EB">
        <w:rPr>
          <w:rFonts w:ascii="Times New Roman" w:hAnsi="Times New Roman" w:cs="Times New Roman"/>
        </w:rPr>
        <w:t xml:space="preserve"> (pp. 151–172). American Educational Research Association. https://doi.org/10.2307/j.ctvxw3phv</w:t>
      </w:r>
    </w:p>
    <w:p w14:paraId="7CCA5017"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Jamieson, C., Brixey, E., Pingel, S., &amp; Mann, S. (2021, September 20). </w:t>
      </w:r>
      <w:r w:rsidRPr="002D49EB">
        <w:rPr>
          <w:rFonts w:ascii="Times New Roman" w:hAnsi="Times New Roman" w:cs="Times New Roman"/>
          <w:i/>
          <w:iCs/>
        </w:rPr>
        <w:t>50-State comparison: need- and merit-based financial aid</w:t>
      </w:r>
      <w:r w:rsidRPr="002D49EB">
        <w:rPr>
          <w:rFonts w:ascii="Times New Roman" w:hAnsi="Times New Roman" w:cs="Times New Roman"/>
        </w:rPr>
        <w:t>. Education Commission of the States. https://www.ecs.org/50-state-comparison-need-and-merit-based-financial-aid/</w:t>
      </w:r>
    </w:p>
    <w:p w14:paraId="786F74FE" w14:textId="469FCAD9"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Jury, M., Smeding, A., Stephens, N. M., Nelson, J. E., Aelenei, C., &amp; Darnon, C. (2017). The experience</w:t>
      </w:r>
      <w:r w:rsidR="00283F81">
        <w:rPr>
          <w:rFonts w:ascii="Times New Roman" w:hAnsi="Times New Roman" w:cs="Times New Roman"/>
        </w:rPr>
        <w:t>s</w:t>
      </w:r>
      <w:r w:rsidRPr="002D49EB">
        <w:rPr>
          <w:rFonts w:ascii="Times New Roman" w:hAnsi="Times New Roman" w:cs="Times New Roman"/>
        </w:rPr>
        <w:t xml:space="preserve"> of low-ses students in higher education: Psychological barriers to success and intervenient to reduce social-class inequality. </w:t>
      </w:r>
      <w:r w:rsidRPr="002D49EB">
        <w:rPr>
          <w:rFonts w:ascii="Times New Roman" w:hAnsi="Times New Roman" w:cs="Times New Roman"/>
          <w:i/>
          <w:iCs/>
        </w:rPr>
        <w:t>Journal of Social Issues</w:t>
      </w:r>
      <w:r w:rsidRPr="002D49EB">
        <w:rPr>
          <w:rFonts w:ascii="Times New Roman" w:hAnsi="Times New Roman" w:cs="Times New Roman"/>
        </w:rPr>
        <w:t xml:space="preserve">, </w:t>
      </w:r>
      <w:r w:rsidRPr="002D49EB">
        <w:rPr>
          <w:rFonts w:ascii="Times New Roman" w:hAnsi="Times New Roman" w:cs="Times New Roman"/>
          <w:i/>
          <w:iCs/>
        </w:rPr>
        <w:t>73</w:t>
      </w:r>
      <w:r w:rsidRPr="002D49EB">
        <w:rPr>
          <w:rFonts w:ascii="Times New Roman" w:hAnsi="Times New Roman" w:cs="Times New Roman"/>
        </w:rPr>
        <w:t>(1), 23–41. https://doi.org/10.1111/josi.12202</w:t>
      </w:r>
    </w:p>
    <w:p w14:paraId="66E83107"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Kane, T. (1996). Lessons from the largest school voucher program ever: Two decades of experience with Pell grants. In </w:t>
      </w:r>
      <w:r w:rsidRPr="002D49EB">
        <w:rPr>
          <w:rFonts w:ascii="Times New Roman" w:hAnsi="Times New Roman" w:cs="Times New Roman"/>
          <w:i/>
          <w:iCs/>
        </w:rPr>
        <w:t>Who chooses? Who loses? Culture, institutions and the unequal effects of school choice</w:t>
      </w:r>
      <w:r w:rsidRPr="002D49EB">
        <w:rPr>
          <w:rFonts w:ascii="Times New Roman" w:hAnsi="Times New Roman" w:cs="Times New Roman"/>
        </w:rPr>
        <w:t xml:space="preserve"> (pp. 137–150). Teachers College Press.</w:t>
      </w:r>
    </w:p>
    <w:p w14:paraId="5F094E13" w14:textId="38166083" w:rsidR="00D10CA7"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Kane, T. J. (2007). Evaluating the impact of the D.C. Tuition Assistance Grant Program. </w:t>
      </w:r>
      <w:r w:rsidRPr="002D49EB">
        <w:rPr>
          <w:rFonts w:ascii="Times New Roman" w:hAnsi="Times New Roman" w:cs="Times New Roman"/>
          <w:i/>
          <w:iCs/>
        </w:rPr>
        <w:t>Journal of Human Resources</w:t>
      </w:r>
      <w:r w:rsidRPr="002D49EB">
        <w:rPr>
          <w:rFonts w:ascii="Times New Roman" w:hAnsi="Times New Roman" w:cs="Times New Roman"/>
        </w:rPr>
        <w:t xml:space="preserve">, </w:t>
      </w:r>
      <w:r w:rsidRPr="002D49EB">
        <w:rPr>
          <w:rFonts w:ascii="Times New Roman" w:hAnsi="Times New Roman" w:cs="Times New Roman"/>
          <w:i/>
          <w:iCs/>
        </w:rPr>
        <w:t>42</w:t>
      </w:r>
      <w:r w:rsidRPr="002D49EB">
        <w:rPr>
          <w:rFonts w:ascii="Times New Roman" w:hAnsi="Times New Roman" w:cs="Times New Roman"/>
        </w:rPr>
        <w:t>(3). https://econpapers.repec.org/article/uwpjhriss/v_3a42_3ay_3a2007_3ai3_3ap555-582.htm</w:t>
      </w:r>
    </w:p>
    <w:p w14:paraId="4945AB90" w14:textId="513450B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Kanter, M., Cloud, R. B., &amp; Lazarowitz, D. (2021). </w:t>
      </w:r>
      <w:r w:rsidRPr="002D49EB">
        <w:rPr>
          <w:rFonts w:ascii="Times New Roman" w:hAnsi="Times New Roman" w:cs="Times New Roman"/>
          <w:i/>
          <w:iCs/>
        </w:rPr>
        <w:t>College promise for all.</w:t>
      </w:r>
      <w:r w:rsidRPr="002D49EB">
        <w:rPr>
          <w:rFonts w:ascii="Times New Roman" w:hAnsi="Times New Roman" w:cs="Times New Roman"/>
        </w:rPr>
        <w:t xml:space="preserve"> [College promise for all: Preparing America’s talent pipeline with universal access to, through, and beyond postsecondary education a federal-state partnership proposal for college promise]. College Promise. https://assets.website-files.com/61ba001bb59d05538c5a4bd8/61ba001bb59d0576b75a4c5a_College%20Promise%20for%20All%20Policy%20Proposal.pdf</w:t>
      </w:r>
    </w:p>
    <w:p w14:paraId="10D3928D"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Kelchen, R. (2020). Does the Bennett hypothesis hold in professional education? An empirical analysis. </w:t>
      </w:r>
      <w:r w:rsidRPr="002D49EB">
        <w:rPr>
          <w:rFonts w:ascii="Times New Roman" w:hAnsi="Times New Roman" w:cs="Times New Roman"/>
          <w:i/>
          <w:iCs/>
        </w:rPr>
        <w:t>Research in Higher Education</w:t>
      </w:r>
      <w:r w:rsidRPr="002D49EB">
        <w:rPr>
          <w:rFonts w:ascii="Times New Roman" w:hAnsi="Times New Roman" w:cs="Times New Roman"/>
        </w:rPr>
        <w:t xml:space="preserve">, </w:t>
      </w:r>
      <w:r w:rsidRPr="002D49EB">
        <w:rPr>
          <w:rFonts w:ascii="Times New Roman" w:hAnsi="Times New Roman" w:cs="Times New Roman"/>
          <w:i/>
          <w:iCs/>
        </w:rPr>
        <w:t>61</w:t>
      </w:r>
      <w:r w:rsidRPr="002D49EB">
        <w:rPr>
          <w:rFonts w:ascii="Times New Roman" w:hAnsi="Times New Roman" w:cs="Times New Roman"/>
        </w:rPr>
        <w:t>(3), 357–382. https://doi.org/10.1007/s11162-019-09557-9</w:t>
      </w:r>
    </w:p>
    <w:p w14:paraId="1FA9D988"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Kelchen, R., Ortagus, J., Rosinger, K., &amp; Cassell, A. (2022). The effects of state performance funding policies on student loan debt. </w:t>
      </w:r>
      <w:r w:rsidRPr="002D49EB">
        <w:rPr>
          <w:rFonts w:ascii="Times New Roman" w:hAnsi="Times New Roman" w:cs="Times New Roman"/>
          <w:i/>
          <w:iCs/>
        </w:rPr>
        <w:t>Economics of Education Review</w:t>
      </w:r>
      <w:r w:rsidRPr="002D49EB">
        <w:rPr>
          <w:rFonts w:ascii="Times New Roman" w:hAnsi="Times New Roman" w:cs="Times New Roman"/>
        </w:rPr>
        <w:t xml:space="preserve">, </w:t>
      </w:r>
      <w:r w:rsidRPr="002D49EB">
        <w:rPr>
          <w:rFonts w:ascii="Times New Roman" w:hAnsi="Times New Roman" w:cs="Times New Roman"/>
          <w:i/>
          <w:iCs/>
        </w:rPr>
        <w:t>91</w:t>
      </w:r>
      <w:r w:rsidRPr="002D49EB">
        <w:rPr>
          <w:rFonts w:ascii="Times New Roman" w:hAnsi="Times New Roman" w:cs="Times New Roman"/>
        </w:rPr>
        <w:t>, 102328. https://doi.org/10.1016/j.econedurev.2022.102328</w:t>
      </w:r>
    </w:p>
    <w:p w14:paraId="520AF39F"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Kelchen, R., &amp; Pingel, S. (2024). Examining the effects of tuition controls on student enrollment. </w:t>
      </w:r>
      <w:r w:rsidRPr="002D49EB">
        <w:rPr>
          <w:rFonts w:ascii="Times New Roman" w:hAnsi="Times New Roman" w:cs="Times New Roman"/>
          <w:i/>
          <w:iCs/>
        </w:rPr>
        <w:t>Research in Higher Education</w:t>
      </w:r>
      <w:r w:rsidRPr="002D49EB">
        <w:rPr>
          <w:rFonts w:ascii="Times New Roman" w:hAnsi="Times New Roman" w:cs="Times New Roman"/>
        </w:rPr>
        <w:t xml:space="preserve">, </w:t>
      </w:r>
      <w:r w:rsidRPr="002D49EB">
        <w:rPr>
          <w:rFonts w:ascii="Times New Roman" w:hAnsi="Times New Roman" w:cs="Times New Roman"/>
          <w:i/>
          <w:iCs/>
        </w:rPr>
        <w:t>65</w:t>
      </w:r>
      <w:r w:rsidRPr="002D49EB">
        <w:rPr>
          <w:rFonts w:ascii="Times New Roman" w:hAnsi="Times New Roman" w:cs="Times New Roman"/>
        </w:rPr>
        <w:t>(1), 70–91. https://doi.org/10.1007/s11162-023-09748-5</w:t>
      </w:r>
    </w:p>
    <w:p w14:paraId="093103F7"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Kessler, L. M.  &amp; Bruce (2024). A SALT on real estate? Housing market and migration responses to the limit on the state and local tax deduction. </w:t>
      </w:r>
      <w:r w:rsidRPr="002D49EB">
        <w:rPr>
          <w:rFonts w:ascii="Times New Roman" w:hAnsi="Times New Roman" w:cs="Times New Roman"/>
          <w:i/>
          <w:iCs/>
        </w:rPr>
        <w:t>Contemporary Economic Policy</w:t>
      </w:r>
      <w:r w:rsidRPr="002D49EB">
        <w:rPr>
          <w:rFonts w:ascii="Times New Roman" w:hAnsi="Times New Roman" w:cs="Times New Roman"/>
        </w:rPr>
        <w:t xml:space="preserve">, </w:t>
      </w:r>
      <w:r w:rsidRPr="002D49EB">
        <w:rPr>
          <w:rFonts w:ascii="Times New Roman" w:hAnsi="Times New Roman" w:cs="Times New Roman"/>
          <w:i/>
          <w:iCs/>
        </w:rPr>
        <w:t>42</w:t>
      </w:r>
      <w:r w:rsidRPr="002D49EB">
        <w:rPr>
          <w:rFonts w:ascii="Times New Roman" w:hAnsi="Times New Roman" w:cs="Times New Roman"/>
        </w:rPr>
        <w:t>(4), 683–704. https://doi.org/10.1111/coep.12659</w:t>
      </w:r>
    </w:p>
    <w:p w14:paraId="3871CF1B"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Kunkle, K., &amp; Laderman, S. (2023). </w:t>
      </w:r>
      <w:r w:rsidRPr="002D49EB">
        <w:rPr>
          <w:rFonts w:ascii="Times New Roman" w:hAnsi="Times New Roman" w:cs="Times New Roman"/>
          <w:i/>
          <w:iCs/>
        </w:rPr>
        <w:t>State higher education finance report: Fiscal year 2022</w:t>
      </w:r>
      <w:r w:rsidRPr="002D49EB">
        <w:rPr>
          <w:rFonts w:ascii="Times New Roman" w:hAnsi="Times New Roman" w:cs="Times New Roman"/>
        </w:rPr>
        <w:t>. https://shef.sheeo.org/wp-content/uploads/2023/05/SHEEO_SHEF_FY22_Report.pdf</w:t>
      </w:r>
    </w:p>
    <w:p w14:paraId="01231761"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Labaree, D. F. (2016). An affair to remember: America’s brief fling with the university as a public good: America and the university as a public good. </w:t>
      </w:r>
      <w:r w:rsidRPr="002D49EB">
        <w:rPr>
          <w:rFonts w:ascii="Times New Roman" w:hAnsi="Times New Roman" w:cs="Times New Roman"/>
          <w:i/>
          <w:iCs/>
        </w:rPr>
        <w:t>Journal of Philosophy of Education</w:t>
      </w:r>
      <w:r w:rsidRPr="002D49EB">
        <w:rPr>
          <w:rFonts w:ascii="Times New Roman" w:hAnsi="Times New Roman" w:cs="Times New Roman"/>
        </w:rPr>
        <w:t xml:space="preserve">, </w:t>
      </w:r>
      <w:r w:rsidRPr="002D49EB">
        <w:rPr>
          <w:rFonts w:ascii="Times New Roman" w:hAnsi="Times New Roman" w:cs="Times New Roman"/>
          <w:i/>
          <w:iCs/>
        </w:rPr>
        <w:t>50</w:t>
      </w:r>
      <w:r w:rsidRPr="002D49EB">
        <w:rPr>
          <w:rFonts w:ascii="Times New Roman" w:hAnsi="Times New Roman" w:cs="Times New Roman"/>
        </w:rPr>
        <w:t>(1), 20–36. https://doi.org/10.1111/1467-9752.12170</w:t>
      </w:r>
    </w:p>
    <w:p w14:paraId="3A448C2D"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Lau, C. (2015). </w:t>
      </w:r>
      <w:r w:rsidRPr="002D49EB">
        <w:rPr>
          <w:rFonts w:ascii="Times New Roman" w:hAnsi="Times New Roman" w:cs="Times New Roman"/>
          <w:i/>
          <w:iCs/>
        </w:rPr>
        <w:t>The incidence of federal subsidies in for-profit higher education.</w:t>
      </w:r>
      <w:r w:rsidRPr="002D49EB">
        <w:rPr>
          <w:rFonts w:ascii="Times New Roman" w:hAnsi="Times New Roman" w:cs="Times New Roman"/>
        </w:rPr>
        <w:t xml:space="preserve"> [Doctoral Dissertation, Northwestern University] ProQuest Dissertations and Thesis Global. https://www.proquest.com/docview/1690882088?parentSessionId=sSnwKnpOjp4aJ7L4Ect.</w:t>
      </w:r>
    </w:p>
    <w:p w14:paraId="72C26D11"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Leslie, L. L., &amp; Brinkman, P. T. (1988). </w:t>
      </w:r>
      <w:r w:rsidRPr="002D49EB">
        <w:rPr>
          <w:rFonts w:ascii="Times New Roman" w:hAnsi="Times New Roman" w:cs="Times New Roman"/>
          <w:i/>
          <w:iCs/>
        </w:rPr>
        <w:t>The economic value of higher education. American Council on Education/Macmillan Series on Higher Education</w:t>
      </w:r>
      <w:r w:rsidRPr="002D49EB">
        <w:rPr>
          <w:rFonts w:ascii="Times New Roman" w:hAnsi="Times New Roman" w:cs="Times New Roman"/>
        </w:rPr>
        <w:t>. Macmillan Publishing, 866 Third Avenue, New York, NY 10022 ($24.</w:t>
      </w:r>
    </w:p>
    <w:p w14:paraId="27DF1EDC"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Li, A. &amp; Gandara, D. (2020). The promise of "free" tuition and program design features: Impacts on first-time college enrollment. In L. Perna, College promise programs: Improving research-based knowledge of college promise programs (pp. 219-240). American Educational Research Association.</w:t>
      </w:r>
    </w:p>
    <w:p w14:paraId="35AFB72A"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Long, B. (2007). Do loans increase college access and choice? Examining the introduction of universal student loans. Federal Reserve Bank of Boston (Working Paper 07-1).</w:t>
      </w:r>
    </w:p>
    <w:p w14:paraId="3112868C"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Lovenheim, M. F. (2011). The effect of liquid housing wealth on college enrollment. </w:t>
      </w:r>
      <w:r w:rsidRPr="002D49EB">
        <w:rPr>
          <w:rFonts w:ascii="Times New Roman" w:hAnsi="Times New Roman" w:cs="Times New Roman"/>
          <w:i/>
          <w:iCs/>
        </w:rPr>
        <w:t>Journal of Labor Economics</w:t>
      </w:r>
      <w:r w:rsidRPr="002D49EB">
        <w:rPr>
          <w:rFonts w:ascii="Times New Roman" w:hAnsi="Times New Roman" w:cs="Times New Roman"/>
        </w:rPr>
        <w:t xml:space="preserve">, </w:t>
      </w:r>
      <w:r w:rsidRPr="002D49EB">
        <w:rPr>
          <w:rFonts w:ascii="Times New Roman" w:hAnsi="Times New Roman" w:cs="Times New Roman"/>
          <w:i/>
          <w:iCs/>
        </w:rPr>
        <w:t>29</w:t>
      </w:r>
      <w:r w:rsidRPr="002D49EB">
        <w:rPr>
          <w:rFonts w:ascii="Times New Roman" w:hAnsi="Times New Roman" w:cs="Times New Roman"/>
        </w:rPr>
        <w:t>(4), 741–771. https://doi.org/10.1086/660775</w:t>
      </w:r>
    </w:p>
    <w:p w14:paraId="2EC07CDB"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Lucca, D. O., Nadauld, T., &amp; Shen, K. (2015). Credit supply and the rise in college tuition: Evidence from the expansion in federal student aid programs. </w:t>
      </w:r>
      <w:r w:rsidRPr="002D49EB">
        <w:rPr>
          <w:rFonts w:ascii="Times New Roman" w:hAnsi="Times New Roman" w:cs="Times New Roman"/>
          <w:i/>
          <w:iCs/>
        </w:rPr>
        <w:t>The American Historical Review</w:t>
      </w:r>
      <w:r w:rsidRPr="002D49EB">
        <w:rPr>
          <w:rFonts w:ascii="Times New Roman" w:hAnsi="Times New Roman" w:cs="Times New Roman"/>
        </w:rPr>
        <w:t xml:space="preserve">, </w:t>
      </w:r>
      <w:r w:rsidRPr="002D49EB">
        <w:rPr>
          <w:rFonts w:ascii="Times New Roman" w:hAnsi="Times New Roman" w:cs="Times New Roman"/>
          <w:i/>
          <w:iCs/>
        </w:rPr>
        <w:t>32</w:t>
      </w:r>
      <w:r w:rsidRPr="002D49EB">
        <w:rPr>
          <w:rFonts w:ascii="Times New Roman" w:hAnsi="Times New Roman" w:cs="Times New Roman"/>
        </w:rPr>
        <w:t>(2), 423–466.</w:t>
      </w:r>
    </w:p>
    <w:p w14:paraId="2982A8CA"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Lynch, J., &amp; Lungrin, T. (2018). Integrating academic and career advising toward student success. </w:t>
      </w:r>
      <w:r w:rsidRPr="002D49EB">
        <w:rPr>
          <w:rFonts w:ascii="Times New Roman" w:hAnsi="Times New Roman" w:cs="Times New Roman"/>
          <w:i/>
          <w:iCs/>
        </w:rPr>
        <w:t>New Directions for Higher Education</w:t>
      </w:r>
      <w:r w:rsidRPr="002D49EB">
        <w:rPr>
          <w:rFonts w:ascii="Times New Roman" w:hAnsi="Times New Roman" w:cs="Times New Roman"/>
        </w:rPr>
        <w:t xml:space="preserve">, </w:t>
      </w:r>
      <w:r w:rsidRPr="002D49EB">
        <w:rPr>
          <w:rFonts w:ascii="Times New Roman" w:hAnsi="Times New Roman" w:cs="Times New Roman"/>
          <w:i/>
          <w:iCs/>
        </w:rPr>
        <w:t>2018</w:t>
      </w:r>
      <w:r w:rsidRPr="002D49EB">
        <w:rPr>
          <w:rFonts w:ascii="Times New Roman" w:hAnsi="Times New Roman" w:cs="Times New Roman"/>
        </w:rPr>
        <w:t>(184), 69–79. https://doi.org/10.1002/he.20304</w:t>
      </w:r>
    </w:p>
    <w:p w14:paraId="14920EF3"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Ma, J., &amp; Pender. (2023). </w:t>
      </w:r>
      <w:r w:rsidRPr="002D49EB">
        <w:rPr>
          <w:rFonts w:ascii="Times New Roman" w:hAnsi="Times New Roman" w:cs="Times New Roman"/>
          <w:i/>
          <w:iCs/>
        </w:rPr>
        <w:t>Trends in college pricing 2023</w:t>
      </w:r>
      <w:r w:rsidRPr="002D49EB">
        <w:rPr>
          <w:rFonts w:ascii="Times New Roman" w:hAnsi="Times New Roman" w:cs="Times New Roman"/>
        </w:rPr>
        <w:t>. College Board. https://research.collegeboard.org/media/pdf/trends-in-college-pricing-presentation-2023.pdf</w:t>
      </w:r>
    </w:p>
    <w:p w14:paraId="42543148"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Mabel, Z., Libassi, C. J., &amp; Hurwitz, M. (2020). The value of using early-career earnings data in the College Scorecard to guide college choices. </w:t>
      </w:r>
      <w:r w:rsidRPr="002D49EB">
        <w:rPr>
          <w:rFonts w:ascii="Times New Roman" w:hAnsi="Times New Roman" w:cs="Times New Roman"/>
          <w:i/>
          <w:iCs/>
        </w:rPr>
        <w:t>Economics of Education Review</w:t>
      </w:r>
      <w:r w:rsidRPr="002D49EB">
        <w:rPr>
          <w:rFonts w:ascii="Times New Roman" w:hAnsi="Times New Roman" w:cs="Times New Roman"/>
        </w:rPr>
        <w:t xml:space="preserve">, </w:t>
      </w:r>
      <w:r w:rsidRPr="002D49EB">
        <w:rPr>
          <w:rFonts w:ascii="Times New Roman" w:hAnsi="Times New Roman" w:cs="Times New Roman"/>
          <w:i/>
          <w:iCs/>
        </w:rPr>
        <w:t>75</w:t>
      </w:r>
      <w:r w:rsidRPr="002D49EB">
        <w:rPr>
          <w:rFonts w:ascii="Times New Roman" w:hAnsi="Times New Roman" w:cs="Times New Roman"/>
        </w:rPr>
        <w:t>, 101958. https://doi.org/10.1016/j.econedurev.2020.101958</w:t>
      </w:r>
    </w:p>
    <w:p w14:paraId="32F3690E"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Marcotte, D. E., Bailey, T., Borkoski, C., &amp; Kienzl, G. S. (2005). The returns of a community college education: Evidence from the National Education Longitudinal Survey. </w:t>
      </w:r>
      <w:r w:rsidRPr="002D49EB">
        <w:rPr>
          <w:rFonts w:ascii="Times New Roman" w:hAnsi="Times New Roman" w:cs="Times New Roman"/>
          <w:i/>
          <w:iCs/>
        </w:rPr>
        <w:t>Educational Evaluation and Policy Analysis</w:t>
      </w:r>
      <w:r w:rsidRPr="002D49EB">
        <w:rPr>
          <w:rFonts w:ascii="Times New Roman" w:hAnsi="Times New Roman" w:cs="Times New Roman"/>
        </w:rPr>
        <w:t xml:space="preserve">, </w:t>
      </w:r>
      <w:r w:rsidRPr="002D49EB">
        <w:rPr>
          <w:rFonts w:ascii="Times New Roman" w:hAnsi="Times New Roman" w:cs="Times New Roman"/>
          <w:i/>
          <w:iCs/>
        </w:rPr>
        <w:t>27</w:t>
      </w:r>
      <w:r w:rsidRPr="002D49EB">
        <w:rPr>
          <w:rFonts w:ascii="Times New Roman" w:hAnsi="Times New Roman" w:cs="Times New Roman"/>
        </w:rPr>
        <w:t>(2), 157–175.</w:t>
      </w:r>
    </w:p>
    <w:p w14:paraId="3F120604"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Marcus, M., &amp; Sant’Anna, P. H. C. (2021). The role of parallel trends in event study settings: An application to environmental economics. </w:t>
      </w:r>
      <w:r w:rsidRPr="002D49EB">
        <w:rPr>
          <w:rFonts w:ascii="Times New Roman" w:hAnsi="Times New Roman" w:cs="Times New Roman"/>
          <w:i/>
          <w:iCs/>
        </w:rPr>
        <w:t>Journal of the Association of Environmental and Resource Economists</w:t>
      </w:r>
      <w:r w:rsidRPr="002D49EB">
        <w:rPr>
          <w:rFonts w:ascii="Times New Roman" w:hAnsi="Times New Roman" w:cs="Times New Roman"/>
        </w:rPr>
        <w:t xml:space="preserve">, </w:t>
      </w:r>
      <w:r w:rsidRPr="002D49EB">
        <w:rPr>
          <w:rFonts w:ascii="Times New Roman" w:hAnsi="Times New Roman" w:cs="Times New Roman"/>
          <w:i/>
          <w:iCs/>
        </w:rPr>
        <w:t>8</w:t>
      </w:r>
      <w:r w:rsidRPr="002D49EB">
        <w:rPr>
          <w:rFonts w:ascii="Times New Roman" w:hAnsi="Times New Roman" w:cs="Times New Roman"/>
        </w:rPr>
        <w:t>(2), 235–275.</w:t>
      </w:r>
    </w:p>
    <w:p w14:paraId="317DAFAE"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Marx, B. M., &amp; Turner, L. J. (2019). Student loan nudges: Experimental evidence on borrowing and educational attainment. </w:t>
      </w:r>
      <w:r w:rsidRPr="002D49EB">
        <w:rPr>
          <w:rFonts w:ascii="Times New Roman" w:hAnsi="Times New Roman" w:cs="Times New Roman"/>
          <w:i/>
          <w:iCs/>
        </w:rPr>
        <w:t>American Economic Journal: Economic Policy</w:t>
      </w:r>
      <w:r w:rsidRPr="002D49EB">
        <w:rPr>
          <w:rFonts w:ascii="Times New Roman" w:hAnsi="Times New Roman" w:cs="Times New Roman"/>
        </w:rPr>
        <w:t xml:space="preserve">, </w:t>
      </w:r>
      <w:r w:rsidRPr="002D49EB">
        <w:rPr>
          <w:rFonts w:ascii="Times New Roman" w:hAnsi="Times New Roman" w:cs="Times New Roman"/>
          <w:i/>
          <w:iCs/>
        </w:rPr>
        <w:t>11</w:t>
      </w:r>
      <w:r w:rsidRPr="002D49EB">
        <w:rPr>
          <w:rFonts w:ascii="Times New Roman" w:hAnsi="Times New Roman" w:cs="Times New Roman"/>
        </w:rPr>
        <w:t>(2), 108–141. https://doi.org/10.1257/pol.20180279</w:t>
      </w:r>
    </w:p>
    <w:p w14:paraId="3DC97316" w14:textId="77777777" w:rsidR="00D10CA7" w:rsidRPr="002D49EB" w:rsidRDefault="00D10CA7" w:rsidP="008524FA">
      <w:pPr>
        <w:spacing w:line="480" w:lineRule="auto"/>
        <w:ind w:hanging="720"/>
        <w:rPr>
          <w:rFonts w:ascii="Times New Roman" w:hAnsi="Times New Roman" w:cs="Times New Roman"/>
        </w:rPr>
      </w:pPr>
      <w:r w:rsidRPr="002D49EB">
        <w:rPr>
          <w:rFonts w:ascii="Times New Roman" w:hAnsi="Times New Roman" w:cs="Times New Roman"/>
        </w:rPr>
        <w:t xml:space="preserve">Mayer, A., Kalamkarian, H. S., Cohen, B., Pellegrino, L., Boynton, M., &amp; Yang, E. (2019). </w:t>
      </w:r>
      <w:r w:rsidRPr="002D49EB">
        <w:rPr>
          <w:rFonts w:ascii="Times New Roman" w:hAnsi="Times New Roman" w:cs="Times New Roman"/>
          <w:i/>
          <w:iCs/>
        </w:rPr>
        <w:t>Integrating technology and advising: Studying enhancements to colleges’ iPASS practices</w:t>
      </w:r>
      <w:r w:rsidRPr="002D49EB">
        <w:rPr>
          <w:rFonts w:ascii="Times New Roman" w:hAnsi="Times New Roman" w:cs="Times New Roman"/>
        </w:rPr>
        <w:t>. Teachers College, Columbia University. https://doi.org/10.7916/d8-z4f0-wf35</w:t>
      </w:r>
    </w:p>
    <w:p w14:paraId="7450FAC4"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McCormick, A. C., Moore, J. V., &amp; Kuh, G. D. (2010). Working during college: Its relationship to student engagement and education outcomes. In L. Perna (Ed.), </w:t>
      </w:r>
      <w:r w:rsidRPr="002D49EB">
        <w:rPr>
          <w:rFonts w:ascii="Times New Roman" w:hAnsi="Times New Roman" w:cs="Times New Roman"/>
          <w:i/>
          <w:iCs/>
        </w:rPr>
        <w:t>Understanding the Working College Student</w:t>
      </w:r>
      <w:r w:rsidRPr="002D49EB">
        <w:rPr>
          <w:rFonts w:ascii="Times New Roman" w:hAnsi="Times New Roman" w:cs="Times New Roman"/>
        </w:rPr>
        <w:t>. Routledge. https://doi.org/10.4324/98710034484495-13</w:t>
      </w:r>
    </w:p>
    <w:p w14:paraId="61B120FF"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Mezza, A., Ringo, D., Sherlund, S., &amp; Sommer, K. (2020). Student loans and homeownership. </w:t>
      </w:r>
      <w:r w:rsidRPr="002D49EB">
        <w:rPr>
          <w:rFonts w:ascii="Times New Roman" w:hAnsi="Times New Roman" w:cs="Times New Roman"/>
          <w:i/>
          <w:iCs/>
        </w:rPr>
        <w:t>Journal of Labor Economics</w:t>
      </w:r>
      <w:r w:rsidRPr="002D49EB">
        <w:rPr>
          <w:rFonts w:ascii="Times New Roman" w:hAnsi="Times New Roman" w:cs="Times New Roman"/>
        </w:rPr>
        <w:t xml:space="preserve">, </w:t>
      </w:r>
      <w:r w:rsidRPr="002D49EB">
        <w:rPr>
          <w:rFonts w:ascii="Times New Roman" w:hAnsi="Times New Roman" w:cs="Times New Roman"/>
          <w:i/>
          <w:iCs/>
        </w:rPr>
        <w:t>38</w:t>
      </w:r>
      <w:r w:rsidRPr="002D49EB">
        <w:rPr>
          <w:rFonts w:ascii="Times New Roman" w:hAnsi="Times New Roman" w:cs="Times New Roman"/>
        </w:rPr>
        <w:t>(1), 215–260.</w:t>
      </w:r>
    </w:p>
    <w:p w14:paraId="634BB0C6"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Miller-Adams, M. (2015). </w:t>
      </w:r>
      <w:r w:rsidRPr="002D49EB">
        <w:rPr>
          <w:rFonts w:ascii="Times New Roman" w:hAnsi="Times New Roman" w:cs="Times New Roman"/>
          <w:i/>
          <w:iCs/>
        </w:rPr>
        <w:t>Promise nation: Transforming communities through place-based scholarships</w:t>
      </w:r>
      <w:r w:rsidRPr="002D49EB">
        <w:rPr>
          <w:rFonts w:ascii="Times New Roman" w:hAnsi="Times New Roman" w:cs="Times New Roman"/>
        </w:rPr>
        <w:t>. https://research.upjohn.org/up_press/235</w:t>
      </w:r>
    </w:p>
    <w:p w14:paraId="69C98979"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Miller-Adams, M. (2021). </w:t>
      </w:r>
      <w:r w:rsidRPr="002D49EB">
        <w:rPr>
          <w:rFonts w:ascii="Times New Roman" w:hAnsi="Times New Roman" w:cs="Times New Roman"/>
          <w:i/>
          <w:iCs/>
        </w:rPr>
        <w:t>The path to free college: In pursuit of access, equity, and prosperity</w:t>
      </w:r>
      <w:r w:rsidRPr="002D49EB">
        <w:rPr>
          <w:rFonts w:ascii="Times New Roman" w:hAnsi="Times New Roman" w:cs="Times New Roman"/>
        </w:rPr>
        <w:t>. Harvard Education Press. https://research.upjohn.org/books/27</w:t>
      </w:r>
    </w:p>
    <w:p w14:paraId="73ABD639"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Mitchell, M., Palacios, V., &amp; Leachman, M. (2014, May 1). </w:t>
      </w:r>
      <w:r w:rsidRPr="002D49EB">
        <w:rPr>
          <w:rFonts w:ascii="Times New Roman" w:hAnsi="Times New Roman" w:cs="Times New Roman"/>
          <w:i/>
          <w:iCs/>
        </w:rPr>
        <w:t>States are still funding higher education below pre-recession levels.  Center on Budget and Policy Priorities</w:t>
      </w:r>
      <w:r w:rsidRPr="002D49EB">
        <w:rPr>
          <w:rFonts w:ascii="Times New Roman" w:hAnsi="Times New Roman" w:cs="Times New Roman"/>
        </w:rPr>
        <w:t>. Center on Budget and Policy Priorities. https://www.cbpp.org/research/states-are-still-funding-higher-education-below-pre-recession-levels</w:t>
      </w:r>
    </w:p>
    <w:p w14:paraId="22463ECC"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Morrill Act (1862), Pub. L. No. 37–108, Public Law (1862). https://www.archives.gov/milestone-documents/morrill-act</w:t>
      </w:r>
    </w:p>
    <w:p w14:paraId="7BE3D5C6"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National Association of State Student Grant and Aid Programs. (2023). </w:t>
      </w:r>
      <w:r w:rsidRPr="002D49EB">
        <w:rPr>
          <w:rFonts w:ascii="Times New Roman" w:hAnsi="Times New Roman" w:cs="Times New Roman"/>
          <w:i/>
          <w:iCs/>
        </w:rPr>
        <w:t>53rd annual survey report on state-sponsored student financial aid 2021-2022 Academic Year</w:t>
      </w:r>
      <w:r w:rsidRPr="002D49EB">
        <w:rPr>
          <w:rFonts w:ascii="Times New Roman" w:hAnsi="Times New Roman" w:cs="Times New Roman"/>
        </w:rPr>
        <w:t>. https://files.eric.ed.gov/fulltext/ED645144.pdf</w:t>
      </w:r>
    </w:p>
    <w:p w14:paraId="6E8CF993"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National Center for Education Statistics. (2022). </w:t>
      </w:r>
      <w:r w:rsidRPr="002D49EB">
        <w:rPr>
          <w:rFonts w:ascii="Times New Roman" w:hAnsi="Times New Roman" w:cs="Times New Roman"/>
          <w:i/>
          <w:iCs/>
        </w:rPr>
        <w:t xml:space="preserve">Young adult educational and employment outcomes by family socioeconomic status. </w:t>
      </w:r>
      <w:r w:rsidRPr="002D49EB">
        <w:rPr>
          <w:rFonts w:ascii="Times New Roman" w:hAnsi="Times New Roman" w:cs="Times New Roman"/>
        </w:rPr>
        <w:t>https://nces.ed.gov/ipeds/TrendGenerator/app/answer/4/24</w:t>
      </w:r>
    </w:p>
    <w:p w14:paraId="314F64C7"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National Center for Education Statistics. (2024a). Trend generator: Degrees and certificates awarded: How many degrees/certificates are awarded at postsecondary institutions? Completions component 2022-23 provisional data. Limited to institutions that are at least two-years but less than four. https://nces.ed.gov/ipeds/TrendGenerator/app/answer/4/24?f=5%3D2 </w:t>
      </w:r>
    </w:p>
    <w:p w14:paraId="4DDA012E"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National Center for Education Statistics. (2024b). Trend generator: Degrees and certificates awarded: How many degrees/certificates are awarded at postsecondary institutions? Completions component 2022-23 provisional data. Limited to institutions that are less than two-years. https://nces.ed.gov/ipeds/TrendGenerator/app/answer/4/24?f=5%3D3</w:t>
      </w:r>
    </w:p>
    <w:p w14:paraId="3F6C2837"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National Center for Education Statistics. (2024c). </w:t>
      </w:r>
      <w:r w:rsidRPr="002D49EB">
        <w:rPr>
          <w:rFonts w:ascii="Times New Roman" w:hAnsi="Times New Roman" w:cs="Times New Roman"/>
          <w:i/>
          <w:iCs/>
        </w:rPr>
        <w:t>Institutional expenses—What are the expenses (in thousands) of public postsecondary institutions using GASB standards?</w:t>
      </w:r>
      <w:r w:rsidRPr="002D49EB">
        <w:rPr>
          <w:rFonts w:ascii="Times New Roman" w:hAnsi="Times New Roman" w:cs="Times New Roman"/>
        </w:rPr>
        <w:t xml:space="preserve"> IPEDS Trend Generator. https://nces.ed.gov/ipeds/TrendGenerator/app/answer/9/39</w:t>
      </w:r>
    </w:p>
    <w:p w14:paraId="334F8C0A"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National Center for Education Statistics. (2024d). </w:t>
      </w:r>
      <w:r w:rsidRPr="002D49EB">
        <w:rPr>
          <w:rFonts w:ascii="Times New Roman" w:hAnsi="Times New Roman" w:cs="Times New Roman"/>
          <w:i/>
          <w:iCs/>
        </w:rPr>
        <w:t>Graduation and retention Rates—What is the graduation rate within 150% of normal time at 2-year postsecondary institutions?</w:t>
      </w:r>
      <w:r w:rsidRPr="002D49EB">
        <w:rPr>
          <w:rFonts w:ascii="Times New Roman" w:hAnsi="Times New Roman" w:cs="Times New Roman"/>
        </w:rPr>
        <w:t xml:space="preserve"> IPEDS Trend Generator. https://nces.ed.gov/ipeds/TrendGenerator/app/answer/7/21</w:t>
      </w:r>
    </w:p>
    <w:p w14:paraId="0DBC2F1B"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National Center for Education Statistics. (2024e). </w:t>
      </w:r>
      <w:r w:rsidRPr="002D49EB">
        <w:rPr>
          <w:rFonts w:ascii="Times New Roman" w:hAnsi="Times New Roman" w:cs="Times New Roman"/>
          <w:i/>
          <w:iCs/>
        </w:rPr>
        <w:t>Graduation and retention Rates—What is the graduation rate within 150% of normal time at less than 2-year postsecondary institutions?</w:t>
      </w:r>
      <w:r w:rsidRPr="002D49EB">
        <w:rPr>
          <w:rFonts w:ascii="Times New Roman" w:hAnsi="Times New Roman" w:cs="Times New Roman"/>
        </w:rPr>
        <w:t xml:space="preserve"> IPEDS Trend Generator. https://nces.ed.gov/ipeds/TrendGenerator/app/answer/7/21</w:t>
      </w:r>
    </w:p>
    <w:p w14:paraId="0767DFA0"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National Conference of State Legislatures. (2023). </w:t>
      </w:r>
      <w:r w:rsidRPr="002D49EB">
        <w:rPr>
          <w:rFonts w:ascii="Times New Roman" w:hAnsi="Times New Roman" w:cs="Times New Roman"/>
          <w:i/>
          <w:iCs/>
        </w:rPr>
        <w:t>Brief: Credentials of value</w:t>
      </w:r>
      <w:r w:rsidRPr="002D49EB">
        <w:rPr>
          <w:rFonts w:ascii="Times New Roman" w:hAnsi="Times New Roman" w:cs="Times New Roman"/>
        </w:rPr>
        <w:t>. https://www.ncsl.org/education/credentials-of-value</w:t>
      </w:r>
    </w:p>
    <w:p w14:paraId="36FAB52C"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National Postsecondary Student Aid Study. (2020). </w:t>
      </w:r>
      <w:r w:rsidRPr="002D49EB">
        <w:rPr>
          <w:rFonts w:ascii="Times New Roman" w:hAnsi="Times New Roman" w:cs="Times New Roman"/>
          <w:i/>
          <w:iCs/>
        </w:rPr>
        <w:t>Food security status: Previous 30 days by enrollment pattern. Filtered by institutional category and control (primarily sub-baccalaureate or lower, public)</w:t>
      </w:r>
      <w:r w:rsidRPr="002D49EB">
        <w:rPr>
          <w:rFonts w:ascii="Times New Roman" w:hAnsi="Times New Roman" w:cs="Times New Roman"/>
        </w:rPr>
        <w:t xml:space="preserve">. </w:t>
      </w:r>
      <w:r w:rsidRPr="002D49EB">
        <w:rPr>
          <w:rFonts w:ascii="Times New Roman" w:hAnsi="Times New Roman" w:cs="Times New Roman"/>
        </w:rPr>
        <w:lastRenderedPageBreak/>
        <w:t>https://nces.ed.gov/datalab/powerstats/157-national-postsecondary-student-aid-study-2020-undergraduate-students/percentage-distribution</w:t>
      </w:r>
    </w:p>
    <w:p w14:paraId="4B052DBA"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Nguyen, H. (2020). Free college? Assessing enrollment responses to the Tennessee Promise program. </w:t>
      </w:r>
      <w:r w:rsidRPr="002D49EB">
        <w:rPr>
          <w:rFonts w:ascii="Times New Roman" w:hAnsi="Times New Roman" w:cs="Times New Roman"/>
          <w:i/>
          <w:iCs/>
        </w:rPr>
        <w:t>Labour Economics</w:t>
      </w:r>
      <w:r w:rsidRPr="002D49EB">
        <w:rPr>
          <w:rFonts w:ascii="Times New Roman" w:hAnsi="Times New Roman" w:cs="Times New Roman"/>
        </w:rPr>
        <w:t xml:space="preserve">, </w:t>
      </w:r>
      <w:r w:rsidRPr="002D49EB">
        <w:rPr>
          <w:rFonts w:ascii="Times New Roman" w:hAnsi="Times New Roman" w:cs="Times New Roman"/>
          <w:i/>
          <w:iCs/>
        </w:rPr>
        <w:t>66</w:t>
      </w:r>
      <w:r w:rsidRPr="002D49EB">
        <w:rPr>
          <w:rFonts w:ascii="Times New Roman" w:hAnsi="Times New Roman" w:cs="Times New Roman"/>
        </w:rPr>
        <w:t>, 101882. https://doi.org/10.1016/j.labeco.2020.101882</w:t>
      </w:r>
    </w:p>
    <w:p w14:paraId="20B8231F"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Nguyen, S., &amp; Cheche, O. (2024). Enrollment at community colleges might improve, but challenges remain for students. </w:t>
      </w:r>
      <w:r w:rsidRPr="002D49EB">
        <w:rPr>
          <w:rFonts w:ascii="Times New Roman" w:hAnsi="Times New Roman" w:cs="Times New Roman"/>
          <w:i/>
          <w:iCs/>
        </w:rPr>
        <w:t>New America</w:t>
      </w:r>
      <w:r w:rsidRPr="002D49EB">
        <w:rPr>
          <w:rFonts w:ascii="Times New Roman" w:hAnsi="Times New Roman" w:cs="Times New Roman"/>
        </w:rPr>
        <w:t>. http://newamerica.org/education-policy/edcentral/enrollment-improve-but-challenges-remain/</w:t>
      </w:r>
    </w:p>
    <w:p w14:paraId="53281AFA"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Nguyen, S., Fishman, R., &amp; Cheche, O. (2023, August 9). </w:t>
      </w:r>
      <w:r w:rsidRPr="002D49EB">
        <w:rPr>
          <w:rFonts w:ascii="Times New Roman" w:hAnsi="Times New Roman" w:cs="Times New Roman"/>
          <w:i/>
          <w:iCs/>
        </w:rPr>
        <w:t>Varying degrees 2023: New America’s seventh annual survey on higher education</w:t>
      </w:r>
      <w:r w:rsidRPr="002D49EB">
        <w:rPr>
          <w:rFonts w:ascii="Times New Roman" w:hAnsi="Times New Roman" w:cs="Times New Roman"/>
        </w:rPr>
        <w:t>. New America. http://newamerica.org/education-policy/reports/varying-degrees-2023/</w:t>
      </w:r>
    </w:p>
    <w:p w14:paraId="449FC3EF"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Nguyen, T. D., Kramer, J. W., &amp; Evans, B. J. (2019). The effects of grant aid on student persistence and degree attainment: A systematic review and meta-analysis of the causal evidence. </w:t>
      </w:r>
      <w:r w:rsidRPr="002D49EB">
        <w:rPr>
          <w:rFonts w:ascii="Times New Roman" w:hAnsi="Times New Roman" w:cs="Times New Roman"/>
          <w:i/>
          <w:iCs/>
        </w:rPr>
        <w:t>Review of Educational Research</w:t>
      </w:r>
      <w:r w:rsidRPr="002D49EB">
        <w:rPr>
          <w:rFonts w:ascii="Times New Roman" w:hAnsi="Times New Roman" w:cs="Times New Roman"/>
        </w:rPr>
        <w:t xml:space="preserve">, </w:t>
      </w:r>
      <w:r w:rsidRPr="002D49EB">
        <w:rPr>
          <w:rFonts w:ascii="Times New Roman" w:hAnsi="Times New Roman" w:cs="Times New Roman"/>
          <w:i/>
          <w:iCs/>
        </w:rPr>
        <w:t>89</w:t>
      </w:r>
      <w:r w:rsidRPr="002D49EB">
        <w:rPr>
          <w:rFonts w:ascii="Times New Roman" w:hAnsi="Times New Roman" w:cs="Times New Roman"/>
        </w:rPr>
        <w:t>(6), 831–874. https://doi.org/10.3102/003465431987715</w:t>
      </w:r>
    </w:p>
    <w:p w14:paraId="42D251FB" w14:textId="77835249" w:rsidR="00D10CA7"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Odle, T. K., Lee, J. C., &amp; Gentile, S. P. (2021). Do promise programs reduce student loans? Evidence from </w:t>
      </w:r>
      <w:r w:rsidR="007A1E89" w:rsidRPr="002D49EB">
        <w:rPr>
          <w:rFonts w:ascii="Times New Roman" w:hAnsi="Times New Roman" w:cs="Times New Roman"/>
        </w:rPr>
        <w:t>Tennessee</w:t>
      </w:r>
      <w:r w:rsidRPr="002D49EB">
        <w:rPr>
          <w:rFonts w:ascii="Times New Roman" w:hAnsi="Times New Roman" w:cs="Times New Roman"/>
        </w:rPr>
        <w:t xml:space="preserve"> promise. </w:t>
      </w:r>
      <w:r w:rsidRPr="002D49EB">
        <w:rPr>
          <w:rFonts w:ascii="Times New Roman" w:hAnsi="Times New Roman" w:cs="Times New Roman"/>
          <w:i/>
          <w:iCs/>
        </w:rPr>
        <w:t>The Journal of Higher Education</w:t>
      </w:r>
      <w:r w:rsidRPr="002D49EB">
        <w:rPr>
          <w:rFonts w:ascii="Times New Roman" w:hAnsi="Times New Roman" w:cs="Times New Roman"/>
        </w:rPr>
        <w:t xml:space="preserve">, </w:t>
      </w:r>
      <w:r w:rsidRPr="002D49EB">
        <w:rPr>
          <w:rFonts w:ascii="Times New Roman" w:hAnsi="Times New Roman" w:cs="Times New Roman"/>
          <w:i/>
          <w:iCs/>
        </w:rPr>
        <w:t>92</w:t>
      </w:r>
      <w:r w:rsidRPr="002D49EB">
        <w:rPr>
          <w:rFonts w:ascii="Times New Roman" w:hAnsi="Times New Roman" w:cs="Times New Roman"/>
        </w:rPr>
        <w:t>(6), 847–876. https://doi.org/10.1080/00221546.2021.1888674</w:t>
      </w:r>
    </w:p>
    <w:p w14:paraId="05BF30B6" w14:textId="0F9784E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Office of the Press Secretary. (2015, January 9). </w:t>
      </w:r>
      <w:r w:rsidRPr="002D49EB">
        <w:rPr>
          <w:rFonts w:ascii="Times New Roman" w:hAnsi="Times New Roman" w:cs="Times New Roman"/>
          <w:i/>
          <w:iCs/>
        </w:rPr>
        <w:t>Fact sheet - White House unveils America’s college promise proposal: Tuition-free community college for responsible students</w:t>
      </w:r>
      <w:r w:rsidRPr="002D49EB">
        <w:rPr>
          <w:rFonts w:ascii="Times New Roman" w:hAnsi="Times New Roman" w:cs="Times New Roman"/>
        </w:rPr>
        <w:t xml:space="preserve">. The White House. </w:t>
      </w:r>
      <w:r w:rsidRPr="002D49EB">
        <w:rPr>
          <w:rFonts w:ascii="Times New Roman" w:hAnsi="Times New Roman" w:cs="Times New Roman"/>
        </w:rPr>
        <w:lastRenderedPageBreak/>
        <w:t>https://obamawhitehouse.archives.gov/the-press-office/2015/01/09/fact-sheet-white-house-unveils-america-s-college-promise-proposal-tuitio</w:t>
      </w:r>
    </w:p>
    <w:p w14:paraId="12BC645A"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Ortagus, J. C., Rosinger, K., Kelchen, R., Voorhees, N., Chu, G., &amp; Allchin, H. (2023). A national analysis of the impact of performance-based funding on completion outcomes among underserved students. </w:t>
      </w:r>
      <w:r w:rsidRPr="002D49EB">
        <w:rPr>
          <w:rFonts w:ascii="Times New Roman" w:hAnsi="Times New Roman" w:cs="Times New Roman"/>
          <w:i/>
          <w:iCs/>
        </w:rPr>
        <w:t>The Review of Higher Education</w:t>
      </w:r>
      <w:r w:rsidRPr="002D49EB">
        <w:rPr>
          <w:rFonts w:ascii="Times New Roman" w:hAnsi="Times New Roman" w:cs="Times New Roman"/>
        </w:rPr>
        <w:t xml:space="preserve">, </w:t>
      </w:r>
      <w:r w:rsidRPr="002D49EB">
        <w:rPr>
          <w:rFonts w:ascii="Times New Roman" w:hAnsi="Times New Roman" w:cs="Times New Roman"/>
          <w:i/>
          <w:iCs/>
        </w:rPr>
        <w:t>46</w:t>
      </w:r>
      <w:r w:rsidRPr="002D49EB">
        <w:rPr>
          <w:rFonts w:ascii="Times New Roman" w:hAnsi="Times New Roman" w:cs="Times New Roman"/>
        </w:rPr>
        <w:t>(4), 415–452.</w:t>
      </w:r>
    </w:p>
    <w:p w14:paraId="606286F1"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Page, L. C., Castleman, B. L., &amp; Meyer, K. (2020). Customized nudging to improve FAFSA completion and income verification. </w:t>
      </w:r>
      <w:r w:rsidRPr="002D49EB">
        <w:rPr>
          <w:rFonts w:ascii="Times New Roman" w:hAnsi="Times New Roman" w:cs="Times New Roman"/>
          <w:i/>
          <w:iCs/>
        </w:rPr>
        <w:t>Educational Evaluation and Policy Analysis</w:t>
      </w:r>
      <w:r w:rsidRPr="002D49EB">
        <w:rPr>
          <w:rFonts w:ascii="Times New Roman" w:hAnsi="Times New Roman" w:cs="Times New Roman"/>
        </w:rPr>
        <w:t xml:space="preserve">, </w:t>
      </w:r>
      <w:r w:rsidRPr="002D49EB">
        <w:rPr>
          <w:rFonts w:ascii="Times New Roman" w:hAnsi="Times New Roman" w:cs="Times New Roman"/>
          <w:i/>
          <w:iCs/>
        </w:rPr>
        <w:t>42</w:t>
      </w:r>
      <w:r w:rsidRPr="002D49EB">
        <w:rPr>
          <w:rFonts w:ascii="Times New Roman" w:hAnsi="Times New Roman" w:cs="Times New Roman"/>
        </w:rPr>
        <w:t>(1), 3–21. https://doi.org/10.3102/0162373719876916</w:t>
      </w:r>
    </w:p>
    <w:p w14:paraId="3EDFB8DF"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Park, R. S. E., &amp; Scott-Clayton, J. (2017). The impact of Pell grant eligibility on community college students’ financial aid packages, labor supply, and academic outcomes. </w:t>
      </w:r>
      <w:r w:rsidRPr="002D49EB">
        <w:rPr>
          <w:rFonts w:ascii="Times New Roman" w:hAnsi="Times New Roman" w:cs="Times New Roman"/>
          <w:i/>
          <w:iCs/>
        </w:rPr>
        <w:t>Educational Evaluation and Policy Analysis</w:t>
      </w:r>
      <w:r w:rsidRPr="002D49EB">
        <w:rPr>
          <w:rFonts w:ascii="Times New Roman" w:hAnsi="Times New Roman" w:cs="Times New Roman"/>
        </w:rPr>
        <w:t xml:space="preserve">, </w:t>
      </w:r>
      <w:r w:rsidRPr="002D49EB">
        <w:rPr>
          <w:rFonts w:ascii="Times New Roman" w:hAnsi="Times New Roman" w:cs="Times New Roman"/>
          <w:i/>
          <w:iCs/>
        </w:rPr>
        <w:t>40</w:t>
      </w:r>
      <w:r w:rsidRPr="002D49EB">
        <w:rPr>
          <w:rFonts w:ascii="Times New Roman" w:hAnsi="Times New Roman" w:cs="Times New Roman"/>
        </w:rPr>
        <w:t>(4), 557–585. https://doi.org/10.3102/0162373718783868</w:t>
      </w:r>
    </w:p>
    <w:p w14:paraId="27C41D61"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Perin, D. (2018). Teaching academically underprepared students in community colleges. In J. Levin &amp; S. T. Kater (Eds.), </w:t>
      </w:r>
      <w:r w:rsidRPr="002D49EB">
        <w:rPr>
          <w:rFonts w:ascii="Times New Roman" w:hAnsi="Times New Roman" w:cs="Times New Roman"/>
          <w:i/>
          <w:iCs/>
        </w:rPr>
        <w:t>Understanding Community Colleges</w:t>
      </w:r>
      <w:r w:rsidRPr="002D49EB">
        <w:rPr>
          <w:rFonts w:ascii="Times New Roman" w:hAnsi="Times New Roman" w:cs="Times New Roman"/>
        </w:rPr>
        <w:t xml:space="preserve"> (2nd ed., pp. 135–158). Routledge. https://www.taylorfrancis.com/chapters/edit/10.4324/9781315268071-7/teaching-academically-underprepared-students-community-colleges-dolores-perin</w:t>
      </w:r>
    </w:p>
    <w:p w14:paraId="29A7C7F7"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Perna, L. W., &amp; Leigh, E. (2016, October). Database of college promise programs. Philadelphia, PA: University of Pennsylvania, Alliance for Higher Education and Democracy. http://ahead-penn.org/creating-knowledge/college-promise </w:t>
      </w:r>
    </w:p>
    <w:p w14:paraId="24AF0B46"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Perna, L. W., &amp; Leigh, E. W. (2017). Understanding the promise: A typology of state and local college promise programs. </w:t>
      </w:r>
      <w:r w:rsidRPr="002D49EB">
        <w:rPr>
          <w:rFonts w:ascii="Times New Roman" w:hAnsi="Times New Roman" w:cs="Times New Roman"/>
          <w:i/>
          <w:iCs/>
        </w:rPr>
        <w:t>Educational Researcher</w:t>
      </w:r>
      <w:r w:rsidRPr="002D49EB">
        <w:rPr>
          <w:rFonts w:ascii="Times New Roman" w:hAnsi="Times New Roman" w:cs="Times New Roman"/>
        </w:rPr>
        <w:t xml:space="preserve">, </w:t>
      </w:r>
      <w:r w:rsidRPr="002D49EB">
        <w:rPr>
          <w:rFonts w:ascii="Times New Roman" w:hAnsi="Times New Roman" w:cs="Times New Roman"/>
          <w:i/>
          <w:iCs/>
        </w:rPr>
        <w:t>47</w:t>
      </w:r>
      <w:r w:rsidRPr="002D49EB">
        <w:rPr>
          <w:rFonts w:ascii="Times New Roman" w:hAnsi="Times New Roman" w:cs="Times New Roman"/>
        </w:rPr>
        <w:t>(3), 155–180. https://doi.org/10.3102/0013189X17742653</w:t>
      </w:r>
    </w:p>
    <w:p w14:paraId="6A504D46"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Perna, L. W., Wright-Kim, J., &amp; Leigh, E. W. (2021). Will college promise programs improve or reduce equity? Understanding the contextual conditions that influence program implementation. </w:t>
      </w:r>
      <w:r w:rsidRPr="002D49EB">
        <w:rPr>
          <w:rFonts w:ascii="Times New Roman" w:hAnsi="Times New Roman" w:cs="Times New Roman"/>
          <w:i/>
          <w:iCs/>
        </w:rPr>
        <w:t>Education Policy Analysis Archives</w:t>
      </w:r>
      <w:r w:rsidRPr="002D49EB">
        <w:rPr>
          <w:rFonts w:ascii="Times New Roman" w:hAnsi="Times New Roman" w:cs="Times New Roman"/>
        </w:rPr>
        <w:t xml:space="preserve">, </w:t>
      </w:r>
      <w:r w:rsidRPr="002D49EB">
        <w:rPr>
          <w:rFonts w:ascii="Times New Roman" w:hAnsi="Times New Roman" w:cs="Times New Roman"/>
          <w:i/>
          <w:iCs/>
        </w:rPr>
        <w:t>29</w:t>
      </w:r>
      <w:r w:rsidRPr="002D49EB">
        <w:rPr>
          <w:rFonts w:ascii="Times New Roman" w:hAnsi="Times New Roman" w:cs="Times New Roman"/>
        </w:rPr>
        <w:t>, 26–26. https://doi.org/10.14507/epaa.29.5436</w:t>
      </w:r>
    </w:p>
    <w:p w14:paraId="25B17642"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Pike, G. R., Kuh, G. D., &amp; Massa-McKinley, R. C. (2009). First-year students’ employment, engagement, and academic achievement: Untangling the relationship between work and grades. </w:t>
      </w:r>
      <w:r w:rsidRPr="002D49EB">
        <w:rPr>
          <w:rFonts w:ascii="Times New Roman" w:hAnsi="Times New Roman" w:cs="Times New Roman"/>
          <w:i/>
          <w:iCs/>
        </w:rPr>
        <w:t>NASPA Journal</w:t>
      </w:r>
      <w:r w:rsidRPr="002D49EB">
        <w:rPr>
          <w:rFonts w:ascii="Times New Roman" w:hAnsi="Times New Roman" w:cs="Times New Roman"/>
        </w:rPr>
        <w:t xml:space="preserve">, </w:t>
      </w:r>
      <w:r w:rsidRPr="002D49EB">
        <w:rPr>
          <w:rFonts w:ascii="Times New Roman" w:hAnsi="Times New Roman" w:cs="Times New Roman"/>
          <w:i/>
          <w:iCs/>
        </w:rPr>
        <w:t>45</w:t>
      </w:r>
      <w:r w:rsidRPr="002D49EB">
        <w:rPr>
          <w:rFonts w:ascii="Times New Roman" w:hAnsi="Times New Roman" w:cs="Times New Roman"/>
        </w:rPr>
        <w:t>(4), 560–582. https://doi.org/10.2202/1949-6605.2011</w:t>
      </w:r>
    </w:p>
    <w:p w14:paraId="2412972C"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Rambachan, A., &amp; Roth, J. (2023). A more credible approach to parallel trends. </w:t>
      </w:r>
      <w:r w:rsidRPr="002D49EB">
        <w:rPr>
          <w:rFonts w:ascii="Times New Roman" w:hAnsi="Times New Roman" w:cs="Times New Roman"/>
          <w:i/>
          <w:iCs/>
        </w:rPr>
        <w:t>Review of Economic Studies</w:t>
      </w:r>
      <w:r w:rsidRPr="002D49EB">
        <w:rPr>
          <w:rFonts w:ascii="Times New Roman" w:hAnsi="Times New Roman" w:cs="Times New Roman"/>
        </w:rPr>
        <w:t xml:space="preserve">, </w:t>
      </w:r>
      <w:r w:rsidRPr="002D49EB">
        <w:rPr>
          <w:rFonts w:ascii="Times New Roman" w:hAnsi="Times New Roman" w:cs="Times New Roman"/>
          <w:i/>
          <w:iCs/>
        </w:rPr>
        <w:t>90</w:t>
      </w:r>
      <w:r w:rsidRPr="002D49EB">
        <w:rPr>
          <w:rFonts w:ascii="Times New Roman" w:hAnsi="Times New Roman" w:cs="Times New Roman"/>
        </w:rPr>
        <w:t>(5), 2555–2591. https://doi.org/10.1093/restud/rdad018</w:t>
      </w:r>
    </w:p>
    <w:p w14:paraId="783E3A9D"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Rizzo, M., &amp; Ehrenberg, R. G. (2003). Resident and nonresident tuition and enrollment at flagship universities. </w:t>
      </w:r>
      <w:r w:rsidRPr="002D49EB">
        <w:rPr>
          <w:rFonts w:ascii="Times New Roman" w:hAnsi="Times New Roman" w:cs="Times New Roman"/>
          <w:i/>
          <w:iCs/>
        </w:rPr>
        <w:t>The Economics of Where to Go, When to Go, and How to Pay For It</w:t>
      </w:r>
      <w:r w:rsidRPr="002D49EB">
        <w:rPr>
          <w:rFonts w:ascii="Times New Roman" w:hAnsi="Times New Roman" w:cs="Times New Roman"/>
        </w:rPr>
        <w:t xml:space="preserve"> (pp. 303–354). University of Chicago Press. https://www.nber.org/books-and-chapters/college-choices-economics-where-go-when-go-and-how-pay-it/resident-and-nonresident-tuition-and-enrollment-flagship-state-universities</w:t>
      </w:r>
    </w:p>
    <w:p w14:paraId="065B8BC1"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Rosinger, K. O., Ortagus, J., Kelchen, R., Cassell, A., &amp; Brown, L. C. (2021). New evidence on the evolution and landscape of performance funding for higher </w:t>
      </w:r>
      <w:r w:rsidRPr="002D49EB">
        <w:rPr>
          <w:rFonts w:ascii="Times New Roman" w:hAnsi="Times New Roman" w:cs="Times New Roman"/>
        </w:rPr>
        <w:lastRenderedPageBreak/>
        <w:t xml:space="preserve">education. </w:t>
      </w:r>
      <w:r w:rsidRPr="002D49EB">
        <w:rPr>
          <w:rFonts w:ascii="Times New Roman" w:hAnsi="Times New Roman" w:cs="Times New Roman"/>
          <w:i/>
          <w:iCs/>
        </w:rPr>
        <w:t>Journal of Higher Education</w:t>
      </w:r>
      <w:r w:rsidRPr="002D49EB">
        <w:rPr>
          <w:rFonts w:ascii="Times New Roman" w:hAnsi="Times New Roman" w:cs="Times New Roman"/>
        </w:rPr>
        <w:t xml:space="preserve">, </w:t>
      </w:r>
      <w:r w:rsidRPr="002D49EB">
        <w:rPr>
          <w:rFonts w:ascii="Times New Roman" w:hAnsi="Times New Roman" w:cs="Times New Roman"/>
          <w:i/>
          <w:iCs/>
        </w:rPr>
        <w:t>93</w:t>
      </w:r>
      <w:r w:rsidRPr="002D49EB">
        <w:rPr>
          <w:rFonts w:ascii="Times New Roman" w:hAnsi="Times New Roman" w:cs="Times New Roman"/>
        </w:rPr>
        <w:t>(5), 735–768. https://doi.org/10.1080/00221546.2022.2066269</w:t>
      </w:r>
    </w:p>
    <w:p w14:paraId="010D2231"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Roth, J. (2022). Pretest with caution: Event-study estimates after testing for parallel trends. </w:t>
      </w:r>
      <w:r w:rsidRPr="002D49EB">
        <w:rPr>
          <w:rFonts w:ascii="Times New Roman" w:hAnsi="Times New Roman" w:cs="Times New Roman"/>
          <w:i/>
          <w:iCs/>
        </w:rPr>
        <w:t>American Economic Review: Insights</w:t>
      </w:r>
      <w:r w:rsidRPr="002D49EB">
        <w:rPr>
          <w:rFonts w:ascii="Times New Roman" w:hAnsi="Times New Roman" w:cs="Times New Roman"/>
        </w:rPr>
        <w:t xml:space="preserve">, </w:t>
      </w:r>
      <w:r w:rsidRPr="002D49EB">
        <w:rPr>
          <w:rFonts w:ascii="Times New Roman" w:hAnsi="Times New Roman" w:cs="Times New Roman"/>
          <w:i/>
          <w:iCs/>
        </w:rPr>
        <w:t>4</w:t>
      </w:r>
      <w:r w:rsidRPr="002D49EB">
        <w:rPr>
          <w:rFonts w:ascii="Times New Roman" w:hAnsi="Times New Roman" w:cs="Times New Roman"/>
        </w:rPr>
        <w:t>(3), 305–322. https://doi.org/10.1257/aeri.20210236</w:t>
      </w:r>
    </w:p>
    <w:p w14:paraId="6FE55251"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Roth, J. (2024). </w:t>
      </w:r>
      <w:r w:rsidRPr="002D49EB">
        <w:rPr>
          <w:rFonts w:ascii="Times New Roman" w:hAnsi="Times New Roman" w:cs="Times New Roman"/>
          <w:i/>
          <w:iCs/>
        </w:rPr>
        <w:t>Interpreting event-studies from recent difference-in-differences methods</w:t>
      </w:r>
      <w:r w:rsidRPr="002D49EB">
        <w:rPr>
          <w:rFonts w:ascii="Times New Roman" w:hAnsi="Times New Roman" w:cs="Times New Roman"/>
        </w:rPr>
        <w:t xml:space="preserve"> (No. arXiv:2401.12309). arXiv. https://doi.org/10.48550/arXiv.2401.12309</w:t>
      </w:r>
    </w:p>
    <w:p w14:paraId="4B93E72F"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Roth, J., Sant’Anna, P. H. C., Bilinski, A., &amp; Poe, J. (2023). What’s trending in difference-in-differences? A synthesis of the recent econometrics literature. </w:t>
      </w:r>
      <w:r w:rsidRPr="002D49EB">
        <w:rPr>
          <w:rFonts w:ascii="Times New Roman" w:hAnsi="Times New Roman" w:cs="Times New Roman"/>
          <w:i/>
          <w:iCs/>
        </w:rPr>
        <w:t>Journal of Econometrics</w:t>
      </w:r>
      <w:r w:rsidRPr="002D49EB">
        <w:rPr>
          <w:rFonts w:ascii="Times New Roman" w:hAnsi="Times New Roman" w:cs="Times New Roman"/>
        </w:rPr>
        <w:t xml:space="preserve">, </w:t>
      </w:r>
      <w:r w:rsidRPr="002D49EB">
        <w:rPr>
          <w:rFonts w:ascii="Times New Roman" w:hAnsi="Times New Roman" w:cs="Times New Roman"/>
          <w:i/>
          <w:iCs/>
        </w:rPr>
        <w:t>235</w:t>
      </w:r>
      <w:r w:rsidRPr="002D49EB">
        <w:rPr>
          <w:rFonts w:ascii="Times New Roman" w:hAnsi="Times New Roman" w:cs="Times New Roman"/>
        </w:rPr>
        <w:t>(2), 2218–2244. https://doi.org/10.1016/j.jeconom.2023.03.008</w:t>
      </w:r>
    </w:p>
    <w:p w14:paraId="0418E1C0"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Ruiz, R., Leigh, E., Napier, A., &amp; González, C. (2020). Community college programs and local impact: Aggregate effects of college attainment in three promise communities. In L. W. Perna (Ed.), </w:t>
      </w:r>
      <w:r w:rsidRPr="002D49EB">
        <w:rPr>
          <w:rFonts w:ascii="Times New Roman" w:hAnsi="Times New Roman" w:cs="Times New Roman"/>
          <w:i/>
          <w:iCs/>
        </w:rPr>
        <w:t>College promise programs: Improving research-based knowledge of college promise programs</w:t>
      </w:r>
      <w:r w:rsidRPr="002D49EB">
        <w:rPr>
          <w:rFonts w:ascii="Times New Roman" w:hAnsi="Times New Roman" w:cs="Times New Roman"/>
        </w:rPr>
        <w:t xml:space="preserve"> (pp. 241–266). https://ebooks.aera.net/IRBKCPP11</w:t>
      </w:r>
    </w:p>
    <w:p w14:paraId="499936E6"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Schenet, M. A. (1993). </w:t>
      </w:r>
      <w:r w:rsidRPr="002D49EB">
        <w:rPr>
          <w:rFonts w:ascii="Times New Roman" w:hAnsi="Times New Roman" w:cs="Times New Roman"/>
          <w:i/>
          <w:iCs/>
        </w:rPr>
        <w:t>Recent changes in federal student aid</w:t>
      </w:r>
      <w:r w:rsidRPr="002D49EB">
        <w:rPr>
          <w:rFonts w:ascii="Times New Roman" w:hAnsi="Times New Roman" w:cs="Times New Roman"/>
        </w:rPr>
        <w:t>. CRS Report for Congress. https://files.eric.ed.gov/fulltext/ED378876.pdf</w:t>
      </w:r>
    </w:p>
    <w:p w14:paraId="15DBFF95"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Scott-Clayton, J., &amp; Wen, Q. (2019). Estimating returns to college attainment: Comparing survey and state administrative data–based estimates—Judith Scott-Clayton, Qiao Wen, 2019. </w:t>
      </w:r>
      <w:r w:rsidRPr="002D49EB">
        <w:rPr>
          <w:rFonts w:ascii="Times New Roman" w:hAnsi="Times New Roman" w:cs="Times New Roman"/>
          <w:i/>
          <w:iCs/>
        </w:rPr>
        <w:t>Evaluation Review</w:t>
      </w:r>
      <w:r w:rsidRPr="002D49EB">
        <w:rPr>
          <w:rFonts w:ascii="Times New Roman" w:hAnsi="Times New Roman" w:cs="Times New Roman"/>
        </w:rPr>
        <w:t xml:space="preserve">, </w:t>
      </w:r>
      <w:r w:rsidRPr="002D49EB">
        <w:rPr>
          <w:rFonts w:ascii="Times New Roman" w:hAnsi="Times New Roman" w:cs="Times New Roman"/>
          <w:i/>
          <w:iCs/>
        </w:rPr>
        <w:t>43</w:t>
      </w:r>
      <w:r w:rsidRPr="002D49EB">
        <w:rPr>
          <w:rFonts w:ascii="Times New Roman" w:hAnsi="Times New Roman" w:cs="Times New Roman"/>
        </w:rPr>
        <w:t>(5), 266–306. https://doi.org/doi.org/10.1177/0193841X1880324</w:t>
      </w:r>
    </w:p>
    <w:p w14:paraId="33E8AB6E"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Scott-Clayton, J., &amp; Zafar, B. (2019). Financial aid, debt management, and socioeconomic outcomes: Post-college effects of merit-based aid. </w:t>
      </w:r>
      <w:r w:rsidRPr="002D49EB">
        <w:rPr>
          <w:rFonts w:ascii="Times New Roman" w:hAnsi="Times New Roman" w:cs="Times New Roman"/>
          <w:i/>
          <w:iCs/>
        </w:rPr>
        <w:t>Journal of Public Economics</w:t>
      </w:r>
      <w:r w:rsidRPr="002D49EB">
        <w:rPr>
          <w:rFonts w:ascii="Times New Roman" w:hAnsi="Times New Roman" w:cs="Times New Roman"/>
        </w:rPr>
        <w:t xml:space="preserve">, </w:t>
      </w:r>
      <w:r w:rsidRPr="002D49EB">
        <w:rPr>
          <w:rFonts w:ascii="Times New Roman" w:hAnsi="Times New Roman" w:cs="Times New Roman"/>
          <w:i/>
          <w:iCs/>
        </w:rPr>
        <w:t>170</w:t>
      </w:r>
      <w:r w:rsidRPr="002D49EB">
        <w:rPr>
          <w:rFonts w:ascii="Times New Roman" w:hAnsi="Times New Roman" w:cs="Times New Roman"/>
        </w:rPr>
        <w:t>, 68–82. https://doi.org/10.1016/j.jpubeco.2019.01.006</w:t>
      </w:r>
    </w:p>
    <w:p w14:paraId="00056C90"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Servicemen’s Readjustment Act (1944), Pub. L. No. 346–268, 291 Public Law (1944). https://www.archives.gov/milestone-documents/servicemens-readjustment-act</w:t>
      </w:r>
    </w:p>
    <w:p w14:paraId="6B227C5E"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Singell, L. D., &amp; Stone, J. A. (2007). For whom the Pell tolls: The response of university tuition to federal grants-in-aid. </w:t>
      </w:r>
      <w:r w:rsidRPr="002D49EB">
        <w:rPr>
          <w:rFonts w:ascii="Times New Roman" w:hAnsi="Times New Roman" w:cs="Times New Roman"/>
          <w:i/>
          <w:iCs/>
        </w:rPr>
        <w:t>Economics of Education Review</w:t>
      </w:r>
      <w:r w:rsidRPr="002D49EB">
        <w:rPr>
          <w:rFonts w:ascii="Times New Roman" w:hAnsi="Times New Roman" w:cs="Times New Roman"/>
        </w:rPr>
        <w:t xml:space="preserve">, </w:t>
      </w:r>
      <w:r w:rsidRPr="002D49EB">
        <w:rPr>
          <w:rFonts w:ascii="Times New Roman" w:hAnsi="Times New Roman" w:cs="Times New Roman"/>
          <w:i/>
          <w:iCs/>
        </w:rPr>
        <w:t>26</w:t>
      </w:r>
      <w:r w:rsidRPr="002D49EB">
        <w:rPr>
          <w:rFonts w:ascii="Times New Roman" w:hAnsi="Times New Roman" w:cs="Times New Roman"/>
        </w:rPr>
        <w:t>(3), 285–295. https://doi.org/10.1016/j.econedurev.2006.01.005</w:t>
      </w:r>
    </w:p>
    <w:p w14:paraId="250A1ADC"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Sjoquist, D. L., &amp; Winters, J. V. (2013). The effects of HOPE on post-college retention in the Georgia workforce. </w:t>
      </w:r>
      <w:r w:rsidRPr="002D49EB">
        <w:rPr>
          <w:rFonts w:ascii="Times New Roman" w:hAnsi="Times New Roman" w:cs="Times New Roman"/>
          <w:i/>
          <w:iCs/>
        </w:rPr>
        <w:t>Regional science and urban economics</w:t>
      </w:r>
      <w:r w:rsidRPr="002D49EB">
        <w:rPr>
          <w:rFonts w:ascii="Times New Roman" w:hAnsi="Times New Roman" w:cs="Times New Roman"/>
        </w:rPr>
        <w:t xml:space="preserve">, </w:t>
      </w:r>
      <w:r w:rsidRPr="002D49EB">
        <w:rPr>
          <w:rFonts w:ascii="Times New Roman" w:hAnsi="Times New Roman" w:cs="Times New Roman"/>
          <w:i/>
          <w:iCs/>
        </w:rPr>
        <w:t>43</w:t>
      </w:r>
      <w:r w:rsidRPr="002D49EB">
        <w:rPr>
          <w:rFonts w:ascii="Times New Roman" w:hAnsi="Times New Roman" w:cs="Times New Roman"/>
        </w:rPr>
        <w:t>(3), 479–490. https://doi.org/10.1016/j.regsciurbeco.2013.02.003</w:t>
      </w:r>
    </w:p>
    <w:p w14:paraId="0FB5432A"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Sjoquist, D. L., &amp; Winters, J. V. (2014). Merit aid and post-college retention in the state. </w:t>
      </w:r>
      <w:r w:rsidRPr="002D49EB">
        <w:rPr>
          <w:rFonts w:ascii="Times New Roman" w:hAnsi="Times New Roman" w:cs="Times New Roman"/>
          <w:i/>
          <w:iCs/>
        </w:rPr>
        <w:t>Journal of Urban Economics</w:t>
      </w:r>
      <w:r w:rsidRPr="002D49EB">
        <w:rPr>
          <w:rFonts w:ascii="Times New Roman" w:hAnsi="Times New Roman" w:cs="Times New Roman"/>
        </w:rPr>
        <w:t xml:space="preserve">, </w:t>
      </w:r>
      <w:r w:rsidRPr="002D49EB">
        <w:rPr>
          <w:rFonts w:ascii="Times New Roman" w:hAnsi="Times New Roman" w:cs="Times New Roman"/>
          <w:i/>
          <w:iCs/>
        </w:rPr>
        <w:t>80</w:t>
      </w:r>
      <w:r w:rsidRPr="002D49EB">
        <w:rPr>
          <w:rFonts w:ascii="Times New Roman" w:hAnsi="Times New Roman" w:cs="Times New Roman"/>
        </w:rPr>
        <w:t>, 39–50. https://doi.org/10.1016/j.jue.2013.10.003</w:t>
      </w:r>
    </w:p>
    <w:p w14:paraId="37DE628C"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Snyder, T. D. (1993). 120 years of American education: A statistical portrait. U.S. Dept. of Education, Office of Educational Research and Improvement, National Center for Education Statistics.</w:t>
      </w:r>
    </w:p>
    <w:p w14:paraId="697768DA"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St. John, E., Daun-Barnett, N., &amp; Moronski-Chapman, K. M. (2018). </w:t>
      </w:r>
      <w:r w:rsidRPr="002D49EB">
        <w:rPr>
          <w:rFonts w:ascii="Times New Roman" w:hAnsi="Times New Roman" w:cs="Times New Roman"/>
          <w:i/>
          <w:iCs/>
        </w:rPr>
        <w:t>Public policy and higher education: Reframing strategies for preparation, access, and college success</w:t>
      </w:r>
      <w:r w:rsidRPr="002D49EB">
        <w:rPr>
          <w:rFonts w:ascii="Times New Roman" w:hAnsi="Times New Roman" w:cs="Times New Roman"/>
        </w:rPr>
        <w:t>. Routledge. https://www.routledge.com/Public-Policy-and-Higher-Education-Reframing-Strategies-for-Preparation-Access-and-College-Success/StJohn-Daun-Barnett-Moronski-Chapman/p/book/9781138655508</w:t>
      </w:r>
    </w:p>
    <w:p w14:paraId="7897EF25" w14:textId="03F8A380" w:rsidR="00D10CA7"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St. John, E. P., Musoba, G. D., &amp; Simmons, A. B. (2003). Keeping the promise: The impact of Indiana’s Twenty-first Century Scholars program. </w:t>
      </w:r>
      <w:r w:rsidRPr="002D49EB">
        <w:rPr>
          <w:rFonts w:ascii="Times New Roman" w:hAnsi="Times New Roman" w:cs="Times New Roman"/>
          <w:i/>
          <w:iCs/>
        </w:rPr>
        <w:t>The Review of Higher Education</w:t>
      </w:r>
      <w:r w:rsidRPr="002D49EB">
        <w:rPr>
          <w:rFonts w:ascii="Times New Roman" w:hAnsi="Times New Roman" w:cs="Times New Roman"/>
        </w:rPr>
        <w:t xml:space="preserve">, </w:t>
      </w:r>
      <w:r w:rsidRPr="002D49EB">
        <w:rPr>
          <w:rFonts w:ascii="Times New Roman" w:hAnsi="Times New Roman" w:cs="Times New Roman"/>
          <w:i/>
          <w:iCs/>
        </w:rPr>
        <w:t>27</w:t>
      </w:r>
      <w:r w:rsidRPr="002D49EB">
        <w:rPr>
          <w:rFonts w:ascii="Times New Roman" w:hAnsi="Times New Roman" w:cs="Times New Roman"/>
        </w:rPr>
        <w:t>(1), 103–123.</w:t>
      </w:r>
    </w:p>
    <w:p w14:paraId="4E6D5AF2" w14:textId="02D320A4"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Strohl, J., Mabel, Z., &amp; Campbell, K. P. (2024). </w:t>
      </w:r>
      <w:r w:rsidRPr="002D49EB">
        <w:rPr>
          <w:rFonts w:ascii="Times New Roman" w:hAnsi="Times New Roman" w:cs="Times New Roman"/>
          <w:i/>
          <w:iCs/>
        </w:rPr>
        <w:t>The great misalignment: Addressing the mismatch between the supply of certificates and associate’s degrees and the future demand for workers in 565 US labor markets</w:t>
      </w:r>
      <w:r w:rsidRPr="002D49EB">
        <w:rPr>
          <w:rFonts w:ascii="Times New Roman" w:hAnsi="Times New Roman" w:cs="Times New Roman"/>
        </w:rPr>
        <w:t>. McCourt School of Public Policy Georgetown University. https://cew.georgetown.edu/wp-content/uploads/cew-the_great_misalignment-fr.pdf</w:t>
      </w:r>
    </w:p>
    <w:p w14:paraId="5446CD48"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Suhonen, T., &amp; Karhunen, H. (2019). The intergenerational effects of parental higher education: Evidence from changes in university accessibility. </w:t>
      </w:r>
      <w:r w:rsidRPr="002D49EB">
        <w:rPr>
          <w:rFonts w:ascii="Times New Roman" w:hAnsi="Times New Roman" w:cs="Times New Roman"/>
          <w:i/>
          <w:iCs/>
        </w:rPr>
        <w:t>Journal of Public Economics</w:t>
      </w:r>
      <w:r w:rsidRPr="002D49EB">
        <w:rPr>
          <w:rFonts w:ascii="Times New Roman" w:hAnsi="Times New Roman" w:cs="Times New Roman"/>
        </w:rPr>
        <w:t xml:space="preserve">, </w:t>
      </w:r>
      <w:r w:rsidRPr="002D49EB">
        <w:rPr>
          <w:rFonts w:ascii="Times New Roman" w:hAnsi="Times New Roman" w:cs="Times New Roman"/>
          <w:i/>
          <w:iCs/>
        </w:rPr>
        <w:t>176</w:t>
      </w:r>
      <w:r w:rsidRPr="002D49EB">
        <w:rPr>
          <w:rFonts w:ascii="Times New Roman" w:hAnsi="Times New Roman" w:cs="Times New Roman"/>
        </w:rPr>
        <w:t>, 195–217. https://doi.org/10.1016/j.jpubeco.2019.07.001</w:t>
      </w:r>
    </w:p>
    <w:p w14:paraId="3B3E150E"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Sun, L., &amp; Abraham, S. (2021). Estimating dynamic treatment effects in event studies with heterogeneous treatment effects. </w:t>
      </w:r>
      <w:r w:rsidRPr="002D49EB">
        <w:rPr>
          <w:rFonts w:ascii="Times New Roman" w:hAnsi="Times New Roman" w:cs="Times New Roman"/>
          <w:i/>
          <w:iCs/>
        </w:rPr>
        <w:t>Journal of Econometrics</w:t>
      </w:r>
      <w:r w:rsidRPr="002D49EB">
        <w:rPr>
          <w:rFonts w:ascii="Times New Roman" w:hAnsi="Times New Roman" w:cs="Times New Roman"/>
        </w:rPr>
        <w:t xml:space="preserve">, </w:t>
      </w:r>
      <w:r w:rsidRPr="002D49EB">
        <w:rPr>
          <w:rFonts w:ascii="Times New Roman" w:hAnsi="Times New Roman" w:cs="Times New Roman"/>
          <w:i/>
          <w:iCs/>
        </w:rPr>
        <w:t>225</w:t>
      </w:r>
      <w:r w:rsidRPr="002D49EB">
        <w:rPr>
          <w:rFonts w:ascii="Times New Roman" w:hAnsi="Times New Roman" w:cs="Times New Roman"/>
        </w:rPr>
        <w:t>(2), 175–199. https://doi.org/10.1016/j.jeconom.2020.09.006</w:t>
      </w:r>
    </w:p>
    <w:p w14:paraId="57BA8204"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Swanson, E., &amp; Ritter, G. (2020). Start to finish: Examining the impact of the El Dorado Promise program on postsecondary outcomes. </w:t>
      </w:r>
      <w:r w:rsidRPr="002D49EB">
        <w:rPr>
          <w:rFonts w:ascii="Times New Roman" w:hAnsi="Times New Roman" w:cs="Times New Roman"/>
          <w:i/>
          <w:iCs/>
        </w:rPr>
        <w:t>Journal of Student Financial Aid</w:t>
      </w:r>
      <w:r w:rsidRPr="002D49EB">
        <w:rPr>
          <w:rFonts w:ascii="Times New Roman" w:hAnsi="Times New Roman" w:cs="Times New Roman"/>
        </w:rPr>
        <w:t xml:space="preserve">, </w:t>
      </w:r>
      <w:r w:rsidRPr="002D49EB">
        <w:rPr>
          <w:rFonts w:ascii="Times New Roman" w:hAnsi="Times New Roman" w:cs="Times New Roman"/>
          <w:i/>
          <w:iCs/>
        </w:rPr>
        <w:t>49</w:t>
      </w:r>
      <w:r w:rsidRPr="002D49EB">
        <w:rPr>
          <w:rFonts w:ascii="Times New Roman" w:hAnsi="Times New Roman" w:cs="Times New Roman"/>
        </w:rPr>
        <w:t>(3). https://doi.org/10.55504/0884-9153.1703</w:t>
      </w:r>
    </w:p>
    <w:p w14:paraId="0716E165" w14:textId="74A5050B" w:rsidR="00D10CA7" w:rsidRDefault="00D10CA7" w:rsidP="00334A8E">
      <w:pPr>
        <w:spacing w:line="480" w:lineRule="auto"/>
        <w:ind w:left="720" w:hanging="720"/>
        <w:rPr>
          <w:rFonts w:ascii="Times New Roman" w:hAnsi="Times New Roman" w:cs="Times New Roman"/>
        </w:rPr>
      </w:pPr>
      <w:r w:rsidRPr="002D49EB">
        <w:rPr>
          <w:rFonts w:ascii="Times New Roman" w:hAnsi="Times New Roman" w:cs="Times New Roman"/>
        </w:rPr>
        <w:t xml:space="preserve">Swanson, E., Watson, A., &amp; Ritter, G. (2020). Promises fulfilled? A systematic review of the impacts of college promise programs. In L. W. Perna &amp; E. Smith (Eds.), </w:t>
      </w:r>
      <w:r w:rsidRPr="002D49EB">
        <w:rPr>
          <w:rFonts w:ascii="Times New Roman" w:hAnsi="Times New Roman" w:cs="Times New Roman"/>
          <w:i/>
          <w:iCs/>
        </w:rPr>
        <w:t xml:space="preserve">Improving research-based knowledge of college promise programs of </w:t>
      </w:r>
      <w:r w:rsidR="003C0CA1">
        <w:rPr>
          <w:rFonts w:ascii="Times New Roman" w:hAnsi="Times New Roman" w:cs="Times New Roman"/>
          <w:i/>
          <w:iCs/>
        </w:rPr>
        <w:t>c</w:t>
      </w:r>
      <w:r w:rsidRPr="002D49EB">
        <w:rPr>
          <w:rFonts w:ascii="Times New Roman" w:hAnsi="Times New Roman" w:cs="Times New Roman"/>
          <w:i/>
          <w:iCs/>
        </w:rPr>
        <w:t>ollege promise programs</w:t>
      </w:r>
      <w:r w:rsidRPr="002D49EB">
        <w:rPr>
          <w:rFonts w:ascii="Times New Roman" w:hAnsi="Times New Roman" w:cs="Times New Roman"/>
        </w:rPr>
        <w:t xml:space="preserve"> (pp. 33–68). American Educational Research Association. https://doi.org/10.2307/j.ctvxw3phv</w:t>
      </w:r>
    </w:p>
    <w:p w14:paraId="019ECF17" w14:textId="5DD31D46"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The College System of Tennessee. (2018). </w:t>
      </w:r>
      <w:r w:rsidRPr="002D49EB">
        <w:rPr>
          <w:rFonts w:ascii="Times New Roman" w:hAnsi="Times New Roman" w:cs="Times New Roman"/>
          <w:i/>
          <w:iCs/>
        </w:rPr>
        <w:t>Tennessee Promise students at community colleges: The fall 2015 cohort after five semesters</w:t>
      </w:r>
      <w:r w:rsidRPr="002D49EB">
        <w:rPr>
          <w:rFonts w:ascii="Times New Roman" w:hAnsi="Times New Roman" w:cs="Times New Roman"/>
        </w:rPr>
        <w:t>. https://www.tbr.edu/sites/default/files/media/2019/07/TNPromise2015Cohort_201803.pdf</w:t>
      </w:r>
    </w:p>
    <w:p w14:paraId="447B66C5"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The College System of Tennessee. (2019). </w:t>
      </w:r>
      <w:r w:rsidRPr="002D49EB">
        <w:rPr>
          <w:rFonts w:ascii="Times New Roman" w:hAnsi="Times New Roman" w:cs="Times New Roman"/>
          <w:i/>
          <w:iCs/>
        </w:rPr>
        <w:t>Tennessee Promise at community colleges student success for the second cohort of promise students</w:t>
      </w:r>
      <w:r w:rsidRPr="002D49EB">
        <w:rPr>
          <w:rFonts w:ascii="Times New Roman" w:hAnsi="Times New Roman" w:cs="Times New Roman"/>
        </w:rPr>
        <w:t>. https://www.tbr.edu/sites/default/files/media/2020/03/TN-Promise-2016_Executive%20Summary_July2019_0.pdf</w:t>
      </w:r>
    </w:p>
    <w:p w14:paraId="4D225CFF"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The Hope Center for College, Community, and Justice. (2021). </w:t>
      </w:r>
      <w:r w:rsidRPr="002D49EB">
        <w:rPr>
          <w:rFonts w:ascii="Times New Roman" w:hAnsi="Times New Roman" w:cs="Times New Roman"/>
          <w:i/>
          <w:iCs/>
        </w:rPr>
        <w:t>The Hope Center survey 2021: Basic needs insecurity during the ongoing pandemic</w:t>
      </w:r>
      <w:r w:rsidRPr="002D49EB">
        <w:rPr>
          <w:rFonts w:ascii="Times New Roman" w:hAnsi="Times New Roman" w:cs="Times New Roman"/>
        </w:rPr>
        <w:t>. Temple University. https://hope.temple.edu/sites/hope/files/media/document/HopeSurveyReport2021.pdf</w:t>
      </w:r>
    </w:p>
    <w:p w14:paraId="3A56883D"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Trostel, P. (2010). The fiscal impacts of college attainment. </w:t>
      </w:r>
      <w:r w:rsidRPr="002D49EB">
        <w:rPr>
          <w:rFonts w:ascii="Times New Roman" w:hAnsi="Times New Roman" w:cs="Times New Roman"/>
          <w:i/>
          <w:iCs/>
        </w:rPr>
        <w:t>Research in Higher Education</w:t>
      </w:r>
      <w:r w:rsidRPr="002D49EB">
        <w:rPr>
          <w:rFonts w:ascii="Times New Roman" w:hAnsi="Times New Roman" w:cs="Times New Roman"/>
        </w:rPr>
        <w:t xml:space="preserve">, </w:t>
      </w:r>
      <w:r w:rsidRPr="002D49EB">
        <w:rPr>
          <w:rFonts w:ascii="Times New Roman" w:hAnsi="Times New Roman" w:cs="Times New Roman"/>
          <w:i/>
          <w:iCs/>
        </w:rPr>
        <w:t>51</w:t>
      </w:r>
      <w:r w:rsidRPr="002D49EB">
        <w:rPr>
          <w:rFonts w:ascii="Times New Roman" w:hAnsi="Times New Roman" w:cs="Times New Roman"/>
        </w:rPr>
        <w:t>, 220–247. https://doi.org/10.1007/s11162-009-9156-5</w:t>
      </w:r>
    </w:p>
    <w:p w14:paraId="24B571B1"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Turner, L. J. (n.d.). </w:t>
      </w:r>
      <w:r w:rsidRPr="002D49EB">
        <w:rPr>
          <w:rFonts w:ascii="Times New Roman" w:hAnsi="Times New Roman" w:cs="Times New Roman"/>
          <w:i/>
          <w:iCs/>
        </w:rPr>
        <w:t>The road to Pell is paved with good intentions: The economic incidence of federal student grant aid</w:t>
      </w:r>
      <w:r w:rsidRPr="002D49EB">
        <w:rPr>
          <w:rFonts w:ascii="Times New Roman" w:hAnsi="Times New Roman" w:cs="Times New Roman"/>
        </w:rPr>
        <w:t xml:space="preserve">. University of Maryland College Park (Working Paper). https://www.econ.umd.edu/sites/www.econ.umd.edu/files/pubs/Turner_FedAidIncidence.pdf </w:t>
      </w:r>
    </w:p>
    <w:p w14:paraId="5FD74B7F"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Upjohn Institute for Employment Research. (n.d.). </w:t>
      </w:r>
      <w:r w:rsidRPr="002D49EB">
        <w:rPr>
          <w:rFonts w:ascii="Times New Roman" w:hAnsi="Times New Roman" w:cs="Times New Roman"/>
          <w:i/>
          <w:iCs/>
        </w:rPr>
        <w:t>Promise Programs Research Database</w:t>
      </w:r>
      <w:r w:rsidRPr="002D49EB">
        <w:rPr>
          <w:rFonts w:ascii="Times New Roman" w:hAnsi="Times New Roman" w:cs="Times New Roman"/>
        </w:rPr>
        <w:t>. https://www.upjohn.org/promise/</w:t>
      </w:r>
    </w:p>
    <w:p w14:paraId="617829D1"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US Bureau of Labor Statistics. (2024, November 1). </w:t>
      </w:r>
      <w:r w:rsidRPr="002D49EB">
        <w:rPr>
          <w:rFonts w:ascii="Times New Roman" w:hAnsi="Times New Roman" w:cs="Times New Roman"/>
          <w:i/>
          <w:iCs/>
        </w:rPr>
        <w:t>All Employees, Total Nonfarm</w:t>
      </w:r>
      <w:r w:rsidRPr="002D49EB">
        <w:rPr>
          <w:rFonts w:ascii="Times New Roman" w:hAnsi="Times New Roman" w:cs="Times New Roman"/>
        </w:rPr>
        <w:t>. Federal Reserve Bank of St. Louis. https://fred.stlouisfed.org/series/PAYEMS</w:t>
      </w:r>
    </w:p>
    <w:p w14:paraId="59E9193B"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U.S. Department of Education. (n.d.). </w:t>
      </w:r>
      <w:r w:rsidRPr="002D49EB">
        <w:rPr>
          <w:rFonts w:ascii="Times New Roman" w:hAnsi="Times New Roman" w:cs="Times New Roman"/>
          <w:i/>
          <w:iCs/>
        </w:rPr>
        <w:t>Fiscal Year 2024 Budget Summary</w:t>
      </w:r>
      <w:r w:rsidRPr="002D49EB">
        <w:rPr>
          <w:rFonts w:ascii="Times New Roman" w:hAnsi="Times New Roman" w:cs="Times New Roman"/>
        </w:rPr>
        <w:t>. https://www.ed.gov/sites/ed/files/about/overview/budget/budget24/summary/24summary.pdf</w:t>
      </w:r>
    </w:p>
    <w:p w14:paraId="5E79D242"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Velez, E. D. (2013). </w:t>
      </w:r>
      <w:r w:rsidRPr="002D49EB">
        <w:rPr>
          <w:rFonts w:ascii="Times New Roman" w:hAnsi="Times New Roman" w:cs="Times New Roman"/>
          <w:i/>
          <w:iCs/>
        </w:rPr>
        <w:t>What do Stafford loans actually buy you: The effect of Stafford loan access on community college students</w:t>
      </w:r>
      <w:r w:rsidRPr="002D49EB">
        <w:rPr>
          <w:rFonts w:ascii="Times New Roman" w:hAnsi="Times New Roman" w:cs="Times New Roman"/>
        </w:rPr>
        <w:t>. American Institutes for Research. https://www.voced.edu.au/content/ngv%3A68192</w:t>
      </w:r>
    </w:p>
    <w:p w14:paraId="0284286A" w14:textId="053CF2AC"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Venkataramani, A. S., Bair, E. F., O’Brien, R. L., &amp; Tsai, A. C. (2020). Association between automotive </w:t>
      </w:r>
      <w:r w:rsidR="008C11FB" w:rsidRPr="002D49EB">
        <w:rPr>
          <w:rFonts w:ascii="Times New Roman" w:hAnsi="Times New Roman" w:cs="Times New Roman"/>
        </w:rPr>
        <w:t>assembly</w:t>
      </w:r>
      <w:r w:rsidRPr="002D49EB">
        <w:rPr>
          <w:rFonts w:ascii="Times New Roman" w:hAnsi="Times New Roman" w:cs="Times New Roman"/>
        </w:rPr>
        <w:t xml:space="preserve"> plant closures and opioid overdose mortality in the United States: A difference-in-differences Analysis. </w:t>
      </w:r>
      <w:r w:rsidRPr="002D49EB">
        <w:rPr>
          <w:rFonts w:ascii="Times New Roman" w:hAnsi="Times New Roman" w:cs="Times New Roman"/>
          <w:i/>
          <w:iCs/>
        </w:rPr>
        <w:t>JAMA Internal Medicine</w:t>
      </w:r>
      <w:r w:rsidRPr="002D49EB">
        <w:rPr>
          <w:rFonts w:ascii="Times New Roman" w:hAnsi="Times New Roman" w:cs="Times New Roman"/>
        </w:rPr>
        <w:t xml:space="preserve">, </w:t>
      </w:r>
      <w:r w:rsidRPr="002D49EB">
        <w:rPr>
          <w:rFonts w:ascii="Times New Roman" w:hAnsi="Times New Roman" w:cs="Times New Roman"/>
          <w:i/>
          <w:iCs/>
        </w:rPr>
        <w:t>180</w:t>
      </w:r>
      <w:r w:rsidRPr="002D49EB">
        <w:rPr>
          <w:rFonts w:ascii="Times New Roman" w:hAnsi="Times New Roman" w:cs="Times New Roman"/>
        </w:rPr>
        <w:t>(2), 254. https://doi.org/10.1001/jamainternmed.2019.5686</w:t>
      </w:r>
    </w:p>
    <w:p w14:paraId="230F1658"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Weerts, D. J., &amp; Ronca, J. M. (2006). Examining differences in state support for higher education: A comparative study of state appropriations for research universities. </w:t>
      </w:r>
      <w:r w:rsidRPr="002D49EB">
        <w:rPr>
          <w:rFonts w:ascii="Times New Roman" w:hAnsi="Times New Roman" w:cs="Times New Roman"/>
          <w:i/>
          <w:iCs/>
        </w:rPr>
        <w:t>The Journal of Higher Education</w:t>
      </w:r>
      <w:r w:rsidRPr="002D49EB">
        <w:rPr>
          <w:rFonts w:ascii="Times New Roman" w:hAnsi="Times New Roman" w:cs="Times New Roman"/>
        </w:rPr>
        <w:t xml:space="preserve">, </w:t>
      </w:r>
      <w:r w:rsidRPr="002D49EB">
        <w:rPr>
          <w:rFonts w:ascii="Times New Roman" w:hAnsi="Times New Roman" w:cs="Times New Roman"/>
          <w:i/>
          <w:iCs/>
        </w:rPr>
        <w:t>77</w:t>
      </w:r>
      <w:r w:rsidRPr="002D49EB">
        <w:rPr>
          <w:rFonts w:ascii="Times New Roman" w:hAnsi="Times New Roman" w:cs="Times New Roman"/>
        </w:rPr>
        <w:t>(6), 935–967.</w:t>
      </w:r>
    </w:p>
    <w:p w14:paraId="14D8EB6A"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Weissman, S. (2023, November 14). </w:t>
      </w:r>
      <w:r w:rsidRPr="002D49EB">
        <w:rPr>
          <w:rFonts w:ascii="Times New Roman" w:hAnsi="Times New Roman" w:cs="Times New Roman"/>
          <w:i/>
          <w:iCs/>
        </w:rPr>
        <w:t>Universities prepare to launch 2-year colleges</w:t>
      </w:r>
      <w:r w:rsidRPr="002D49EB">
        <w:rPr>
          <w:rFonts w:ascii="Times New Roman" w:hAnsi="Times New Roman" w:cs="Times New Roman"/>
        </w:rPr>
        <w:t>. Inside Higher Ed. https://www.insidehighered.com/news/students/diversity/2023/11/14/four-year-universities-launching-two-year-colleges</w:t>
      </w:r>
    </w:p>
    <w:p w14:paraId="60CC09E3"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Welch, J. G. (2014). HOPE for community college students: The impact of merit aid on persistence, graduation, and earnings. </w:t>
      </w:r>
      <w:r w:rsidRPr="002D49EB">
        <w:rPr>
          <w:rFonts w:ascii="Times New Roman" w:hAnsi="Times New Roman" w:cs="Times New Roman"/>
          <w:i/>
          <w:iCs/>
        </w:rPr>
        <w:t>Economics of Education Review</w:t>
      </w:r>
      <w:r w:rsidRPr="002D49EB">
        <w:rPr>
          <w:rFonts w:ascii="Times New Roman" w:hAnsi="Times New Roman" w:cs="Times New Roman"/>
        </w:rPr>
        <w:t xml:space="preserve">, </w:t>
      </w:r>
      <w:r w:rsidRPr="002D49EB">
        <w:rPr>
          <w:rFonts w:ascii="Times New Roman" w:hAnsi="Times New Roman" w:cs="Times New Roman"/>
          <w:i/>
          <w:iCs/>
        </w:rPr>
        <w:t>43</w:t>
      </w:r>
      <w:r w:rsidRPr="002D49EB">
        <w:rPr>
          <w:rFonts w:ascii="Times New Roman" w:hAnsi="Times New Roman" w:cs="Times New Roman"/>
        </w:rPr>
        <w:t>(C), 1–20.</w:t>
      </w:r>
      <w:r w:rsidRPr="002D49EB">
        <w:rPr>
          <w:rFonts w:ascii="Times New Roman" w:hAnsi="Times New Roman" w:cs="Times New Roman"/>
          <w:noProof/>
        </w:rPr>
        <w:t xml:space="preserve">  https://doi.org/10.1016/j.econedurev.2014.08.001</w:t>
      </w:r>
    </w:p>
    <w:p w14:paraId="0EA43524"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lastRenderedPageBreak/>
        <w:t xml:space="preserve">Whitmore Schanzenbach, D., Bauer, L., &amp; Breitwieser, A. (2017a). </w:t>
      </w:r>
      <w:r w:rsidRPr="002D49EB">
        <w:rPr>
          <w:rFonts w:ascii="Times New Roman" w:hAnsi="Times New Roman" w:cs="Times New Roman"/>
          <w:i/>
          <w:iCs/>
        </w:rPr>
        <w:t>Eight economic facts on higher education</w:t>
      </w:r>
      <w:r w:rsidRPr="002D49EB">
        <w:rPr>
          <w:rFonts w:ascii="Times New Roman" w:hAnsi="Times New Roman" w:cs="Times New Roman"/>
        </w:rPr>
        <w:t xml:space="preserve"> (Economic Facts). Brookings Institute. https://www.brookings.edu/wp-content/uploads/2017/04/thp_20170426_eight_economic_facts_higher_education.pdf</w:t>
      </w:r>
    </w:p>
    <w:p w14:paraId="4C975A3A"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Whitmore Schanzenbach, D., Nunn, R., Bauer, L., &amp; Breitwieser, A. (2017b). </w:t>
      </w:r>
      <w:r w:rsidRPr="002D49EB">
        <w:rPr>
          <w:rFonts w:ascii="Times New Roman" w:hAnsi="Times New Roman" w:cs="Times New Roman"/>
          <w:i/>
          <w:iCs/>
        </w:rPr>
        <w:t>The closing of the jobs gap: A decade of recession and recovery</w:t>
      </w:r>
      <w:r w:rsidRPr="002D49EB">
        <w:rPr>
          <w:rFonts w:ascii="Times New Roman" w:hAnsi="Times New Roman" w:cs="Times New Roman"/>
        </w:rPr>
        <w:t xml:space="preserve"> (employment, wages, and recessions). Brookings Institute. https://www.hamiltonproject.org/publication/paper/the-closing-of-the-jobs-gap-a-decade-of-recession-and-recovery/</w:t>
      </w:r>
    </w:p>
    <w:p w14:paraId="656D4D18"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Wiederspan, M. (2016). Denying loan access: The student-level consequences when community colleges opt out of the Stafford loan program. </w:t>
      </w:r>
      <w:r w:rsidRPr="002D49EB">
        <w:rPr>
          <w:rFonts w:ascii="Times New Roman" w:hAnsi="Times New Roman" w:cs="Times New Roman"/>
          <w:i/>
          <w:iCs/>
        </w:rPr>
        <w:t>Economics of Education Review</w:t>
      </w:r>
      <w:r w:rsidRPr="002D49EB">
        <w:rPr>
          <w:rFonts w:ascii="Times New Roman" w:hAnsi="Times New Roman" w:cs="Times New Roman"/>
        </w:rPr>
        <w:t xml:space="preserve">, </w:t>
      </w:r>
      <w:r w:rsidRPr="002D49EB">
        <w:rPr>
          <w:rFonts w:ascii="Times New Roman" w:hAnsi="Times New Roman" w:cs="Times New Roman"/>
          <w:i/>
          <w:iCs/>
        </w:rPr>
        <w:t>51</w:t>
      </w:r>
      <w:r w:rsidRPr="002D49EB">
        <w:rPr>
          <w:rFonts w:ascii="Times New Roman" w:hAnsi="Times New Roman" w:cs="Times New Roman"/>
        </w:rPr>
        <w:t>, 79–96. https://doi.org/10.1016/j.econedurev.2015.06.007</w:t>
      </w:r>
    </w:p>
    <w:p w14:paraId="2D336C62" w14:textId="77777777" w:rsidR="00D10CA7" w:rsidRPr="002D49EB" w:rsidRDefault="00D10CA7" w:rsidP="008524FA">
      <w:pPr>
        <w:spacing w:line="480" w:lineRule="auto"/>
        <w:ind w:left="720" w:hanging="720"/>
        <w:rPr>
          <w:rFonts w:ascii="Times New Roman" w:hAnsi="Times New Roman" w:cs="Times New Roman"/>
        </w:rPr>
      </w:pPr>
      <w:r w:rsidRPr="002D49EB">
        <w:rPr>
          <w:rFonts w:ascii="Times New Roman" w:hAnsi="Times New Roman" w:cs="Times New Roman"/>
        </w:rPr>
        <w:t xml:space="preserve">Wooldridge, J. M. (2021). </w:t>
      </w:r>
      <w:r w:rsidRPr="002D49EB">
        <w:rPr>
          <w:rFonts w:ascii="Times New Roman" w:hAnsi="Times New Roman" w:cs="Times New Roman"/>
          <w:i/>
          <w:iCs/>
        </w:rPr>
        <w:t>Two-way fixed effects, the two-way Mundlak regression, and difference-in-differences estimators</w:t>
      </w:r>
      <w:r w:rsidRPr="002D49EB">
        <w:rPr>
          <w:rFonts w:ascii="Times New Roman" w:hAnsi="Times New Roman" w:cs="Times New Roman"/>
        </w:rPr>
        <w:t xml:space="preserve"> (SSRN Scholarly Paper No. 3906345). Social Science Research Network. https://doi.org/10.2139/ssrn.3906345</w:t>
      </w:r>
    </w:p>
    <w:p w14:paraId="28D1BD33" w14:textId="77777777" w:rsidR="00D10CA7" w:rsidRPr="002D49EB" w:rsidRDefault="00D10CA7" w:rsidP="00D10CA7">
      <w:pPr>
        <w:spacing w:line="480" w:lineRule="auto"/>
        <w:ind w:hanging="720"/>
        <w:rPr>
          <w:rFonts w:ascii="Times New Roman" w:hAnsi="Times New Roman" w:cs="Times New Roman"/>
        </w:rPr>
      </w:pPr>
    </w:p>
    <w:p w14:paraId="47D422B2" w14:textId="77777777" w:rsidR="003E005B" w:rsidRDefault="003E005B" w:rsidP="00D165B0">
      <w:pPr>
        <w:pStyle w:val="AltHeading1"/>
        <w:sectPr w:rsidR="003E005B" w:rsidSect="00DA0F6B">
          <w:pgSz w:w="12240" w:h="15840" w:code="1"/>
          <w:pgMar w:top="1440" w:right="1800" w:bottom="1872" w:left="1800" w:header="720" w:footer="1440" w:gutter="0"/>
          <w:pgNumType w:start="1"/>
          <w:cols w:space="720"/>
          <w:noEndnote/>
          <w:docGrid w:linePitch="360"/>
        </w:sectPr>
      </w:pPr>
    </w:p>
    <w:p w14:paraId="3E41B43F" w14:textId="3A0B0E7C" w:rsidR="00334A8E" w:rsidRDefault="00143F37" w:rsidP="00D165B0">
      <w:pPr>
        <w:pStyle w:val="Heading1"/>
      </w:pPr>
      <w:bookmarkStart w:id="181" w:name="_Toc183282296"/>
      <w:bookmarkStart w:id="182" w:name="_Toc420995913"/>
      <w:bookmarkStart w:id="183" w:name="_Toc422997500"/>
      <w:bookmarkStart w:id="184" w:name="_Toc427156485"/>
      <w:bookmarkEnd w:id="178"/>
      <w:bookmarkEnd w:id="179"/>
      <w:bookmarkEnd w:id="180"/>
      <w:r w:rsidRPr="00C63272">
        <w:lastRenderedPageBreak/>
        <w:t>Appendi</w:t>
      </w:r>
      <w:r w:rsidR="00334A8E">
        <w:t>CES</w:t>
      </w:r>
    </w:p>
    <w:p w14:paraId="09F5AE85" w14:textId="1D2A082E" w:rsidR="00143F37" w:rsidRPr="00C63272" w:rsidRDefault="00334A8E" w:rsidP="00D165B0">
      <w:pPr>
        <w:pStyle w:val="Heading1"/>
      </w:pPr>
      <w:r>
        <w:t xml:space="preserve">APPENDIX </w:t>
      </w:r>
      <w:r w:rsidR="00A52C61">
        <w:t>A</w:t>
      </w:r>
      <w:bookmarkEnd w:id="181"/>
    </w:p>
    <w:p w14:paraId="4BD01D02" w14:textId="1A64A838" w:rsidR="00143F37" w:rsidRDefault="00143F37" w:rsidP="00BB7EDA">
      <w:pPr>
        <w:spacing w:line="480" w:lineRule="auto"/>
        <w:jc w:val="center"/>
        <w:rPr>
          <w:rFonts w:ascii="Times New Roman" w:hAnsi="Times New Roman" w:cs="Times New Roman"/>
        </w:rPr>
      </w:pPr>
      <w:r>
        <w:rPr>
          <w:rFonts w:ascii="Times New Roman" w:hAnsi="Times New Roman" w:cs="Times New Roman"/>
        </w:rPr>
        <w:t>Data Preparation Stata Code</w:t>
      </w:r>
    </w:p>
    <w:p w14:paraId="197916B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556A1D2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62ED9931" w14:textId="77777777" w:rsidR="00513B41" w:rsidRPr="00513B41" w:rsidRDefault="00513B41" w:rsidP="00513B41">
      <w:pPr>
        <w:rPr>
          <w:rFonts w:ascii="Times New Roman" w:hAnsi="Times New Roman" w:cs="Times New Roman"/>
          <w:sz w:val="18"/>
          <w:szCs w:val="18"/>
        </w:rPr>
      </w:pPr>
    </w:p>
    <w:p w14:paraId="501ACAD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  Title:   Completions Data Prep </w:t>
      </w:r>
    </w:p>
    <w:p w14:paraId="2EE44C0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Author:  Zachary Hyder</w:t>
      </w:r>
    </w:p>
    <w:p w14:paraId="0744C18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Date:    04/09/2024</w:t>
      </w:r>
    </w:p>
    <w:p w14:paraId="73C0C82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 Purpose: Set up cross-section+panel data of &lt;=2 year academic programs at </w:t>
      </w:r>
    </w:p>
    <w:p w14:paraId="45CB934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*public  &lt;=2 year colleges from 2009-2010 through 2021-2022. Merges </w:t>
      </w:r>
    </w:p>
    <w:p w14:paraId="2DDCEDA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*treatment data from collegepromise.org and fips codes</w:t>
      </w:r>
    </w:p>
    <w:p w14:paraId="0F9696C9" w14:textId="77777777" w:rsidR="00513B41" w:rsidRPr="00513B41" w:rsidRDefault="00513B41" w:rsidP="00513B41">
      <w:pPr>
        <w:rPr>
          <w:rFonts w:ascii="Times New Roman" w:hAnsi="Times New Roman" w:cs="Times New Roman"/>
          <w:sz w:val="18"/>
          <w:szCs w:val="18"/>
        </w:rPr>
      </w:pPr>
    </w:p>
    <w:p w14:paraId="1F23527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291EA67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17E444C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2B2E2B5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2541FEFA" w14:textId="77777777" w:rsidR="00513B41" w:rsidRPr="00513B41" w:rsidRDefault="00513B41" w:rsidP="00513B41">
      <w:pPr>
        <w:rPr>
          <w:rFonts w:ascii="Times New Roman" w:hAnsi="Times New Roman" w:cs="Times New Roman"/>
          <w:sz w:val="18"/>
          <w:szCs w:val="18"/>
        </w:rPr>
      </w:pPr>
    </w:p>
    <w:p w14:paraId="6FDF8A2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Do File Prep and File Management</w:t>
      </w:r>
    </w:p>
    <w:p w14:paraId="6DC398A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p>
    <w:p w14:paraId="03C488E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remove current data</w:t>
      </w:r>
    </w:p>
    <w:p w14:paraId="25C4C2F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clear</w:t>
      </w:r>
    </w:p>
    <w:p w14:paraId="087918D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*closes any log you have open  </w:t>
      </w:r>
    </w:p>
    <w:p w14:paraId="28B9A02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capture log close</w:t>
      </w:r>
    </w:p>
    <w:p w14:paraId="7442DC8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allocate more memory to Stata: allocate 200 megabytes of memory</w:t>
      </w:r>
    </w:p>
    <w:p w14:paraId="4412FC6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set mem 500m</w:t>
      </w:r>
    </w:p>
    <w:p w14:paraId="2769379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set matsize 800</w:t>
      </w:r>
    </w:p>
    <w:p w14:paraId="0A8726C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*not needed in "modern stata according to ouput"</w:t>
      </w:r>
    </w:p>
    <w:p w14:paraId="7DE66DB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*lets your program run to the end, it tells Stata not to pause or display the more message.</w:t>
      </w:r>
    </w:p>
    <w:p w14:paraId="0C0CCB4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set more off</w:t>
      </w:r>
    </w:p>
    <w:p w14:paraId="61DEE73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capture estimates drop *</w:t>
      </w:r>
    </w:p>
    <w:p w14:paraId="3F58F7F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p>
    <w:p w14:paraId="532D36B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Set File Path Management Globals</w:t>
      </w:r>
    </w:p>
    <w:p w14:paraId="0898D39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global projectpath = "/Users/zachyder/Library/CloudStorage/OneDrive-UniversityofTennessee/EventStudyStaggerDiDPilot"</w:t>
      </w:r>
    </w:p>
    <w:p w14:paraId="69FAEC4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*Don't forget to change file path if on a different device e.g,PC Work Station: </w:t>
      </w:r>
    </w:p>
    <w:p w14:paraId="5A481DA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ab/>
      </w:r>
      <w:r w:rsidRPr="00513B41">
        <w:rPr>
          <w:rFonts w:ascii="Times New Roman" w:hAnsi="Times New Roman" w:cs="Times New Roman"/>
          <w:sz w:val="18"/>
          <w:szCs w:val="18"/>
        </w:rPr>
        <w:tab/>
        <w:t>*cd "C:\Users\zhyder\OneDrive - University of Tennessee\EventStudyStaggerDiDPilot"</w:t>
      </w:r>
    </w:p>
    <w:p w14:paraId="1BA5E3F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global dir     = "$projectpath"</w:t>
      </w:r>
    </w:p>
    <w:p w14:paraId="4628185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global data    = "$projectpath/data"</w:t>
      </w:r>
    </w:p>
    <w:p w14:paraId="0B3B44C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global rawdata = "$projectpath/rawdata"</w:t>
      </w:r>
    </w:p>
    <w:p w14:paraId="7BCA91C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global dofile  = "$projectpath/do"</w:t>
      </w:r>
    </w:p>
    <w:p w14:paraId="2548944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global figures = "$projectpath/figures"</w:t>
      </w:r>
    </w:p>
    <w:p w14:paraId="6C6D5F2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global logs    = "$projectpath/logs"</w:t>
      </w:r>
    </w:p>
    <w:p w14:paraId="3AE8429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global output  = "$projectpath/output"</w:t>
      </w:r>
    </w:p>
    <w:p w14:paraId="7B4EA7F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global tables  = "$projectpath/tables"</w:t>
      </w:r>
    </w:p>
    <w:p w14:paraId="138F83A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global ipeds   = "$projectpath/ipeds"</w:t>
      </w:r>
    </w:p>
    <w:p w14:paraId="03BA895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p>
    <w:p w14:paraId="2633A91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Set log path with time stamp</w:t>
      </w:r>
    </w:p>
    <w:p w14:paraId="26EBCDE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local logname "CompletionsDataPrepPilot"</w:t>
      </w:r>
    </w:p>
    <w:p w14:paraId="3F47B16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local logfilename "$logs/CompletionsDataPrepPilot`c(current_date)'_`c(current_time)'.log"</w:t>
      </w:r>
    </w:p>
    <w:p w14:paraId="3C6D67A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log using "`logfilename'"</w:t>
      </w:r>
    </w:p>
    <w:p w14:paraId="4C2E4417" w14:textId="77777777" w:rsidR="00513B41" w:rsidRPr="00513B41" w:rsidRDefault="00513B41" w:rsidP="00513B41">
      <w:pPr>
        <w:rPr>
          <w:rFonts w:ascii="Times New Roman" w:hAnsi="Times New Roman" w:cs="Times New Roman"/>
          <w:sz w:val="18"/>
          <w:szCs w:val="18"/>
        </w:rPr>
      </w:pPr>
    </w:p>
    <w:p w14:paraId="25F6F8B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0EAFDCC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0BB5411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438DF84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387B749F" w14:textId="77777777" w:rsidR="00513B41" w:rsidRPr="00513B41" w:rsidRDefault="00513B41" w:rsidP="00513B41">
      <w:pPr>
        <w:rPr>
          <w:rFonts w:ascii="Times New Roman" w:hAnsi="Times New Roman" w:cs="Times New Roman"/>
          <w:sz w:val="18"/>
          <w:szCs w:val="18"/>
        </w:rPr>
      </w:pPr>
    </w:p>
    <w:p w14:paraId="7335B8A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*Summon Completions Data</w:t>
      </w:r>
    </w:p>
    <w:p w14:paraId="6EF99DA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foreach x in 2022 2021 2020 2019 2018 2017 2016 2015 2014 2013 2012 2011 2010 2009 2008 2007 2006 2005 2004 2003 2002 2001 2000    {</w:t>
      </w:r>
    </w:p>
    <w:p w14:paraId="7923134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quietly do $ipeds/c`x'_a.do</w:t>
      </w:r>
    </w:p>
    <w:p w14:paraId="51A7300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keep unitid cipcode awlevel majornum awlevel ctotalt </w:t>
      </w:r>
    </w:p>
    <w:p w14:paraId="15EA876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tostring cipcode, force replace </w:t>
      </w:r>
    </w:p>
    <w:p w14:paraId="6158AAB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destring cipcode, force replace </w:t>
      </w:r>
    </w:p>
    <w:p w14:paraId="21993E5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rename cipcode cipthousands</w:t>
      </w:r>
    </w:p>
    <w:p w14:paraId="0EF8602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gen cipcode = cip*0.0001</w:t>
      </w:r>
    </w:p>
    <w:p w14:paraId="698C760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drop if majornum!=1</w:t>
      </w:r>
    </w:p>
    <w:p w14:paraId="4C98D28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recode awlevel (20=1) (21=1)</w:t>
      </w:r>
    </w:p>
    <w:p w14:paraId="1DD1FCD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drop if awlevel&gt;=4</w:t>
      </w:r>
    </w:p>
    <w:p w14:paraId="1BDD452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gen cip= floor(cipcode)</w:t>
      </w:r>
    </w:p>
    <w:p w14:paraId="12B2D7D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drop if cip==95 </w:t>
      </w:r>
    </w:p>
    <w:p w14:paraId="720F117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*drops cases that are "95.9500 - Imputed, undesignated field of study"</w:t>
      </w:r>
    </w:p>
    <w:p w14:paraId="471D210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*do the necessary 6-digit crosswalks for areas that changed at the two digit level</w:t>
      </w:r>
    </w:p>
    <w:p w14:paraId="4389B31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cipcode=40.1001 if cipcode==14.3101</w:t>
      </w:r>
    </w:p>
    <w:p w14:paraId="14A811C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cipcode=26.1501 if cipcode==30.2401</w:t>
      </w:r>
    </w:p>
    <w:p w14:paraId="0EBF07B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cipcode=38.0207 if cipcode==39.0606</w:t>
      </w:r>
    </w:p>
    <w:p w14:paraId="5198AE9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cipcode=01.8301 if cipcode==51.0808</w:t>
      </w:r>
    </w:p>
    <w:p w14:paraId="696E6A8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ab/>
      </w:r>
      <w:r w:rsidRPr="00513B41">
        <w:rPr>
          <w:rFonts w:ascii="Times New Roman" w:hAnsi="Times New Roman" w:cs="Times New Roman"/>
          <w:sz w:val="18"/>
          <w:szCs w:val="18"/>
        </w:rPr>
        <w:tab/>
        <w:t>replace cipcode=01.1302 if cipcode==51.1104</w:t>
      </w:r>
      <w:r w:rsidRPr="00513B41">
        <w:rPr>
          <w:rFonts w:ascii="Times New Roman" w:hAnsi="Times New Roman" w:cs="Times New Roman"/>
          <w:sz w:val="18"/>
          <w:szCs w:val="18"/>
        </w:rPr>
        <w:tab/>
      </w:r>
    </w:p>
    <w:p w14:paraId="4BFAE76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cipcode=01.8101 if cipcode==51.2501</w:t>
      </w:r>
      <w:r w:rsidRPr="00513B41">
        <w:rPr>
          <w:rFonts w:ascii="Times New Roman" w:hAnsi="Times New Roman" w:cs="Times New Roman"/>
          <w:sz w:val="18"/>
          <w:szCs w:val="18"/>
        </w:rPr>
        <w:tab/>
      </w:r>
    </w:p>
    <w:p w14:paraId="738B88F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cipcode=01.8105 if cipcode==51.2502</w:t>
      </w:r>
      <w:r w:rsidRPr="00513B41">
        <w:rPr>
          <w:rFonts w:ascii="Times New Roman" w:hAnsi="Times New Roman" w:cs="Times New Roman"/>
          <w:sz w:val="18"/>
          <w:szCs w:val="18"/>
        </w:rPr>
        <w:tab/>
      </w:r>
    </w:p>
    <w:p w14:paraId="4B12814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cipcode=01.8109 if cipcode==51.2503</w:t>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p>
    <w:p w14:paraId="1FF6BCA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cipcode=01.8107 if cipcode==51.2504</w:t>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p>
    <w:p w14:paraId="57AFA15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cipcode=01.8108 if cipcode==51.2505</w:t>
      </w:r>
      <w:r w:rsidRPr="00513B41">
        <w:rPr>
          <w:rFonts w:ascii="Times New Roman" w:hAnsi="Times New Roman" w:cs="Times New Roman"/>
          <w:sz w:val="18"/>
          <w:szCs w:val="18"/>
        </w:rPr>
        <w:tab/>
      </w:r>
    </w:p>
    <w:p w14:paraId="07CE590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cipcode=01.8111 if cipcode==51.2506</w:t>
      </w:r>
      <w:r w:rsidRPr="00513B41">
        <w:rPr>
          <w:rFonts w:ascii="Times New Roman" w:hAnsi="Times New Roman" w:cs="Times New Roman"/>
          <w:sz w:val="18"/>
          <w:szCs w:val="18"/>
        </w:rPr>
        <w:tab/>
      </w:r>
    </w:p>
    <w:p w14:paraId="123B59F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cipcode=01.8103 if cipcode==51.2507</w:t>
      </w:r>
    </w:p>
    <w:p w14:paraId="09F7E19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cipcode=01.8104 if cipcode==51.2508</w:t>
      </w:r>
      <w:r w:rsidRPr="00513B41">
        <w:rPr>
          <w:rFonts w:ascii="Times New Roman" w:hAnsi="Times New Roman" w:cs="Times New Roman"/>
          <w:sz w:val="18"/>
          <w:szCs w:val="18"/>
        </w:rPr>
        <w:tab/>
      </w:r>
      <w:r w:rsidRPr="00513B41">
        <w:rPr>
          <w:rFonts w:ascii="Times New Roman" w:hAnsi="Times New Roman" w:cs="Times New Roman"/>
          <w:sz w:val="18"/>
          <w:szCs w:val="18"/>
        </w:rPr>
        <w:tab/>
      </w:r>
    </w:p>
    <w:p w14:paraId="0596AE9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cipcode=01.8102 if cipcode==51.2509</w:t>
      </w:r>
      <w:r w:rsidRPr="00513B41">
        <w:rPr>
          <w:rFonts w:ascii="Times New Roman" w:hAnsi="Times New Roman" w:cs="Times New Roman"/>
          <w:sz w:val="18"/>
          <w:szCs w:val="18"/>
        </w:rPr>
        <w:tab/>
      </w:r>
      <w:r w:rsidRPr="00513B41">
        <w:rPr>
          <w:rFonts w:ascii="Times New Roman" w:hAnsi="Times New Roman" w:cs="Times New Roman"/>
          <w:sz w:val="18"/>
          <w:szCs w:val="18"/>
        </w:rPr>
        <w:tab/>
      </w:r>
    </w:p>
    <w:p w14:paraId="00B54C1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cipcode=1.81100 if cipcode==51.2510</w:t>
      </w:r>
      <w:r w:rsidRPr="00513B41">
        <w:rPr>
          <w:rFonts w:ascii="Times New Roman" w:hAnsi="Times New Roman" w:cs="Times New Roman"/>
          <w:sz w:val="18"/>
          <w:szCs w:val="18"/>
        </w:rPr>
        <w:tab/>
      </w:r>
    </w:p>
    <w:p w14:paraId="4635221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cipcode=01.8106 if cipcode==51.2511</w:t>
      </w:r>
    </w:p>
    <w:p w14:paraId="7F6A93D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cipcode=01.8199 if cipcode==51.2599</w:t>
      </w:r>
      <w:r w:rsidRPr="00513B41">
        <w:rPr>
          <w:rFonts w:ascii="Times New Roman" w:hAnsi="Times New Roman" w:cs="Times New Roman"/>
          <w:sz w:val="18"/>
          <w:szCs w:val="18"/>
        </w:rPr>
        <w:tab/>
      </w:r>
    </w:p>
    <w:p w14:paraId="36B78F1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cipcode=61.2302 if cipcode==60.0401</w:t>
      </w:r>
    </w:p>
    <w:p w14:paraId="3AF8CD9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cipcode=61.0301 if cipcode==60.0402</w:t>
      </w:r>
    </w:p>
    <w:p w14:paraId="75F476E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cipcode=61.0401 if cipcode==60.0403</w:t>
      </w:r>
    </w:p>
    <w:p w14:paraId="3E8202E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cipcode=61.1102 if cipcode==60.0404</w:t>
      </w:r>
    </w:p>
    <w:p w14:paraId="1CB5944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cipcode=61.0901 if cipcode==60.0405</w:t>
      </w:r>
    </w:p>
    <w:p w14:paraId="7D0580F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cipcode=61.0902 if cipcode==60.0407</w:t>
      </w:r>
    </w:p>
    <w:p w14:paraId="5732620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cipcode=61.2702 if cipcode==60.0409</w:t>
      </w:r>
    </w:p>
    <w:p w14:paraId="42E73A4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cipcode=61.0501 if cipcode==60.0410</w:t>
      </w:r>
    </w:p>
    <w:p w14:paraId="3BB27A5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cipcode=61.2601 if cipcode==60.0411</w:t>
      </w:r>
    </w:p>
    <w:p w14:paraId="490B8A2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cipcode=61.0601 if cipcode==60.0412</w:t>
      </w:r>
    </w:p>
    <w:p w14:paraId="5AC00FB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cipcode=61.0701 if cipcode==60.0413</w:t>
      </w:r>
    </w:p>
    <w:p w14:paraId="15281B5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cipcode=61.2701 if cipcode==60.0414</w:t>
      </w:r>
    </w:p>
    <w:p w14:paraId="3EAD274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cipcode=61.0801 if cipcode==60.0415</w:t>
      </w:r>
    </w:p>
    <w:p w14:paraId="13C9A13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cipcode=61.1001 if cipcode==60.0416</w:t>
      </w:r>
    </w:p>
    <w:p w14:paraId="393BB36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cipcode=61.1101 if cipcode==60.0417</w:t>
      </w:r>
    </w:p>
    <w:p w14:paraId="425EFF4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cipcode=61.1201 if cipcode==60.0418</w:t>
      </w:r>
    </w:p>
    <w:p w14:paraId="5174978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cipcode=61.1301 if cipcode==60.0419</w:t>
      </w:r>
    </w:p>
    <w:p w14:paraId="00E68B4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cipcode=61.2303 if cipcode==60.0420</w:t>
      </w:r>
    </w:p>
    <w:p w14:paraId="277A368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cipcode=61.1401 if cipcode==60.0421</w:t>
      </w:r>
    </w:p>
    <w:p w14:paraId="168BA08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cipcode=61.1501 if cipcode==60.0422</w:t>
      </w:r>
    </w:p>
    <w:p w14:paraId="059B4B0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cipcode=61.1701 if cipcode==60.0423</w:t>
      </w:r>
    </w:p>
    <w:p w14:paraId="319B23A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cipcode=61.1801 if cipcode==60.0424</w:t>
      </w:r>
    </w:p>
    <w:p w14:paraId="27B38B6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cipcode=61.1901 if cipcode==60.0425</w:t>
      </w:r>
    </w:p>
    <w:p w14:paraId="2DF7ECC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cipcode=61.2001 if cipcode==60.0426</w:t>
      </w:r>
    </w:p>
    <w:p w14:paraId="1B43AE9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cipcode=61.2101 if cipcode==60.0427</w:t>
      </w:r>
    </w:p>
    <w:p w14:paraId="0E8E286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cipcode=61.2401 if cipcode==60.0428</w:t>
      </w:r>
    </w:p>
    <w:p w14:paraId="7EB06FB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cipcode=61.2301 if cipcode==60.0429</w:t>
      </w:r>
    </w:p>
    <w:p w14:paraId="51BB7AF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ab/>
      </w:r>
      <w:r w:rsidRPr="00513B41">
        <w:rPr>
          <w:rFonts w:ascii="Times New Roman" w:hAnsi="Times New Roman" w:cs="Times New Roman"/>
          <w:sz w:val="18"/>
          <w:szCs w:val="18"/>
        </w:rPr>
        <w:tab/>
        <w:t>replace cipcode=61.2501 if cipcode==60.0430</w:t>
      </w:r>
    </w:p>
    <w:p w14:paraId="20693AF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cipcode=61.2610 if cipcode==60.0431</w:t>
      </w:r>
    </w:p>
    <w:p w14:paraId="0007B20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cipcode=61.2707 if cipcode==60.0432</w:t>
      </w:r>
    </w:p>
    <w:p w14:paraId="42468FE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cipcode=61.2801 if cipcode==60.0433</w:t>
      </w:r>
    </w:p>
    <w:p w14:paraId="280AD84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cipcode=61.2708 if cipcode==60.0434</w:t>
      </w:r>
    </w:p>
    <w:p w14:paraId="4317D09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cipcode=61.2402 if cipcode==60.0501</w:t>
      </w:r>
    </w:p>
    <w:p w14:paraId="03AB196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cipcode=61.1902 if cipcode==60.0502</w:t>
      </w:r>
    </w:p>
    <w:p w14:paraId="55FAAD1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cipcode=61.1804 if cipcode==60.0503</w:t>
      </w:r>
    </w:p>
    <w:p w14:paraId="0CCED39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cipcode=61.0804 if cipcode==60.0504</w:t>
      </w:r>
    </w:p>
    <w:p w14:paraId="75986DA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cipcode=61.1805 if cipcode==60.0505</w:t>
      </w:r>
    </w:p>
    <w:p w14:paraId="73B4383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cipcode=61.1903 if cipcode==60.0506</w:t>
      </w:r>
    </w:p>
    <w:p w14:paraId="63DCD8C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cipcode=61.2403 if cipcode==60.0507</w:t>
      </w:r>
    </w:p>
    <w:p w14:paraId="2A74A1C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cipcode=61.0805 if cipcode==60.0508</w:t>
      </w:r>
    </w:p>
    <w:p w14:paraId="576E5F0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cipcode=61.1103 if cipcode==60.0509</w:t>
      </w:r>
    </w:p>
    <w:p w14:paraId="40414BD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cipcode=61.2704 if cipcode==60.0510</w:t>
      </w:r>
    </w:p>
    <w:p w14:paraId="24065F7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cipcode=61.0202 if cipcode==60.0511</w:t>
      </w:r>
    </w:p>
    <w:p w14:paraId="2388A66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cipcode=61.1806 if cipcode==60.0512</w:t>
      </w:r>
    </w:p>
    <w:p w14:paraId="4C649F4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cipcode=61.0502 if cipcode==60.0513</w:t>
      </w:r>
    </w:p>
    <w:p w14:paraId="4B3F22C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cipcode=61.1904 if cipcode==60.0514</w:t>
      </w:r>
    </w:p>
    <w:p w14:paraId="50274BF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cipcode=61.2604 if cipcode==60.0515</w:t>
      </w:r>
    </w:p>
    <w:p w14:paraId="0E9B459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cipcode=61.0806 if cipcode==60.0516</w:t>
      </w:r>
    </w:p>
    <w:p w14:paraId="75C95E0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cipcode=61.1807 if cipcode==60.0517</w:t>
      </w:r>
    </w:p>
    <w:p w14:paraId="492A6C1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cipcode=61.2405 if cipcode==60.0518</w:t>
      </w:r>
    </w:p>
    <w:p w14:paraId="7B81BE4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cipcode=61.0807 if cipcode==60.0519</w:t>
      </w:r>
    </w:p>
    <w:p w14:paraId="3B6E1A7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cipcode=61.0203 if cipcode==60.0520</w:t>
      </w:r>
    </w:p>
    <w:p w14:paraId="09FA0B3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cipcode=61.2406 if cipcode==60.0521</w:t>
      </w:r>
    </w:p>
    <w:p w14:paraId="588C26F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cipcode=61.1302 if cipcode==60.0522</w:t>
      </w:r>
    </w:p>
    <w:p w14:paraId="13C005F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cipcode=61.1808 if cipcode==60.0523</w:t>
      </w:r>
    </w:p>
    <w:p w14:paraId="48B075B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cipcode=61.0808 if cipcode==60.0524</w:t>
      </w:r>
    </w:p>
    <w:p w14:paraId="34A1E4A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cipcode=61.0205 if cipcode==60.0525</w:t>
      </w:r>
    </w:p>
    <w:p w14:paraId="41CD79F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cipcode=61.1809 if cipcode==60.0526</w:t>
      </w:r>
    </w:p>
    <w:p w14:paraId="02CDB5E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cipcode=61.0810 if cipcode==60.0527</w:t>
      </w:r>
    </w:p>
    <w:p w14:paraId="28C8345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cipcode=61.0811 if cipcode==60.0528</w:t>
      </w:r>
    </w:p>
    <w:p w14:paraId="238CA3C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cipcode=61.1810 if cipcode==60.0529</w:t>
      </w:r>
    </w:p>
    <w:p w14:paraId="657406A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cipcode=61.1303 if cipcode==60.0530</w:t>
      </w:r>
    </w:p>
    <w:p w14:paraId="2F2FE3B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cipcode=61.0904 if cipcode==60.0531</w:t>
      </w:r>
    </w:p>
    <w:p w14:paraId="5B400CB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cipcode=61.1811 if cipcode==60.0532</w:t>
      </w:r>
    </w:p>
    <w:p w14:paraId="4335BB6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cipcode=61.2605 if cipcode==60.0533</w:t>
      </w:r>
    </w:p>
    <w:p w14:paraId="7F62305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cipcode=61.0813 if cipcode==60.0534</w:t>
      </w:r>
    </w:p>
    <w:p w14:paraId="74E6152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cipcode=61.0208 if cipcode==60.0535</w:t>
      </w:r>
    </w:p>
    <w:p w14:paraId="39C59FC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ab/>
      </w:r>
      <w:r w:rsidRPr="00513B41">
        <w:rPr>
          <w:rFonts w:ascii="Times New Roman" w:hAnsi="Times New Roman" w:cs="Times New Roman"/>
          <w:sz w:val="18"/>
          <w:szCs w:val="18"/>
        </w:rPr>
        <w:tab/>
        <w:t>replace cipcode=61.1812 if cipcode==60.0536</w:t>
      </w:r>
    </w:p>
    <w:p w14:paraId="6D8F7AD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cipcode=61.1502 if cipcode==60.0537</w:t>
      </w:r>
    </w:p>
    <w:p w14:paraId="3467A8D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cipcode=61.1905 if cipcode==60.0538</w:t>
      </w:r>
    </w:p>
    <w:p w14:paraId="07C56F8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cipcode=61.0812 if cipcode==60.0539</w:t>
      </w:r>
    </w:p>
    <w:p w14:paraId="3C53D6E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cipcode=61.1106 if cipcode==60.0540</w:t>
      </w:r>
    </w:p>
    <w:p w14:paraId="7767F50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cipcode=61.0209 if cipcode==60.0541</w:t>
      </w:r>
    </w:p>
    <w:p w14:paraId="6A2F94E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cipcode=61.1813 if cipcode==60.0542</w:t>
      </w:r>
    </w:p>
    <w:p w14:paraId="3E6F9AA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cipcode=61.2607 if cipcode==60.0543</w:t>
      </w:r>
    </w:p>
    <w:p w14:paraId="5A8D293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cipcode=61.1702 if cipcode==60.0544</w:t>
      </w:r>
    </w:p>
    <w:p w14:paraId="7472614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cipcode=61.2608 if cipcode==60.0545</w:t>
      </w:r>
    </w:p>
    <w:p w14:paraId="630A627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cipcode=61.1503 if cipcode==60.0546</w:t>
      </w:r>
    </w:p>
    <w:p w14:paraId="206F62B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cipcode=61.1504 if cipcode==60.0547</w:t>
      </w:r>
    </w:p>
    <w:p w14:paraId="6C2BD6C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cipcode=61.0210 if cipcode==60.0548</w:t>
      </w:r>
    </w:p>
    <w:p w14:paraId="68DAB21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cipcode=61.1906 if cipcode==60.0549</w:t>
      </w:r>
    </w:p>
    <w:p w14:paraId="28EFA9B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cipcode=61.1907 if cipcode==60.0550</w:t>
      </w:r>
    </w:p>
    <w:p w14:paraId="0D4EF7F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cipcode=61.0503 if cipcode==60.0551</w:t>
      </w:r>
    </w:p>
    <w:p w14:paraId="298BD62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cipcode=61.1908 if cipcode==60.0552</w:t>
      </w:r>
    </w:p>
    <w:p w14:paraId="74A3C06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cipcode=61.1909 if cipcode==60.0553</w:t>
      </w:r>
    </w:p>
    <w:p w14:paraId="491923A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cipcode=61.1910 if cipcode==60.0554</w:t>
      </w:r>
    </w:p>
    <w:p w14:paraId="6478CD3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cipcode=61.1911 if cipcode==60.0555</w:t>
      </w:r>
    </w:p>
    <w:p w14:paraId="0965051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cipcode=61.1912 if cipcode==60.0556</w:t>
      </w:r>
    </w:p>
    <w:p w14:paraId="0380AB2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cipcode=61.1913 if cipcode==60.0557</w:t>
      </w:r>
    </w:p>
    <w:p w14:paraId="7A32DDA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cipcode=61.1505 if cipcode==60.0558</w:t>
      </w:r>
    </w:p>
    <w:p w14:paraId="0C6ED58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cipcode=61.1703 if cipcode==60.0559</w:t>
      </w:r>
    </w:p>
    <w:p w14:paraId="1303090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cipcode=61.1814 if cipcode==60.0560</w:t>
      </w:r>
    </w:p>
    <w:p w14:paraId="767EB2C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cipcode=61.1914 if cipcode==60.0561</w:t>
      </w:r>
    </w:p>
    <w:p w14:paraId="759D569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cipcode=61.2609 if cipcode==60.0562</w:t>
      </w:r>
    </w:p>
    <w:p w14:paraId="300F675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cipcode=61.2003 if cipcode==60.0563</w:t>
      </w:r>
    </w:p>
    <w:p w14:paraId="59FBA2D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cipcode=61.1915 if cipcode==60.0564</w:t>
      </w:r>
    </w:p>
    <w:p w14:paraId="25A3A53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cipcode=61.2705 if cipcode==60.0565</w:t>
      </w:r>
    </w:p>
    <w:p w14:paraId="120714C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cipcode=61.1917 if cipcode==60.0566</w:t>
      </w:r>
    </w:p>
    <w:p w14:paraId="34B4637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cipcode=61.2802 if cipcode==60.0567</w:t>
      </w:r>
    </w:p>
    <w:p w14:paraId="0759ACC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cipcode=61.2103 if cipcode==60.0569</w:t>
      </w:r>
    </w:p>
    <w:p w14:paraId="1645CCC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cipcode=61.2404 if cipcode==60.0570</w:t>
      </w:r>
    </w:p>
    <w:p w14:paraId="0ECE6FA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cipcode=61.0814 if cipcode==60.0571</w:t>
      </w:r>
    </w:p>
    <w:p w14:paraId="209EF0D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cipcode=61.1815 if cipcode==60.0572</w:t>
      </w:r>
    </w:p>
    <w:p w14:paraId="0C8AAD1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cipcode=61.1304 if cipcode==60.0573</w:t>
      </w:r>
    </w:p>
    <w:p w14:paraId="3F1F39A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cipcode=61.0816 if cipcode==60.0574</w:t>
      </w:r>
    </w:p>
    <w:p w14:paraId="2BF37D8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cipcode=61.0212 if cipcode==60.0575</w:t>
      </w:r>
    </w:p>
    <w:p w14:paraId="3723974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cipcode=61.2002 if cipcode==60.0576</w:t>
      </w:r>
    </w:p>
    <w:p w14:paraId="6B6F8CE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ab/>
      </w:r>
      <w:r w:rsidRPr="00513B41">
        <w:rPr>
          <w:rFonts w:ascii="Times New Roman" w:hAnsi="Times New Roman" w:cs="Times New Roman"/>
          <w:sz w:val="18"/>
          <w:szCs w:val="18"/>
        </w:rPr>
        <w:tab/>
        <w:t>replace cipcode=61.0213 if cipcode==60.0577</w:t>
      </w:r>
    </w:p>
    <w:p w14:paraId="317E764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cipcode=61.0214 if cipcode==60.0578</w:t>
      </w:r>
    </w:p>
    <w:p w14:paraId="5B8B75C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cipcode=61.2706 if cipcode==60.0579</w:t>
      </w:r>
    </w:p>
    <w:p w14:paraId="1031344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cipcode=61.2611 if cipcode==60.0580</w:t>
      </w:r>
    </w:p>
    <w:p w14:paraId="4AB0108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cipcode=61.0818 if cipcode==60.0581</w:t>
      </w:r>
    </w:p>
    <w:p w14:paraId="5F7667A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cipcode=61.0216 if cipcode==60.0582</w:t>
      </w:r>
    </w:p>
    <w:p w14:paraId="5C743BE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cipcode=61.2612 if cipcode==60.0583</w:t>
      </w:r>
    </w:p>
    <w:p w14:paraId="7229ED0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cipcode=61.1107 if cipcode==60.0584</w:t>
      </w:r>
    </w:p>
    <w:p w14:paraId="4D76C131" w14:textId="77777777" w:rsidR="00513B41" w:rsidRPr="00513B41" w:rsidRDefault="00513B41" w:rsidP="00513B41">
      <w:pPr>
        <w:rPr>
          <w:rFonts w:ascii="Times New Roman" w:hAnsi="Times New Roman" w:cs="Times New Roman"/>
          <w:sz w:val="18"/>
          <w:szCs w:val="18"/>
        </w:rPr>
      </w:pPr>
    </w:p>
    <w:p w14:paraId="5FDE4FB0" w14:textId="77777777" w:rsidR="00513B41" w:rsidRPr="00513B41" w:rsidRDefault="00513B41" w:rsidP="00513B41">
      <w:pPr>
        <w:rPr>
          <w:rFonts w:ascii="Times New Roman" w:hAnsi="Times New Roman" w:cs="Times New Roman"/>
          <w:sz w:val="18"/>
          <w:szCs w:val="18"/>
        </w:rPr>
      </w:pPr>
    </w:p>
    <w:p w14:paraId="6EA3F97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gen supercip=.</w:t>
      </w:r>
    </w:p>
    <w:p w14:paraId="23A52A1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foreach y in 1 2 3 11 14 15 27 26 40 41 {</w:t>
      </w:r>
    </w:p>
    <w:p w14:paraId="124D47B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replace supercip=1 if cip==`y'</w:t>
      </w:r>
    </w:p>
    <w:p w14:paraId="39C525A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w:t>
      </w:r>
    </w:p>
    <w:p w14:paraId="5B41456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foreach y in 46 47 48 49 {</w:t>
      </w:r>
    </w:p>
    <w:p w14:paraId="7210C8A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replace supercip=2 if cip==`y'</w:t>
      </w:r>
    </w:p>
    <w:p w14:paraId="08ED892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w:t>
      </w:r>
    </w:p>
    <w:p w14:paraId="1BB36DB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foreach y in 5 16 23 24 30 38 39 42 45 50 54  {</w:t>
      </w:r>
    </w:p>
    <w:p w14:paraId="4D84E96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replace supercip=3 if cip==`y'</w:t>
      </w:r>
    </w:p>
    <w:p w14:paraId="7EFC2D0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w:t>
      </w:r>
    </w:p>
    <w:p w14:paraId="2B57457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foreach y in 12 19 20 31 32 33 34 36 37 53  {</w:t>
      </w:r>
    </w:p>
    <w:p w14:paraId="4E11F39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replace supercip=4 if cip==`y'</w:t>
      </w:r>
    </w:p>
    <w:p w14:paraId="21BA317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w:t>
      </w:r>
    </w:p>
    <w:p w14:paraId="7F08344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foreach y in 4 8 13 22 29 30 43 44 51 52 60 9 10 25{</w:t>
      </w:r>
    </w:p>
    <w:p w14:paraId="78CACC1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replace supercip=5 if cip==`y'</w:t>
      </w:r>
    </w:p>
    <w:p w14:paraId="1704FDC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w:t>
      </w:r>
    </w:p>
    <w:p w14:paraId="358795C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replace supercip=9 if cip==0</w:t>
      </w:r>
    </w:p>
    <w:p w14:paraId="2D89C3C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replace supercip=9 if cip==99</w:t>
      </w:r>
    </w:p>
    <w:p w14:paraId="1928133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sort unitid awlevel supercip </w:t>
      </w:r>
    </w:p>
    <w:p w14:paraId="3175023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collapse (sum) ctotalt, by(unitid awlevel supercip)</w:t>
      </w:r>
    </w:p>
    <w:p w14:paraId="70E3A3E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gen gradyear =`x'</w:t>
      </w:r>
    </w:p>
    <w:p w14:paraId="68144C54" w14:textId="77777777" w:rsidR="00513B41" w:rsidRPr="00513B41" w:rsidRDefault="00513B41" w:rsidP="00513B41">
      <w:pPr>
        <w:rPr>
          <w:rFonts w:ascii="Times New Roman" w:hAnsi="Times New Roman" w:cs="Times New Roman"/>
          <w:sz w:val="18"/>
          <w:szCs w:val="18"/>
        </w:rPr>
      </w:pPr>
    </w:p>
    <w:p w14:paraId="6DC12A2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reshape wide ctotalt, i(unitid supercip) j(awlevel)</w:t>
      </w:r>
    </w:p>
    <w:p w14:paraId="267BDD4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egen ctotalt4= rowtotal(ctotalt1 ctotalt2)</w:t>
      </w:r>
    </w:p>
    <w:p w14:paraId="78E40FC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egen ctotalt5= rowtotal(ctotalt1 ctotalt2 ctotalt3)</w:t>
      </w:r>
    </w:p>
    <w:p w14:paraId="603F421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rename ctotalt1 shortcred_</w:t>
      </w:r>
    </w:p>
    <w:p w14:paraId="75D6D6D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rename ctotalt2 longcred_</w:t>
      </w:r>
    </w:p>
    <w:p w14:paraId="4DFD3E0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rename ctotalt3 degree_</w:t>
      </w:r>
    </w:p>
    <w:p w14:paraId="0740EA9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rename ctotalt4 allcred_</w:t>
      </w:r>
    </w:p>
    <w:p w14:paraId="60751D4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rename ctotalt5 subbach_</w:t>
      </w:r>
    </w:p>
    <w:p w14:paraId="07F09532" w14:textId="77777777" w:rsidR="00513B41" w:rsidRPr="00513B41" w:rsidRDefault="00513B41" w:rsidP="00513B41">
      <w:pPr>
        <w:rPr>
          <w:rFonts w:ascii="Times New Roman" w:hAnsi="Times New Roman" w:cs="Times New Roman"/>
          <w:sz w:val="18"/>
          <w:szCs w:val="18"/>
        </w:rPr>
      </w:pPr>
    </w:p>
    <w:p w14:paraId="33984A53" w14:textId="77777777" w:rsidR="00513B41" w:rsidRPr="00513B41" w:rsidRDefault="00513B41" w:rsidP="00513B41">
      <w:pPr>
        <w:rPr>
          <w:rFonts w:ascii="Times New Roman" w:hAnsi="Times New Roman" w:cs="Times New Roman"/>
          <w:sz w:val="18"/>
          <w:szCs w:val="18"/>
        </w:rPr>
      </w:pPr>
    </w:p>
    <w:p w14:paraId="74681D9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reshape wide shortcred_ longcred_ allcred_ degree_ subbach_, i(unitid) j(supercip)</w:t>
      </w:r>
    </w:p>
    <w:p w14:paraId="594499C6" w14:textId="77777777" w:rsidR="00513B41" w:rsidRPr="00513B41" w:rsidRDefault="00513B41" w:rsidP="00513B41">
      <w:pPr>
        <w:rPr>
          <w:rFonts w:ascii="Times New Roman" w:hAnsi="Times New Roman" w:cs="Times New Roman"/>
          <w:sz w:val="18"/>
          <w:szCs w:val="18"/>
        </w:rPr>
      </w:pPr>
    </w:p>
    <w:p w14:paraId="37CC324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r>
    </w:p>
    <w:p w14:paraId="2FB260A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save $projectpath/data/Completions`x'.dta, replace</w:t>
      </w:r>
    </w:p>
    <w:p w14:paraId="6931E43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 </w:t>
      </w:r>
    </w:p>
    <w:p w14:paraId="3A0D091E" w14:textId="77777777" w:rsidR="00513B41" w:rsidRPr="00513B41" w:rsidRDefault="00513B41" w:rsidP="00513B41">
      <w:pPr>
        <w:rPr>
          <w:rFonts w:ascii="Times New Roman" w:hAnsi="Times New Roman" w:cs="Times New Roman"/>
          <w:sz w:val="18"/>
          <w:szCs w:val="18"/>
        </w:rPr>
      </w:pPr>
    </w:p>
    <w:p w14:paraId="21239666" w14:textId="77777777" w:rsidR="00513B41" w:rsidRPr="00513B41" w:rsidRDefault="00513B41" w:rsidP="00513B41">
      <w:pPr>
        <w:rPr>
          <w:rFonts w:ascii="Times New Roman" w:hAnsi="Times New Roman" w:cs="Times New Roman"/>
          <w:sz w:val="18"/>
          <w:szCs w:val="18"/>
        </w:rPr>
      </w:pPr>
    </w:p>
    <w:p w14:paraId="6D4D7A01" w14:textId="77777777" w:rsidR="00513B41" w:rsidRPr="00513B41" w:rsidRDefault="00513B41" w:rsidP="00513B41">
      <w:pPr>
        <w:rPr>
          <w:rFonts w:ascii="Times New Roman" w:hAnsi="Times New Roman" w:cs="Times New Roman"/>
          <w:sz w:val="18"/>
          <w:szCs w:val="18"/>
        </w:rPr>
      </w:pPr>
    </w:p>
    <w:p w14:paraId="504E65F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6AAB447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476F8EB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1DC2960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4D02C0C5" w14:textId="77777777" w:rsidR="00513B41" w:rsidRPr="00513B41" w:rsidRDefault="00513B41" w:rsidP="00513B41">
      <w:pPr>
        <w:rPr>
          <w:rFonts w:ascii="Times New Roman" w:hAnsi="Times New Roman" w:cs="Times New Roman"/>
          <w:sz w:val="18"/>
          <w:szCs w:val="18"/>
        </w:rPr>
      </w:pPr>
    </w:p>
    <w:p w14:paraId="7DAA15D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*Preform Append </w:t>
      </w:r>
    </w:p>
    <w:p w14:paraId="0113BB0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clear</w:t>
      </w:r>
    </w:p>
    <w:p w14:paraId="6CFA0B8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use $projectpath/data/Completions2022.dta </w:t>
      </w:r>
    </w:p>
    <w:p w14:paraId="4F98FEAE" w14:textId="77777777" w:rsidR="00513B41" w:rsidRPr="00513B41" w:rsidRDefault="00513B41" w:rsidP="00513B41">
      <w:pPr>
        <w:rPr>
          <w:rFonts w:ascii="Times New Roman" w:hAnsi="Times New Roman" w:cs="Times New Roman"/>
          <w:sz w:val="18"/>
          <w:szCs w:val="18"/>
        </w:rPr>
      </w:pPr>
    </w:p>
    <w:p w14:paraId="3B6F26E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foreach x in 2021 2020 2019 2018 2017 2016 2015 2014 2013 2012 2011 2010 2009 2008 2007 2006 2005 2004 2003 2002 2001 2000  {</w:t>
      </w:r>
    </w:p>
    <w:p w14:paraId="3234A05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append using $projectpath/data/Completions`x'.dta</w:t>
      </w:r>
    </w:p>
    <w:p w14:paraId="27F838C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78A7A20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*drops closed/new campsues by only keeping those with 12 observations </w:t>
      </w:r>
    </w:p>
    <w:p w14:paraId="51FEED8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sort unitid gradyear</w:t>
      </w:r>
    </w:p>
    <w:p w14:paraId="3BEB6D4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egen yearcount=count(gradyear), by(unitid)</w:t>
      </w:r>
    </w:p>
    <w:p w14:paraId="51CBDB5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drop if yearcount!=23</w:t>
      </w:r>
    </w:p>
    <w:p w14:paraId="14AB5CD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tostring unitid, force replace</w:t>
      </w:r>
    </w:p>
    <w:p w14:paraId="0D14BC8F" w14:textId="77777777" w:rsidR="00513B41" w:rsidRPr="00513B41" w:rsidRDefault="00513B41" w:rsidP="00513B41">
      <w:pPr>
        <w:rPr>
          <w:rFonts w:ascii="Times New Roman" w:hAnsi="Times New Roman" w:cs="Times New Roman"/>
          <w:sz w:val="18"/>
          <w:szCs w:val="18"/>
        </w:rPr>
      </w:pPr>
    </w:p>
    <w:p w14:paraId="6F926C60" w14:textId="77777777" w:rsidR="00513B41" w:rsidRPr="00513B41" w:rsidRDefault="00513B41" w:rsidP="00513B41">
      <w:pPr>
        <w:rPr>
          <w:rFonts w:ascii="Times New Roman" w:hAnsi="Times New Roman" w:cs="Times New Roman"/>
          <w:sz w:val="18"/>
          <w:szCs w:val="18"/>
        </w:rPr>
      </w:pPr>
    </w:p>
    <w:p w14:paraId="5F54821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save $projectpath/data/Completions.dta, replace</w:t>
      </w:r>
    </w:p>
    <w:p w14:paraId="480F25F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p>
    <w:p w14:paraId="083123E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p>
    <w:p w14:paraId="603AB88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47C5A63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0486C5B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415C556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0E45FCCF" w14:textId="77777777" w:rsidR="00513B41" w:rsidRPr="00513B41" w:rsidRDefault="00513B41" w:rsidP="00513B41">
      <w:pPr>
        <w:rPr>
          <w:rFonts w:ascii="Times New Roman" w:hAnsi="Times New Roman" w:cs="Times New Roman"/>
          <w:sz w:val="18"/>
          <w:szCs w:val="18"/>
        </w:rPr>
      </w:pPr>
    </w:p>
    <w:p w14:paraId="2E004C3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*Summon instiutional describers </w:t>
      </w:r>
    </w:p>
    <w:p w14:paraId="5C79C57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clear</w:t>
      </w:r>
    </w:p>
    <w:p w14:paraId="4698F8A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do $ipeds/f2122_f1a.do</w:t>
      </w:r>
    </w:p>
    <w:p w14:paraId="75885F7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ab/>
      </w:r>
      <w:r w:rsidRPr="00513B41">
        <w:rPr>
          <w:rFonts w:ascii="Times New Roman" w:hAnsi="Times New Roman" w:cs="Times New Roman"/>
          <w:sz w:val="18"/>
          <w:szCs w:val="18"/>
        </w:rPr>
        <w:tab/>
        <w:t>keep unitid f1b11</w:t>
      </w:r>
    </w:p>
    <w:p w14:paraId="0BC2F33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tostring unitid, force replace</w:t>
      </w:r>
    </w:p>
    <w:p w14:paraId="50F8FAB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save "/Users/zachyder/Library/CloudStorage/OneDrive-UniversityofTennessee/EventStudyStaggerDiDPilot/data/finance.dta", replace </w:t>
      </w:r>
    </w:p>
    <w:p w14:paraId="7AB71CB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clear </w:t>
      </w:r>
    </w:p>
    <w:p w14:paraId="5DD66BD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do $ipeds/hd2022.do</w:t>
      </w:r>
    </w:p>
    <w:p w14:paraId="05F396E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tostring unitid, force replace</w:t>
      </w:r>
    </w:p>
    <w:p w14:paraId="6CF0210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keep unitid instnm stabbr fips obereg zipcode sector iclevel control hloffer  hdegofr1 deggrant hbcu   tribal locale  act newid deathyr closedat cyactive postsec pseflag pset4flg  instcat c21basic c21ipug  c21ugprf c21enprf c21szset c18basic c15basic ccbasic carnegie  instsize f1systyp cbsatype</w:t>
      </w:r>
    </w:p>
    <w:p w14:paraId="5330344E" w14:textId="77777777" w:rsidR="00513B41" w:rsidRPr="00513B41" w:rsidRDefault="00513B41" w:rsidP="00513B41">
      <w:pPr>
        <w:rPr>
          <w:rFonts w:ascii="Times New Roman" w:hAnsi="Times New Roman" w:cs="Times New Roman"/>
          <w:sz w:val="18"/>
          <w:szCs w:val="18"/>
        </w:rPr>
      </w:pPr>
    </w:p>
    <w:p w14:paraId="7B536CA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*Merge in institutional describers </w:t>
      </w:r>
    </w:p>
    <w:p w14:paraId="4A7D089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merge 1:m unitid using $projectpath/data/Completions.dta </w:t>
      </w:r>
    </w:p>
    <w:p w14:paraId="39C0016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*wonder why so many unmatched </w:t>
      </w:r>
    </w:p>
    <w:p w14:paraId="1602466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if _merge!=3</w:t>
      </w:r>
    </w:p>
    <w:p w14:paraId="7054890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drop _merge </w:t>
      </w:r>
    </w:p>
    <w:p w14:paraId="761AC68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merge m:1 unitid  using $projectpath/data/finance.dta </w:t>
      </w:r>
    </w:p>
    <w:p w14:paraId="7C3F578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rename _merge finance_merge</w:t>
      </w:r>
    </w:p>
    <w:p w14:paraId="250E97B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r>
      <w:r w:rsidRPr="00513B41">
        <w:rPr>
          <w:rFonts w:ascii="Times New Roman" w:hAnsi="Times New Roman" w:cs="Times New Roman"/>
          <w:sz w:val="18"/>
          <w:szCs w:val="18"/>
        </w:rPr>
        <w:tab/>
        <w:t>drop if finance_merge==2</w:t>
      </w:r>
    </w:p>
    <w:p w14:paraId="3BDEF2B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*drop system offices </w:t>
      </w:r>
    </w:p>
    <w:p w14:paraId="731228E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if sector==0</w:t>
      </w:r>
    </w:p>
    <w:p w14:paraId="1AB7F84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*drop no-assocaites focused schools </w:t>
      </w:r>
    </w:p>
    <w:p w14:paraId="1EBC142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*drop if carnegie==15 </w:t>
      </w:r>
    </w:p>
    <w:p w14:paraId="305E190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if carnegie==16</w:t>
      </w:r>
    </w:p>
    <w:p w14:paraId="24F1E00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if carnegie==21</w:t>
      </w:r>
    </w:p>
    <w:p w14:paraId="6E2B596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if carnegie==22</w:t>
      </w:r>
    </w:p>
    <w:p w14:paraId="1010E85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if carnegie==31</w:t>
      </w:r>
      <w:r w:rsidRPr="00513B41">
        <w:rPr>
          <w:rFonts w:ascii="Times New Roman" w:hAnsi="Times New Roman" w:cs="Times New Roman"/>
          <w:sz w:val="18"/>
          <w:szCs w:val="18"/>
        </w:rPr>
        <w:tab/>
      </w:r>
      <w:r w:rsidRPr="00513B41">
        <w:rPr>
          <w:rFonts w:ascii="Times New Roman" w:hAnsi="Times New Roman" w:cs="Times New Roman"/>
          <w:sz w:val="18"/>
          <w:szCs w:val="18"/>
        </w:rPr>
        <w:tab/>
      </w:r>
    </w:p>
    <w:p w14:paraId="73ADD5B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if carnegie==32</w:t>
      </w:r>
    </w:p>
    <w:p w14:paraId="6EED1A0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if carnegie==52</w:t>
      </w:r>
    </w:p>
    <w:p w14:paraId="190CA07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drop if stabbr=="PW" | stabbr=="PR"</w:t>
      </w:r>
      <w:r w:rsidRPr="00513B41">
        <w:rPr>
          <w:rFonts w:ascii="Times New Roman" w:hAnsi="Times New Roman" w:cs="Times New Roman"/>
          <w:sz w:val="18"/>
          <w:szCs w:val="18"/>
        </w:rPr>
        <w:tab/>
      </w:r>
    </w:p>
    <w:p w14:paraId="1474BCF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save $projectpath/data/DescribedCompletions.dta, replace </w:t>
      </w:r>
    </w:p>
    <w:p w14:paraId="5D81168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clear</w:t>
      </w:r>
    </w:p>
    <w:p w14:paraId="3C49527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p>
    <w:p w14:paraId="63ED85E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*Merge in funding data to filter out locally funded publics </w:t>
      </w:r>
    </w:p>
    <w:p w14:paraId="2A360319" w14:textId="77777777" w:rsidR="00513B41" w:rsidRPr="00513B41" w:rsidRDefault="00513B41" w:rsidP="00513B41">
      <w:pPr>
        <w:rPr>
          <w:rFonts w:ascii="Times New Roman" w:hAnsi="Times New Roman" w:cs="Times New Roman"/>
          <w:sz w:val="18"/>
          <w:szCs w:val="18"/>
        </w:rPr>
      </w:pPr>
    </w:p>
    <w:p w14:paraId="7521A14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26363BA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099A409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7DABD38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43DF3F4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p>
    <w:p w14:paraId="668C7C0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Now import the treatment data from PromiseRecord</w:t>
      </w:r>
      <w:r w:rsidRPr="00513B41">
        <w:rPr>
          <w:rFonts w:ascii="Times New Roman" w:hAnsi="Times New Roman" w:cs="Times New Roman"/>
          <w:sz w:val="18"/>
          <w:szCs w:val="18"/>
        </w:rPr>
        <w:tab/>
      </w:r>
      <w:r w:rsidRPr="00513B41">
        <w:rPr>
          <w:rFonts w:ascii="Times New Roman" w:hAnsi="Times New Roman" w:cs="Times New Roman"/>
          <w:sz w:val="18"/>
          <w:szCs w:val="18"/>
        </w:rPr>
        <w:tab/>
      </w:r>
    </w:p>
    <w:p w14:paraId="367E4F6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clear </w:t>
      </w:r>
    </w:p>
    <w:p w14:paraId="26B9648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import excel $projectpath/rawdata/PromiseRecord.xlsx, firstrow</w:t>
      </w:r>
    </w:p>
    <w:p w14:paraId="31538DA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 keep the unitid, program, adoption year, serviced units, intistutional range type, program id, and dqreason </w:t>
      </w:r>
    </w:p>
    <w:p w14:paraId="6D6D1E7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keep ID Level Program AdoptFallYear Service InstitutionRange UnitID dqreason RemoveFromFinal</w:t>
      </w:r>
    </w:p>
    <w:p w14:paraId="0E37D32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check for duplicates in treatment, you can only have one treatment start year per college (eg Pellissippi's start date is not 2015 with TN Prom but rather 2009 with K.Achieves)</w:t>
      </w:r>
    </w:p>
    <w:p w14:paraId="0EABE03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UnitID unitid</w:t>
      </w:r>
    </w:p>
    <w:p w14:paraId="72C5C3D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sort unitid AdoptFallYear</w:t>
      </w:r>
    </w:p>
    <w:p w14:paraId="27F821B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Level!= "A,CTE" &amp;  Level!= "B,A" &amp;  Level!= "B,A,CTE"</w:t>
      </w:r>
    </w:p>
    <w:p w14:paraId="753181D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unique Program </w:t>
      </w:r>
    </w:p>
    <w:p w14:paraId="074F806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unitid</w:t>
      </w:r>
    </w:p>
    <w:p w14:paraId="0FFCF091" w14:textId="77777777" w:rsidR="00513B41" w:rsidRPr="00513B41" w:rsidRDefault="00513B41" w:rsidP="00513B41">
      <w:pPr>
        <w:rPr>
          <w:rFonts w:ascii="Times New Roman" w:hAnsi="Times New Roman" w:cs="Times New Roman"/>
          <w:sz w:val="18"/>
          <w:szCs w:val="18"/>
        </w:rPr>
      </w:pPr>
    </w:p>
    <w:p w14:paraId="75A5B0A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remove programs flagged for disqualificaiton, this data needs to change per project but is fine for now. Only make copies for Promise Record excel to not mess up this recrod in the future.</w:t>
      </w:r>
    </w:p>
    <w:p w14:paraId="70770FE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w:t>
      </w:r>
    </w:p>
    <w:p w14:paraId="22A9AF9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dqreason=="broad"</w:t>
      </w:r>
    </w:p>
    <w:p w14:paraId="62C10C6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dqreason=="Scattering"</w:t>
      </w:r>
    </w:p>
    <w:p w14:paraId="2305337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dqreason=="scattering"</w:t>
      </w:r>
    </w:p>
    <w:p w14:paraId="19934B1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dqreason=="Scattering"</w:t>
      </w:r>
    </w:p>
    <w:p w14:paraId="42B4B7C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dqreason=="broad"</w:t>
      </w:r>
    </w:p>
    <w:p w14:paraId="29FB21E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dqreason=="scattering"</w:t>
      </w:r>
    </w:p>
    <w:p w14:paraId="224FDE1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w:t>
      </w:r>
    </w:p>
    <w:p w14:paraId="6D076C38" w14:textId="77777777" w:rsidR="00513B41" w:rsidRPr="00513B41" w:rsidRDefault="00513B41" w:rsidP="00513B41">
      <w:pPr>
        <w:rPr>
          <w:rFonts w:ascii="Times New Roman" w:hAnsi="Times New Roman" w:cs="Times New Roman"/>
          <w:sz w:val="18"/>
          <w:szCs w:val="18"/>
        </w:rPr>
      </w:pPr>
    </w:p>
    <w:p w14:paraId="50CFA11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dqreason=="adults only"</w:t>
      </w:r>
    </w:p>
    <w:p w14:paraId="48630BA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 if dqreason=="adults only" </w:t>
      </w:r>
    </w:p>
    <w:p w14:paraId="1AC1DC08" w14:textId="77777777" w:rsidR="00513B41" w:rsidRPr="00513B41" w:rsidRDefault="00513B41" w:rsidP="00513B41">
      <w:pPr>
        <w:rPr>
          <w:rFonts w:ascii="Times New Roman" w:hAnsi="Times New Roman" w:cs="Times New Roman"/>
          <w:sz w:val="18"/>
          <w:szCs w:val="18"/>
        </w:rPr>
      </w:pPr>
    </w:p>
    <w:p w14:paraId="1A22EFC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dqreason=="bachelors"</w:t>
      </w:r>
    </w:p>
    <w:p w14:paraId="4954989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 if dqreason=="bachelors" </w:t>
      </w:r>
    </w:p>
    <w:p w14:paraId="4D6E3AF5" w14:textId="77777777" w:rsidR="00513B41" w:rsidRPr="00513B41" w:rsidRDefault="00513B41" w:rsidP="00513B41">
      <w:pPr>
        <w:rPr>
          <w:rFonts w:ascii="Times New Roman" w:hAnsi="Times New Roman" w:cs="Times New Roman"/>
          <w:sz w:val="18"/>
          <w:szCs w:val="18"/>
        </w:rPr>
      </w:pPr>
    </w:p>
    <w:p w14:paraId="18D8B70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dqreason=="complicated partial adoptions"</w:t>
      </w:r>
    </w:p>
    <w:p w14:paraId="4CF1475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 if dqreason=="complicated partial adoptions" </w:t>
      </w:r>
    </w:p>
    <w:p w14:paraId="5F4B250E" w14:textId="77777777" w:rsidR="00513B41" w:rsidRPr="00513B41" w:rsidRDefault="00513B41" w:rsidP="00513B41">
      <w:pPr>
        <w:rPr>
          <w:rFonts w:ascii="Times New Roman" w:hAnsi="Times New Roman" w:cs="Times New Roman"/>
          <w:sz w:val="18"/>
          <w:szCs w:val="18"/>
        </w:rPr>
      </w:pPr>
    </w:p>
    <w:p w14:paraId="60D9705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dqreason=="epso"</w:t>
      </w:r>
    </w:p>
    <w:p w14:paraId="10B8774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 if dqreason=="epso" </w:t>
      </w:r>
    </w:p>
    <w:p w14:paraId="0FC5A4CF" w14:textId="77777777" w:rsidR="00513B41" w:rsidRPr="00513B41" w:rsidRDefault="00513B41" w:rsidP="00513B41">
      <w:pPr>
        <w:rPr>
          <w:rFonts w:ascii="Times New Roman" w:hAnsi="Times New Roman" w:cs="Times New Roman"/>
          <w:sz w:val="18"/>
          <w:szCs w:val="18"/>
        </w:rPr>
      </w:pPr>
    </w:p>
    <w:p w14:paraId="2C5058E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dqreason=="merit"</w:t>
      </w:r>
    </w:p>
    <w:p w14:paraId="216EE57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 if dqreason=="merit" </w:t>
      </w:r>
    </w:p>
    <w:p w14:paraId="3664E5E3" w14:textId="77777777" w:rsidR="00513B41" w:rsidRPr="00513B41" w:rsidRDefault="00513B41" w:rsidP="00513B41">
      <w:pPr>
        <w:rPr>
          <w:rFonts w:ascii="Times New Roman" w:hAnsi="Times New Roman" w:cs="Times New Roman"/>
          <w:sz w:val="18"/>
          <w:szCs w:val="18"/>
        </w:rPr>
      </w:pPr>
    </w:p>
    <w:p w14:paraId="57D3F40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dqreason=="scholarship"</w:t>
      </w:r>
    </w:p>
    <w:p w14:paraId="7945A41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 if dqreason=="scholarship" </w:t>
      </w:r>
    </w:p>
    <w:p w14:paraId="7FB496E9" w14:textId="77777777" w:rsidR="00513B41" w:rsidRPr="00513B41" w:rsidRDefault="00513B41" w:rsidP="00513B41">
      <w:pPr>
        <w:rPr>
          <w:rFonts w:ascii="Times New Roman" w:hAnsi="Times New Roman" w:cs="Times New Roman"/>
          <w:sz w:val="18"/>
          <w:szCs w:val="18"/>
        </w:rPr>
      </w:pPr>
    </w:p>
    <w:p w14:paraId="4E0E6E6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unique Program if dqreason=="cannot_find_year/no adopt date"</w:t>
      </w:r>
    </w:p>
    <w:p w14:paraId="1AADD50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 if dqreason=="cannot_find_year/no adopt date" </w:t>
      </w:r>
    </w:p>
    <w:p w14:paraId="19D19009" w14:textId="77777777" w:rsidR="00513B41" w:rsidRPr="00513B41" w:rsidRDefault="00513B41" w:rsidP="00513B41">
      <w:pPr>
        <w:rPr>
          <w:rFonts w:ascii="Times New Roman" w:hAnsi="Times New Roman" w:cs="Times New Roman"/>
          <w:sz w:val="18"/>
          <w:szCs w:val="18"/>
        </w:rPr>
      </w:pPr>
    </w:p>
    <w:p w14:paraId="178F68B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dqreason=="expansion/dup"</w:t>
      </w:r>
    </w:p>
    <w:p w14:paraId="73B1C85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 if dqreason=="expansion/dup" </w:t>
      </w:r>
    </w:p>
    <w:p w14:paraId="06609059" w14:textId="77777777" w:rsidR="00513B41" w:rsidRPr="00513B41" w:rsidRDefault="00513B41" w:rsidP="00513B41">
      <w:pPr>
        <w:rPr>
          <w:rFonts w:ascii="Times New Roman" w:hAnsi="Times New Roman" w:cs="Times New Roman"/>
          <w:sz w:val="18"/>
          <w:szCs w:val="18"/>
        </w:rPr>
      </w:pPr>
    </w:p>
    <w:p w14:paraId="418E63D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dqreason=="pre-event"</w:t>
      </w:r>
    </w:p>
    <w:p w14:paraId="0E995A8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 if dqreason=="pre-event" </w:t>
      </w:r>
    </w:p>
    <w:p w14:paraId="2C3350C0" w14:textId="77777777" w:rsidR="00513B41" w:rsidRPr="00513B41" w:rsidRDefault="00513B41" w:rsidP="00513B41">
      <w:pPr>
        <w:rPr>
          <w:rFonts w:ascii="Times New Roman" w:hAnsi="Times New Roman" w:cs="Times New Roman"/>
          <w:sz w:val="18"/>
          <w:szCs w:val="18"/>
        </w:rPr>
      </w:pPr>
    </w:p>
    <w:p w14:paraId="47ADAFD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dqreason=="non ipeds"</w:t>
      </w:r>
    </w:p>
    <w:p w14:paraId="6D3EA52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 if dqreason=="non ipeds" </w:t>
      </w:r>
    </w:p>
    <w:p w14:paraId="1752231B" w14:textId="77777777" w:rsidR="00513B41" w:rsidRPr="00513B41" w:rsidRDefault="00513B41" w:rsidP="00513B41">
      <w:pPr>
        <w:rPr>
          <w:rFonts w:ascii="Times New Roman" w:hAnsi="Times New Roman" w:cs="Times New Roman"/>
          <w:sz w:val="18"/>
          <w:szCs w:val="18"/>
        </w:rPr>
      </w:pPr>
    </w:p>
    <w:p w14:paraId="4519922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dqreason=="workready NH"</w:t>
      </w:r>
    </w:p>
    <w:p w14:paraId="0108F01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 if dqreason=="workready NH" </w:t>
      </w:r>
    </w:p>
    <w:p w14:paraId="4EEF3084" w14:textId="77777777" w:rsidR="00513B41" w:rsidRPr="00513B41" w:rsidRDefault="00513B41" w:rsidP="00513B41">
      <w:pPr>
        <w:rPr>
          <w:rFonts w:ascii="Times New Roman" w:hAnsi="Times New Roman" w:cs="Times New Roman"/>
          <w:sz w:val="18"/>
          <w:szCs w:val="18"/>
        </w:rPr>
      </w:pPr>
    </w:p>
    <w:p w14:paraId="49251E7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Program if dqreason==""</w:t>
      </w:r>
    </w:p>
    <w:p w14:paraId="300E4007" w14:textId="77777777" w:rsidR="00513B41" w:rsidRPr="00513B41" w:rsidRDefault="00513B41" w:rsidP="00513B41">
      <w:pPr>
        <w:rPr>
          <w:rFonts w:ascii="Times New Roman" w:hAnsi="Times New Roman" w:cs="Times New Roman"/>
          <w:sz w:val="18"/>
          <w:szCs w:val="18"/>
        </w:rPr>
      </w:pPr>
    </w:p>
    <w:p w14:paraId="2DBB17F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dqreason!=""</w:t>
      </w:r>
    </w:p>
    <w:p w14:paraId="7D94681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drops the 4-year colleges which zac did not collect serviced unitids for</w:t>
      </w:r>
    </w:p>
    <w:p w14:paraId="416A9ED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unitid==""</w:t>
      </w:r>
    </w:p>
    <w:p w14:paraId="325B64A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*drops some complicated examples from zac's primary reserach </w:t>
      </w:r>
    </w:p>
    <w:p w14:paraId="77316BB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unitid=="drop"</w:t>
      </w:r>
    </w:p>
    <w:p w14:paraId="3DFEB19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AdoptFallYear=="drop"</w:t>
      </w:r>
    </w:p>
    <w:p w14:paraId="6EEF9A6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 drop untreated units with confusing circumstances </w:t>
      </w:r>
    </w:p>
    <w:p w14:paraId="7904977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RemoveFromFinal!=""</w:t>
      </w:r>
    </w:p>
    <w:p w14:paraId="4032EBAC" w14:textId="77777777" w:rsidR="00513B41" w:rsidRPr="00513B41" w:rsidRDefault="00513B41" w:rsidP="00513B41">
      <w:pPr>
        <w:rPr>
          <w:rFonts w:ascii="Times New Roman" w:hAnsi="Times New Roman" w:cs="Times New Roman"/>
          <w:sz w:val="18"/>
          <w:szCs w:val="18"/>
        </w:rPr>
      </w:pPr>
    </w:p>
    <w:p w14:paraId="7C87F7A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*sort unitid AdoptFallYear dup</w:t>
      </w:r>
    </w:p>
    <w:p w14:paraId="0735B20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duplicates report unitid</w:t>
      </w:r>
    </w:p>
    <w:p w14:paraId="31FB1B3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quietly by unitid:  gen dup = cond(_N==1,0,_n)</w:t>
      </w:r>
    </w:p>
    <w:p w14:paraId="094F1B8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drops 2 programs/colleges zac missed in duplicate screening pre-import (Alabama's dumb 4-year programs)</w:t>
      </w:r>
    </w:p>
    <w:p w14:paraId="3AE056D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 drops 196 programs from 4-years </w:t>
      </w:r>
    </w:p>
    <w:p w14:paraId="4B6FA06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 drops </w:t>
      </w:r>
    </w:p>
    <w:p w14:paraId="1468D79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drop if dup&gt;=2</w:t>
      </w:r>
    </w:p>
    <w:p w14:paraId="1523D61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 drop dup </w:t>
      </w:r>
    </w:p>
    <w:p w14:paraId="1AD7D03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drops where capital idea serves mutliple counties with a dallas community college</w:t>
      </w:r>
    </w:p>
    <w:p w14:paraId="645CCFB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drops moorpark without a start data</w:t>
      </w:r>
    </w:p>
    <w:p w14:paraId="5799564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drops PikesPeak which had a state and local program take affect at the same time</w:t>
      </w:r>
    </w:p>
    <w:p w14:paraId="308ECCF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save $projectpath/data/PromiseRecord.dta, replace </w:t>
      </w:r>
    </w:p>
    <w:p w14:paraId="715AC36C" w14:textId="77777777" w:rsidR="00513B41" w:rsidRPr="00513B41" w:rsidRDefault="00513B41" w:rsidP="00513B41">
      <w:pPr>
        <w:rPr>
          <w:rFonts w:ascii="Times New Roman" w:hAnsi="Times New Roman" w:cs="Times New Roman"/>
          <w:sz w:val="18"/>
          <w:szCs w:val="18"/>
        </w:rPr>
      </w:pPr>
    </w:p>
    <w:p w14:paraId="42080B4F" w14:textId="77777777" w:rsidR="00513B41" w:rsidRPr="00513B41" w:rsidRDefault="00513B41" w:rsidP="00513B41">
      <w:pPr>
        <w:rPr>
          <w:rFonts w:ascii="Times New Roman" w:hAnsi="Times New Roman" w:cs="Times New Roman"/>
          <w:sz w:val="18"/>
          <w:szCs w:val="18"/>
        </w:rPr>
      </w:pPr>
    </w:p>
    <w:p w14:paraId="49A69FF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w:t>
      </w:r>
    </w:p>
    <w:p w14:paraId="18532DB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4A0D38F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784F4F1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159B279D" w14:textId="77777777" w:rsidR="00513B41" w:rsidRPr="00513B41" w:rsidRDefault="00513B41" w:rsidP="00513B41">
      <w:pPr>
        <w:rPr>
          <w:rFonts w:ascii="Times New Roman" w:hAnsi="Times New Roman" w:cs="Times New Roman"/>
          <w:sz w:val="18"/>
          <w:szCs w:val="18"/>
        </w:rPr>
      </w:pPr>
    </w:p>
    <w:p w14:paraId="7C4B734B" w14:textId="77777777" w:rsidR="00513B41" w:rsidRPr="00513B41" w:rsidRDefault="00513B41" w:rsidP="00513B41">
      <w:pPr>
        <w:rPr>
          <w:rFonts w:ascii="Times New Roman" w:hAnsi="Times New Roman" w:cs="Times New Roman"/>
          <w:sz w:val="18"/>
          <w:szCs w:val="18"/>
        </w:rPr>
      </w:pPr>
    </w:p>
    <w:p w14:paraId="75930C76" w14:textId="77777777" w:rsidR="00513B41" w:rsidRPr="00513B41" w:rsidRDefault="00513B41" w:rsidP="00513B41">
      <w:pPr>
        <w:rPr>
          <w:rFonts w:ascii="Times New Roman" w:hAnsi="Times New Roman" w:cs="Times New Roman"/>
          <w:sz w:val="18"/>
          <w:szCs w:val="18"/>
        </w:rPr>
      </w:pPr>
    </w:p>
    <w:p w14:paraId="2552139D" w14:textId="77777777" w:rsidR="00513B41" w:rsidRPr="00513B41" w:rsidRDefault="00513B41" w:rsidP="00513B41">
      <w:pPr>
        <w:rPr>
          <w:rFonts w:ascii="Times New Roman" w:hAnsi="Times New Roman" w:cs="Times New Roman"/>
          <w:sz w:val="18"/>
          <w:szCs w:val="18"/>
        </w:rPr>
      </w:pPr>
    </w:p>
    <w:p w14:paraId="58C7348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Now merge the indepdent (promise record treatment) into the depedent variable data (completions)</w:t>
      </w:r>
    </w:p>
    <w:p w14:paraId="6D378F69" w14:textId="77777777" w:rsidR="00513B41" w:rsidRPr="00513B41" w:rsidRDefault="00513B41" w:rsidP="00513B41">
      <w:pPr>
        <w:rPr>
          <w:rFonts w:ascii="Times New Roman" w:hAnsi="Times New Roman" w:cs="Times New Roman"/>
          <w:sz w:val="18"/>
          <w:szCs w:val="18"/>
        </w:rPr>
      </w:pPr>
    </w:p>
    <w:p w14:paraId="0785A3F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merge 1:m unitid using $projectpath/data/DescribedCompletions.dta</w:t>
      </w:r>
    </w:p>
    <w:p w14:paraId="2CEFCEB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sort _merge </w:t>
      </w:r>
    </w:p>
    <w:p w14:paraId="06DAEF3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*unmatched from _merge=1 are four year granting instiutions which means I did not pull data for them. This can be pulled later by taking the unitids for this group and pulling them for ipeds like I did for the completion data earlier in the code</w:t>
      </w:r>
    </w:p>
    <w:p w14:paraId="1818FB69" w14:textId="77777777" w:rsidR="00513B41" w:rsidRPr="00513B41" w:rsidRDefault="00513B41" w:rsidP="00513B41">
      <w:pPr>
        <w:rPr>
          <w:rFonts w:ascii="Times New Roman" w:hAnsi="Times New Roman" w:cs="Times New Roman"/>
          <w:sz w:val="18"/>
          <w:szCs w:val="18"/>
        </w:rPr>
      </w:pPr>
    </w:p>
    <w:p w14:paraId="1171B57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*merges from _merge=2 are my untreated group</w:t>
      </w:r>
    </w:p>
    <w:p w14:paraId="524BC3F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*merges that are matched (_merge=3) are the treated group</w:t>
      </w:r>
    </w:p>
    <w:p w14:paraId="3FAAA35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_merge==1</w:t>
      </w:r>
    </w:p>
    <w:p w14:paraId="104A1A8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_merge</w:t>
      </w:r>
    </w:p>
    <w:p w14:paraId="05E95F0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unique Program </w:t>
      </w:r>
    </w:p>
    <w:p w14:paraId="64F048A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unitid</w:t>
      </w:r>
    </w:p>
    <w:p w14:paraId="7120A4E1" w14:textId="77777777" w:rsidR="00513B41" w:rsidRPr="00513B41" w:rsidRDefault="00513B41" w:rsidP="00513B41">
      <w:pPr>
        <w:rPr>
          <w:rFonts w:ascii="Times New Roman" w:hAnsi="Times New Roman" w:cs="Times New Roman"/>
          <w:sz w:val="18"/>
          <w:szCs w:val="18"/>
        </w:rPr>
      </w:pPr>
    </w:p>
    <w:p w14:paraId="0C624700" w14:textId="77777777" w:rsidR="00513B41" w:rsidRPr="00513B41" w:rsidRDefault="00513B41" w:rsidP="00513B41">
      <w:pPr>
        <w:rPr>
          <w:rFonts w:ascii="Times New Roman" w:hAnsi="Times New Roman" w:cs="Times New Roman"/>
          <w:sz w:val="18"/>
          <w:szCs w:val="18"/>
        </w:rPr>
      </w:pPr>
    </w:p>
    <w:p w14:paraId="314A76D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*Now I am ready to assign treatment!</w:t>
      </w:r>
    </w:p>
    <w:p w14:paraId="10BDAD3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save $projectpath/data/pretreatdata.dta, replace </w:t>
      </w:r>
    </w:p>
    <w:p w14:paraId="57A9BBD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clear</w:t>
      </w:r>
    </w:p>
    <w:p w14:paraId="25970F4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use  $projectpath/data/pretreatdata.dta</w:t>
      </w:r>
    </w:p>
    <w:p w14:paraId="2F32D6A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*My grad year is spring and my treat is fall. Therefore by subutracting 1 from grad year, I get a year variable that mataches the treatment though the graduation is for one year ahead (jump into the spring following Jan)</w:t>
      </w:r>
    </w:p>
    <w:p w14:paraId="4C61FB7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gen year = gradyear</w:t>
      </w:r>
    </w:p>
    <w:p w14:paraId="65F9F267" w14:textId="77777777" w:rsidR="00513B41" w:rsidRPr="00513B41" w:rsidRDefault="00513B41" w:rsidP="00513B41">
      <w:pPr>
        <w:rPr>
          <w:rFonts w:ascii="Times New Roman" w:hAnsi="Times New Roman" w:cs="Times New Roman"/>
          <w:sz w:val="18"/>
          <w:szCs w:val="18"/>
        </w:rPr>
      </w:pPr>
    </w:p>
    <w:p w14:paraId="40D54D4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AdoptFallYear event</w:t>
      </w:r>
    </w:p>
    <w:p w14:paraId="5201AFC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destring event, force replace</w:t>
      </w:r>
    </w:p>
    <w:p w14:paraId="25C10DC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ToE= year - event if ID!=.</w:t>
      </w:r>
    </w:p>
    <w:p w14:paraId="7A39823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postevent=1</w:t>
      </w:r>
    </w:p>
    <w:p w14:paraId="0B46A2A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replace postevent=0 if ToE==.</w:t>
      </w:r>
    </w:p>
    <w:p w14:paraId="2FD991A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replace postevent=0 if ToE&lt;=-1</w:t>
      </w:r>
    </w:p>
    <w:p w14:paraId="48B51F4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order unitid year event postevent ToE</w:t>
      </w:r>
    </w:p>
    <w:p w14:paraId="677E242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sort unitid</w:t>
      </w:r>
    </w:p>
    <w:p w14:paraId="6D3D2CC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by unitid: egen prom_firstyr=min(event)</w:t>
      </w:r>
    </w:p>
    <w:p w14:paraId="5EEBB4DE" w14:textId="77777777" w:rsidR="00513B41" w:rsidRPr="00513B41" w:rsidRDefault="00513B41" w:rsidP="00513B41">
      <w:pPr>
        <w:rPr>
          <w:rFonts w:ascii="Times New Roman" w:hAnsi="Times New Roman" w:cs="Times New Roman"/>
          <w:sz w:val="18"/>
          <w:szCs w:val="18"/>
        </w:rPr>
      </w:pPr>
    </w:p>
    <w:p w14:paraId="13869C1E" w14:textId="77777777" w:rsidR="00513B41" w:rsidRPr="00513B41" w:rsidRDefault="00513B41" w:rsidP="00513B41">
      <w:pPr>
        <w:rPr>
          <w:rFonts w:ascii="Times New Roman" w:hAnsi="Times New Roman" w:cs="Times New Roman"/>
          <w:sz w:val="18"/>
          <w:szCs w:val="18"/>
        </w:rPr>
      </w:pPr>
    </w:p>
    <w:p w14:paraId="2E1FDAD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prom_within_5 = (ToE==. | inrange(ToE, -5, 5))</w:t>
      </w:r>
    </w:p>
    <w:p w14:paraId="171BC0A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init=1 if prom_firstyr&lt;=2000</w:t>
      </w:r>
    </w:p>
    <w:p w14:paraId="1EB9956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recode init (.=0)</w:t>
      </w:r>
    </w:p>
    <w:p w14:paraId="50A4D9F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tab year init</w:t>
      </w:r>
    </w:p>
    <w:p w14:paraId="5F49F0BA" w14:textId="77777777" w:rsidR="00513B41" w:rsidRPr="00513B41" w:rsidRDefault="00513B41" w:rsidP="00513B41">
      <w:pPr>
        <w:rPr>
          <w:rFonts w:ascii="Times New Roman" w:hAnsi="Times New Roman" w:cs="Times New Roman"/>
          <w:sz w:val="18"/>
          <w:szCs w:val="18"/>
        </w:rPr>
      </w:pPr>
    </w:p>
    <w:p w14:paraId="32A50B4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*gen never treated flag </w:t>
      </w:r>
    </w:p>
    <w:p w14:paraId="00AE785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never_prom=1 if prom_firstyr==.</w:t>
      </w:r>
    </w:p>
    <w:p w14:paraId="404C4BE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replace never_prom=0 if event!=.</w:t>
      </w:r>
    </w:p>
    <w:p w14:paraId="4A086E4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*treatements in fall 2022 and fall 2023 do not affect our data and mess up my descritpvies </w:t>
      </w:r>
    </w:p>
    <w:p w14:paraId="407C6AA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never_prom=1 if event==2022</w:t>
      </w:r>
    </w:p>
    <w:p w14:paraId="0015152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never_prom=1 if event==2023</w:t>
      </w:r>
    </w:p>
    <w:p w14:paraId="43D8B29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recode never_prom (.=0)</w:t>
      </w:r>
    </w:p>
    <w:p w14:paraId="6B47FA4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tab year never_prom</w:t>
      </w:r>
    </w:p>
    <w:p w14:paraId="4359A92C" w14:textId="77777777" w:rsidR="00513B41" w:rsidRPr="00513B41" w:rsidRDefault="00513B41" w:rsidP="00513B41">
      <w:pPr>
        <w:rPr>
          <w:rFonts w:ascii="Times New Roman" w:hAnsi="Times New Roman" w:cs="Times New Roman"/>
          <w:sz w:val="18"/>
          <w:szCs w:val="18"/>
        </w:rPr>
      </w:pPr>
    </w:p>
    <w:p w14:paraId="61BBD0F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*gen ever treated flag </w:t>
      </w:r>
    </w:p>
    <w:p w14:paraId="7D4CF86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evertreated = 0</w:t>
      </w:r>
    </w:p>
    <w:p w14:paraId="0CE2BC1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replace evertreated = 1 if event!=.</w:t>
      </w:r>
    </w:p>
    <w:p w14:paraId="7155D5F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*treatements in fall 2022 and fall 2023 do not affect our data and mess up my descritpvies </w:t>
      </w:r>
    </w:p>
    <w:p w14:paraId="04FED70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evertreated=0 if event==2022</w:t>
      </w:r>
    </w:p>
    <w:p w14:paraId="3F8CD18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replace evertreated=0 if event==2023</w:t>
      </w:r>
    </w:p>
    <w:p w14:paraId="184F370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tab year evertreated </w:t>
      </w:r>
    </w:p>
    <w:p w14:paraId="31FE1115" w14:textId="77777777" w:rsidR="00513B41" w:rsidRPr="00513B41" w:rsidRDefault="00513B41" w:rsidP="00513B41">
      <w:pPr>
        <w:rPr>
          <w:rFonts w:ascii="Times New Roman" w:hAnsi="Times New Roman" w:cs="Times New Roman"/>
          <w:sz w:val="18"/>
          <w:szCs w:val="18"/>
        </w:rPr>
      </w:pPr>
    </w:p>
    <w:p w14:paraId="7AE225C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50D0F4C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7B4B3EE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10B8D7C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1E3A6EB8" w14:textId="77777777" w:rsidR="00513B41" w:rsidRPr="00513B41" w:rsidRDefault="00513B41" w:rsidP="00513B41">
      <w:pPr>
        <w:rPr>
          <w:rFonts w:ascii="Times New Roman" w:hAnsi="Times New Roman" w:cs="Times New Roman"/>
          <w:sz w:val="18"/>
          <w:szCs w:val="18"/>
        </w:rPr>
      </w:pPr>
    </w:p>
    <w:p w14:paraId="42B64DA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 Create Lead and Lags for Analysis </w:t>
      </w:r>
    </w:p>
    <w:p w14:paraId="66CCE996" w14:textId="77777777" w:rsidR="00513B41" w:rsidRPr="00513B41" w:rsidRDefault="00513B41" w:rsidP="00513B41">
      <w:pPr>
        <w:rPr>
          <w:rFonts w:ascii="Times New Roman" w:hAnsi="Times New Roman" w:cs="Times New Roman"/>
          <w:sz w:val="18"/>
          <w:szCs w:val="18"/>
        </w:rPr>
      </w:pPr>
    </w:p>
    <w:p w14:paraId="5E2A000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first create leads / pre-delta</w:t>
      </w:r>
    </w:p>
    <w:p w14:paraId="0C4ED80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forvalues i=1(1)23{</w:t>
      </w:r>
    </w:p>
    <w:p w14:paraId="47C2E1E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gen predelta_`i'=(ToE==-`i')</w:t>
      </w:r>
    </w:p>
    <w:p w14:paraId="1A60644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label var predelta_`i' "-`i'"</w:t>
      </w:r>
    </w:p>
    <w:p w14:paraId="7EF4EFE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15A5775F" w14:textId="77777777" w:rsidR="00513B41" w:rsidRPr="00513B41" w:rsidRDefault="00513B41" w:rsidP="00513B41">
      <w:pPr>
        <w:rPr>
          <w:rFonts w:ascii="Times New Roman" w:hAnsi="Times New Roman" w:cs="Times New Roman"/>
          <w:sz w:val="18"/>
          <w:szCs w:val="18"/>
        </w:rPr>
      </w:pPr>
    </w:p>
    <w:p w14:paraId="07E13F5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 next create lags / post-delta </w:t>
      </w:r>
    </w:p>
    <w:p w14:paraId="6748DA6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foreach v in 0 1 2 3 4 5 6 7 8 9 10 11 12 13 14 15 16 17 18 19 20 21 {</w:t>
      </w:r>
    </w:p>
    <w:p w14:paraId="70EF98C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gen postdelta_`v'=(ToE==`v')</w:t>
      </w:r>
    </w:p>
    <w:p w14:paraId="32C4F1B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ab/>
      </w:r>
      <w:r w:rsidRPr="00513B41">
        <w:rPr>
          <w:rFonts w:ascii="Times New Roman" w:hAnsi="Times New Roman" w:cs="Times New Roman"/>
          <w:sz w:val="18"/>
          <w:szCs w:val="18"/>
        </w:rPr>
        <w:tab/>
        <w:t>label var postdelta_`v' "`v'"</w:t>
      </w:r>
    </w:p>
    <w:p w14:paraId="4879069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w:t>
      </w:r>
    </w:p>
    <w:p w14:paraId="65FFA3C7" w14:textId="77777777" w:rsidR="00513B41" w:rsidRPr="00513B41" w:rsidRDefault="00513B41" w:rsidP="00513B41">
      <w:pPr>
        <w:rPr>
          <w:rFonts w:ascii="Times New Roman" w:hAnsi="Times New Roman" w:cs="Times New Roman"/>
          <w:sz w:val="18"/>
          <w:szCs w:val="18"/>
        </w:rPr>
      </w:pPr>
    </w:p>
    <w:p w14:paraId="1B3AF4F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*generate the codes for the deggree lengths </w:t>
      </w:r>
    </w:p>
    <w:p w14:paraId="3FD4823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shortcred_9 cip1991</w:t>
      </w:r>
    </w:p>
    <w:p w14:paraId="56956E8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longcred_9 cip2991</w:t>
      </w:r>
    </w:p>
    <w:p w14:paraId="3DBECB8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allcred_9 cip0991</w:t>
      </w:r>
    </w:p>
    <w:p w14:paraId="5B92A54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degree_9 cip3991</w:t>
      </w:r>
    </w:p>
    <w:p w14:paraId="23DB673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subbach_9 cip4991</w:t>
      </w:r>
    </w:p>
    <w:p w14:paraId="33137B54" w14:textId="77777777" w:rsidR="00513B41" w:rsidRPr="00513B41" w:rsidRDefault="00513B41" w:rsidP="00513B41">
      <w:pPr>
        <w:rPr>
          <w:rFonts w:ascii="Times New Roman" w:hAnsi="Times New Roman" w:cs="Times New Roman"/>
          <w:sz w:val="18"/>
          <w:szCs w:val="18"/>
        </w:rPr>
      </w:pPr>
    </w:p>
    <w:p w14:paraId="0D6F10E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lncip4991= ln(cip4991)</w:t>
      </w:r>
    </w:p>
    <w:p w14:paraId="78E7F0B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lncip3991= ln(cip3991)</w:t>
      </w:r>
    </w:p>
    <w:p w14:paraId="7509856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lncip2991= ln(cip2991)</w:t>
      </w:r>
    </w:p>
    <w:p w14:paraId="0950793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lncip1991= ln(cip1991)</w:t>
      </w:r>
    </w:p>
    <w:p w14:paraId="6F4826D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lncip0991= ln(cip0991)</w:t>
      </w:r>
    </w:p>
    <w:p w14:paraId="3E073F2E" w14:textId="77777777" w:rsidR="00513B41" w:rsidRPr="00513B41" w:rsidRDefault="00513B41" w:rsidP="00513B41">
      <w:pPr>
        <w:rPr>
          <w:rFonts w:ascii="Times New Roman" w:hAnsi="Times New Roman" w:cs="Times New Roman"/>
          <w:sz w:val="18"/>
          <w:szCs w:val="18"/>
        </w:rPr>
      </w:pPr>
    </w:p>
    <w:p w14:paraId="370F9437" w14:textId="77777777" w:rsidR="00513B41" w:rsidRPr="00513B41" w:rsidRDefault="00513B41" w:rsidP="00513B41">
      <w:pPr>
        <w:rPr>
          <w:rFonts w:ascii="Times New Roman" w:hAnsi="Times New Roman" w:cs="Times New Roman"/>
          <w:sz w:val="18"/>
          <w:szCs w:val="18"/>
        </w:rPr>
      </w:pPr>
    </w:p>
    <w:p w14:paraId="6BB5C6E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*generate the codes for the academic types lengths </w:t>
      </w:r>
    </w:p>
    <w:p w14:paraId="379CDD0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subbach_1 subbach_STEM</w:t>
      </w:r>
    </w:p>
    <w:p w14:paraId="17D8C75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subbach_2 subbach_Trade</w:t>
      </w:r>
    </w:p>
    <w:p w14:paraId="72640DF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subbach_3 subbach_LibArt</w:t>
      </w:r>
    </w:p>
    <w:p w14:paraId="0379F51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subbach_4 subbach_HumServ</w:t>
      </w:r>
    </w:p>
    <w:p w14:paraId="78BC13C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rename subbach_5 subbach_ProServ</w:t>
      </w:r>
    </w:p>
    <w:p w14:paraId="62506BE6" w14:textId="77777777" w:rsidR="00513B41" w:rsidRPr="00513B41" w:rsidRDefault="00513B41" w:rsidP="00513B41">
      <w:pPr>
        <w:rPr>
          <w:rFonts w:ascii="Times New Roman" w:hAnsi="Times New Roman" w:cs="Times New Roman"/>
          <w:sz w:val="18"/>
          <w:szCs w:val="18"/>
        </w:rPr>
      </w:pPr>
    </w:p>
    <w:p w14:paraId="42483AE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lnsubbach_STEM</w:t>
      </w:r>
      <w:r w:rsidRPr="00513B41">
        <w:rPr>
          <w:rFonts w:ascii="Times New Roman" w:hAnsi="Times New Roman" w:cs="Times New Roman"/>
          <w:sz w:val="18"/>
          <w:szCs w:val="18"/>
        </w:rPr>
        <w:tab/>
      </w:r>
      <w:r w:rsidRPr="00513B41">
        <w:rPr>
          <w:rFonts w:ascii="Times New Roman" w:hAnsi="Times New Roman" w:cs="Times New Roman"/>
          <w:sz w:val="18"/>
          <w:szCs w:val="18"/>
        </w:rPr>
        <w:tab/>
        <w:t>= ln(subbach_STEM)</w:t>
      </w:r>
    </w:p>
    <w:p w14:paraId="6807D24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lnsubbach_Trade</w:t>
      </w:r>
      <w:r w:rsidRPr="00513B41">
        <w:rPr>
          <w:rFonts w:ascii="Times New Roman" w:hAnsi="Times New Roman" w:cs="Times New Roman"/>
          <w:sz w:val="18"/>
          <w:szCs w:val="18"/>
        </w:rPr>
        <w:tab/>
      </w:r>
      <w:r w:rsidRPr="00513B41">
        <w:rPr>
          <w:rFonts w:ascii="Times New Roman" w:hAnsi="Times New Roman" w:cs="Times New Roman"/>
          <w:sz w:val="18"/>
          <w:szCs w:val="18"/>
        </w:rPr>
        <w:tab/>
        <w:t>= ln(subbach_Trade)</w:t>
      </w:r>
    </w:p>
    <w:p w14:paraId="0F1A05D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lnsubbach_LibArt</w:t>
      </w:r>
      <w:r w:rsidRPr="00513B41">
        <w:rPr>
          <w:rFonts w:ascii="Times New Roman" w:hAnsi="Times New Roman" w:cs="Times New Roman"/>
          <w:sz w:val="18"/>
          <w:szCs w:val="18"/>
        </w:rPr>
        <w:tab/>
        <w:t>= ln(subbach_LibArt)</w:t>
      </w:r>
    </w:p>
    <w:p w14:paraId="745FF1F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lnsubbach_HumServ</w:t>
      </w:r>
      <w:r w:rsidRPr="00513B41">
        <w:rPr>
          <w:rFonts w:ascii="Times New Roman" w:hAnsi="Times New Roman" w:cs="Times New Roman"/>
          <w:sz w:val="18"/>
          <w:szCs w:val="18"/>
        </w:rPr>
        <w:tab/>
        <w:t>= ln(subbach_HumServ)</w:t>
      </w:r>
    </w:p>
    <w:p w14:paraId="1FD23BD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lnsubbach_ProServ</w:t>
      </w:r>
      <w:r w:rsidRPr="00513B41">
        <w:rPr>
          <w:rFonts w:ascii="Times New Roman" w:hAnsi="Times New Roman" w:cs="Times New Roman"/>
          <w:sz w:val="18"/>
          <w:szCs w:val="18"/>
        </w:rPr>
        <w:tab/>
        <w:t>= ln(subbach_ProServ)</w:t>
      </w:r>
    </w:p>
    <w:p w14:paraId="5F4D857C" w14:textId="77777777" w:rsidR="00513B41" w:rsidRPr="00513B41" w:rsidRDefault="00513B41" w:rsidP="00513B41">
      <w:pPr>
        <w:rPr>
          <w:rFonts w:ascii="Times New Roman" w:hAnsi="Times New Roman" w:cs="Times New Roman"/>
          <w:sz w:val="18"/>
          <w:szCs w:val="18"/>
        </w:rPr>
      </w:pPr>
    </w:p>
    <w:p w14:paraId="3C06C79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p>
    <w:p w14:paraId="6B244BD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6A7D67D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680597E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39A1F30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14F53986" w14:textId="77777777" w:rsidR="00513B41" w:rsidRPr="00513B41" w:rsidRDefault="00513B41" w:rsidP="00513B41">
      <w:pPr>
        <w:rPr>
          <w:rFonts w:ascii="Times New Roman" w:hAnsi="Times New Roman" w:cs="Times New Roman"/>
          <w:sz w:val="18"/>
          <w:szCs w:val="18"/>
        </w:rPr>
      </w:pPr>
    </w:p>
    <w:p w14:paraId="1EAC855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*replace blanks with zeros </w:t>
      </w:r>
    </w:p>
    <w:p w14:paraId="5B838B1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foreach y in cip1991 cip2991 cip3991 cip4991 lncip1991 lncip2991 lncip3991 lncip4991 subbach_STEM subbach_Trade subbach_LibArt subbach_HumServ subbach_ProServ  lnsubbach_STEM lnsubbach_Trade lnsubbach_LibArt lnsubbach_HumServ lnsubbach_ProServ  {</w:t>
      </w:r>
    </w:p>
    <w:p w14:paraId="607C6F5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replace `y'=0 if `y'==.</w:t>
      </w:r>
    </w:p>
    <w:p w14:paraId="20C9137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ab/>
        <w:t>}</w:t>
      </w:r>
    </w:p>
    <w:p w14:paraId="5CFD4793" w14:textId="77777777" w:rsidR="00513B41" w:rsidRPr="00513B41" w:rsidRDefault="00513B41" w:rsidP="00513B41">
      <w:pPr>
        <w:rPr>
          <w:rFonts w:ascii="Times New Roman" w:hAnsi="Times New Roman" w:cs="Times New Roman"/>
          <w:sz w:val="18"/>
          <w:szCs w:val="18"/>
        </w:rPr>
      </w:pPr>
    </w:p>
    <w:p w14:paraId="7BAFAFD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1DF991F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0A626A4F"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7C95128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w:t>
      </w:r>
    </w:p>
    <w:p w14:paraId="7DF54106" w14:textId="77777777" w:rsidR="00513B41" w:rsidRPr="00513B41" w:rsidRDefault="00513B41" w:rsidP="00513B41">
      <w:pPr>
        <w:rPr>
          <w:rFonts w:ascii="Times New Roman" w:hAnsi="Times New Roman" w:cs="Times New Roman"/>
          <w:sz w:val="18"/>
          <w:szCs w:val="18"/>
        </w:rPr>
      </w:pPr>
    </w:p>
    <w:p w14:paraId="44CC7DFD" w14:textId="77777777" w:rsidR="00513B41" w:rsidRPr="00513B41" w:rsidRDefault="00513B41" w:rsidP="00513B41">
      <w:pPr>
        <w:rPr>
          <w:rFonts w:ascii="Times New Roman" w:hAnsi="Times New Roman" w:cs="Times New Roman"/>
          <w:sz w:val="18"/>
          <w:szCs w:val="18"/>
        </w:rPr>
      </w:pPr>
    </w:p>
    <w:p w14:paraId="740A21A8" w14:textId="77777777" w:rsidR="00513B41" w:rsidRPr="00513B41" w:rsidRDefault="00513B41" w:rsidP="00513B41">
      <w:pPr>
        <w:rPr>
          <w:rFonts w:ascii="Times New Roman" w:hAnsi="Times New Roman" w:cs="Times New Roman"/>
          <w:sz w:val="18"/>
          <w:szCs w:val="18"/>
        </w:rPr>
      </w:pPr>
    </w:p>
    <w:p w14:paraId="43BA269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 use the csdid code to create a overall ATT for program length </w:t>
      </w:r>
    </w:p>
    <w:p w14:paraId="576637C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interact = event * postevent</w:t>
      </w:r>
    </w:p>
    <w:p w14:paraId="0777BD5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treatgroup = 0</w:t>
      </w:r>
    </w:p>
    <w:p w14:paraId="17A794D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replace treatgroup=1 if event!=.</w:t>
      </w:r>
    </w:p>
    <w:p w14:paraId="1305B49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replace event=0 if event==.</w:t>
      </w:r>
    </w:p>
    <w:p w14:paraId="5CEE502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egen fintrtgrp = group(unitid treatgroup)</w:t>
      </w:r>
    </w:p>
    <w:p w14:paraId="3D852089" w14:textId="77777777" w:rsidR="00513B41" w:rsidRPr="00513B41" w:rsidRDefault="00513B41" w:rsidP="00513B41">
      <w:pPr>
        <w:rPr>
          <w:rFonts w:ascii="Times New Roman" w:hAnsi="Times New Roman" w:cs="Times New Roman"/>
          <w:sz w:val="18"/>
          <w:szCs w:val="18"/>
        </w:rPr>
      </w:pPr>
    </w:p>
    <w:p w14:paraId="373E0F1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save $projectpath/data/analysisready.dta, replace</w:t>
      </w:r>
    </w:p>
    <w:p w14:paraId="62D5F81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*gen trend value for unit-specific time trends </w:t>
      </w:r>
    </w:p>
    <w:p w14:paraId="459A70A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gen trend = year - 2000</w:t>
      </w:r>
    </w:p>
    <w:p w14:paraId="50E18825" w14:textId="77777777" w:rsidR="00513B41" w:rsidRPr="00513B41" w:rsidRDefault="00513B41" w:rsidP="00513B41">
      <w:pPr>
        <w:rPr>
          <w:rFonts w:ascii="Times New Roman" w:hAnsi="Times New Roman" w:cs="Times New Roman"/>
          <w:sz w:val="18"/>
          <w:szCs w:val="18"/>
        </w:rPr>
      </w:pPr>
    </w:p>
    <w:p w14:paraId="7730D17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*get rid of always treated units </w:t>
      </w:r>
    </w:p>
    <w:p w14:paraId="26E10D9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event&lt;=2004 &amp; event!=0</w:t>
      </w:r>
    </w:p>
    <w:p w14:paraId="22D30C4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unique Program </w:t>
      </w:r>
    </w:p>
    <w:p w14:paraId="158B095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unique unitid</w:t>
      </w:r>
    </w:p>
    <w:p w14:paraId="11F2FB25" w14:textId="77777777" w:rsidR="00513B41" w:rsidRPr="00513B41" w:rsidRDefault="00513B41" w:rsidP="00513B41">
      <w:pPr>
        <w:rPr>
          <w:rFonts w:ascii="Times New Roman" w:hAnsi="Times New Roman" w:cs="Times New Roman"/>
          <w:sz w:val="18"/>
          <w:szCs w:val="18"/>
        </w:rPr>
      </w:pPr>
    </w:p>
    <w:p w14:paraId="3199836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*get rid of four year schools</w:t>
      </w:r>
    </w:p>
    <w:p w14:paraId="69539CE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sector&lt;=3</w:t>
      </w:r>
    </w:p>
    <w:p w14:paraId="47B8100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sector==99</w:t>
      </w:r>
    </w:p>
    <w:p w14:paraId="7B4AE36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*drop if sector==-3*</w:t>
      </w:r>
    </w:p>
    <w:p w14:paraId="03020B76" w14:textId="77777777" w:rsidR="00513B41" w:rsidRPr="00513B41" w:rsidRDefault="00513B41" w:rsidP="00513B41">
      <w:pPr>
        <w:rPr>
          <w:rFonts w:ascii="Times New Roman" w:hAnsi="Times New Roman" w:cs="Times New Roman"/>
          <w:sz w:val="18"/>
          <w:szCs w:val="18"/>
        </w:rPr>
      </w:pPr>
    </w:p>
    <w:p w14:paraId="007E4DB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save $projectpath/data/finaleventstudy.dta, replace </w:t>
      </w:r>
    </w:p>
    <w:p w14:paraId="0878208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export excel using analysisexcel.xlsx, first(var) replace </w:t>
      </w:r>
    </w:p>
    <w:p w14:paraId="0384AA9D" w14:textId="77777777" w:rsidR="00513B41" w:rsidRPr="00513B41" w:rsidRDefault="00513B41" w:rsidP="00513B41">
      <w:pPr>
        <w:rPr>
          <w:rFonts w:ascii="Times New Roman" w:hAnsi="Times New Roman" w:cs="Times New Roman"/>
          <w:sz w:val="18"/>
          <w:szCs w:val="18"/>
        </w:rPr>
      </w:pPr>
    </w:p>
    <w:p w14:paraId="13920C0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clear </w:t>
      </w:r>
    </w:p>
    <w:p w14:paraId="64E34C8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use $projectpath/data/finaleventstudy.dta </w:t>
      </w:r>
    </w:p>
    <w:p w14:paraId="7EFB8B9F" w14:textId="77777777" w:rsidR="00513B41" w:rsidRPr="00513B41" w:rsidRDefault="00513B41" w:rsidP="00513B41">
      <w:pPr>
        <w:rPr>
          <w:rFonts w:ascii="Times New Roman" w:hAnsi="Times New Roman" w:cs="Times New Roman"/>
          <w:sz w:val="18"/>
          <w:szCs w:val="18"/>
        </w:rPr>
      </w:pPr>
    </w:p>
    <w:p w14:paraId="1328481A" w14:textId="77777777" w:rsidR="00513B41" w:rsidRPr="00513B41" w:rsidRDefault="00513B41" w:rsidP="00513B41">
      <w:pPr>
        <w:rPr>
          <w:rFonts w:ascii="Times New Roman" w:hAnsi="Times New Roman" w:cs="Times New Roman"/>
          <w:sz w:val="18"/>
          <w:szCs w:val="18"/>
        </w:rPr>
      </w:pPr>
    </w:p>
    <w:p w14:paraId="0B62D228" w14:textId="77777777" w:rsidR="00513B41" w:rsidRPr="00513B41" w:rsidRDefault="00513B41" w:rsidP="00513B41">
      <w:pPr>
        <w:rPr>
          <w:rFonts w:ascii="Times New Roman" w:hAnsi="Times New Roman" w:cs="Times New Roman"/>
          <w:sz w:val="18"/>
          <w:szCs w:val="18"/>
        </w:rPr>
      </w:pPr>
    </w:p>
    <w:p w14:paraId="692511A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save $projectpath/data/All_Sub-Baccalaurate.dta, replace</w:t>
      </w:r>
    </w:p>
    <w:p w14:paraId="4E23650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fre control if year==2000</w:t>
      </w:r>
    </w:p>
    <w:p w14:paraId="3EE76ED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lastRenderedPageBreak/>
        <w:t>fre sector if year==2000</w:t>
      </w:r>
    </w:p>
    <w:p w14:paraId="4F94423D"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fre carnegie if year==2000</w:t>
      </w:r>
    </w:p>
    <w:p w14:paraId="05BDFBF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*sucessful data run means analysis data set is ready </w:t>
      </w:r>
    </w:p>
    <w:p w14:paraId="647842D1" w14:textId="77777777" w:rsidR="00513B41" w:rsidRPr="00513B41" w:rsidRDefault="00513B41" w:rsidP="00513B41">
      <w:pPr>
        <w:rPr>
          <w:rFonts w:ascii="Times New Roman" w:hAnsi="Times New Roman" w:cs="Times New Roman"/>
          <w:sz w:val="18"/>
          <w:szCs w:val="18"/>
        </w:rPr>
      </w:pPr>
    </w:p>
    <w:p w14:paraId="74A8311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*CREATE THE RUN FILES uncut, non-profit, publics, and state-funded</w:t>
      </w:r>
    </w:p>
    <w:p w14:paraId="736FAE5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*note that the base file is uncut save $projectpath/data/treatdatawithfips.dta</w:t>
      </w:r>
    </w:p>
    <w:p w14:paraId="1E805D5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*non-profits </w:t>
      </w:r>
    </w:p>
    <w:p w14:paraId="3D8946F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if control==3</w:t>
      </w:r>
    </w:p>
    <w:p w14:paraId="5675523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unique Program </w:t>
      </w:r>
    </w:p>
    <w:p w14:paraId="6DDF0C6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unique unitid</w:t>
      </w:r>
    </w:p>
    <w:p w14:paraId="20EC774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fre control if year==2000</w:t>
      </w:r>
    </w:p>
    <w:p w14:paraId="2AA8DC2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fre sector if year==2000</w:t>
      </w:r>
    </w:p>
    <w:p w14:paraId="2B12733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fre carnegie if year==2000</w:t>
      </w:r>
    </w:p>
    <w:p w14:paraId="7DDB2E3D" w14:textId="77777777" w:rsidR="00513B41" w:rsidRPr="00513B41" w:rsidRDefault="00513B41" w:rsidP="00513B41">
      <w:pPr>
        <w:rPr>
          <w:rFonts w:ascii="Times New Roman" w:hAnsi="Times New Roman" w:cs="Times New Roman"/>
          <w:sz w:val="18"/>
          <w:szCs w:val="18"/>
        </w:rPr>
      </w:pPr>
    </w:p>
    <w:p w14:paraId="5C89E6E0"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save $projectpath/data/Non-profits.dta, replace </w:t>
      </w:r>
    </w:p>
    <w:p w14:paraId="316AFDDC"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 xml:space="preserve">*publics </w:t>
      </w:r>
    </w:p>
    <w:p w14:paraId="7099BCA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if control==2</w:t>
      </w:r>
    </w:p>
    <w:p w14:paraId="54E6794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unique Program </w:t>
      </w:r>
    </w:p>
    <w:p w14:paraId="28C77E5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unique unitid</w:t>
      </w:r>
    </w:p>
    <w:p w14:paraId="0845EE5A"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fre control if year==2000</w:t>
      </w:r>
    </w:p>
    <w:p w14:paraId="7DD5AF02"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fre sector if year==2000</w:t>
      </w:r>
    </w:p>
    <w:p w14:paraId="09A7E866"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fre carnegie if year==2000</w:t>
      </w:r>
    </w:p>
    <w:p w14:paraId="098B5086" w14:textId="77777777" w:rsidR="00513B41" w:rsidRPr="00513B41" w:rsidRDefault="00513B41" w:rsidP="00513B41">
      <w:pPr>
        <w:rPr>
          <w:rFonts w:ascii="Times New Roman" w:hAnsi="Times New Roman" w:cs="Times New Roman"/>
          <w:sz w:val="18"/>
          <w:szCs w:val="18"/>
        </w:rPr>
      </w:pPr>
    </w:p>
    <w:p w14:paraId="409CD26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save $projectpath/data/Publics.dta, replace </w:t>
      </w:r>
    </w:p>
    <w:p w14:paraId="5B3FF22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t>*state-funded</w:t>
      </w:r>
    </w:p>
    <w:p w14:paraId="3F39F2B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the locally controlled groups by taking out the zero dollar awardees for state appropirations</w:t>
      </w:r>
    </w:p>
    <w:p w14:paraId="2D2094C5"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drop if f1b11==0</w:t>
      </w:r>
    </w:p>
    <w:p w14:paraId="55F817F1"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unique Program </w:t>
      </w:r>
    </w:p>
    <w:p w14:paraId="29BB523E"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unique unitid</w:t>
      </w:r>
    </w:p>
    <w:p w14:paraId="124ED843"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fre control if year==2000</w:t>
      </w:r>
    </w:p>
    <w:p w14:paraId="75CB3D9B"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fre sector if year==2000</w:t>
      </w:r>
    </w:p>
    <w:p w14:paraId="11075727"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fre carnegie if year==2000</w:t>
      </w:r>
    </w:p>
    <w:p w14:paraId="61A71F99"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ab/>
      </w:r>
      <w:r w:rsidRPr="00513B41">
        <w:rPr>
          <w:rFonts w:ascii="Times New Roman" w:hAnsi="Times New Roman" w:cs="Times New Roman"/>
          <w:sz w:val="18"/>
          <w:szCs w:val="18"/>
        </w:rPr>
        <w:tab/>
        <w:t xml:space="preserve">save $projectpath/data/State-Funded.dta, replace </w:t>
      </w:r>
    </w:p>
    <w:p w14:paraId="637425C5" w14:textId="77777777" w:rsidR="00513B41" w:rsidRPr="00513B41" w:rsidRDefault="00513B41" w:rsidP="00513B41">
      <w:pPr>
        <w:rPr>
          <w:rFonts w:ascii="Times New Roman" w:hAnsi="Times New Roman" w:cs="Times New Roman"/>
          <w:sz w:val="18"/>
          <w:szCs w:val="18"/>
        </w:rPr>
      </w:pPr>
    </w:p>
    <w:p w14:paraId="79D9D3B3" w14:textId="77777777" w:rsidR="00513B41" w:rsidRPr="00513B41" w:rsidRDefault="00513B41" w:rsidP="00513B41">
      <w:pPr>
        <w:rPr>
          <w:rFonts w:ascii="Times New Roman" w:hAnsi="Times New Roman" w:cs="Times New Roman"/>
          <w:sz w:val="18"/>
          <w:szCs w:val="18"/>
        </w:rPr>
      </w:pPr>
    </w:p>
    <w:p w14:paraId="349B71C4"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 xml:space="preserve">*close the log </w:t>
      </w:r>
    </w:p>
    <w:p w14:paraId="4A6829B8" w14:textId="77777777" w:rsidR="00513B41" w:rsidRPr="00513B41" w:rsidRDefault="00513B41" w:rsidP="00513B41">
      <w:pPr>
        <w:rPr>
          <w:rFonts w:ascii="Times New Roman" w:hAnsi="Times New Roman" w:cs="Times New Roman"/>
          <w:sz w:val="18"/>
          <w:szCs w:val="18"/>
        </w:rPr>
      </w:pPr>
      <w:r w:rsidRPr="00513B41">
        <w:rPr>
          <w:rFonts w:ascii="Times New Roman" w:hAnsi="Times New Roman" w:cs="Times New Roman"/>
          <w:sz w:val="18"/>
          <w:szCs w:val="18"/>
        </w:rPr>
        <w:t>log close</w:t>
      </w:r>
    </w:p>
    <w:p w14:paraId="7A890F28" w14:textId="77777777" w:rsidR="00551690" w:rsidRDefault="00551690">
      <w:pPr>
        <w:rPr>
          <w:rFonts w:ascii="Times New Roman" w:hAnsi="Times New Roman" w:cs="Times New Roman"/>
          <w:b/>
          <w:caps/>
          <w:color w:val="000000" w:themeColor="text1"/>
        </w:rPr>
      </w:pPr>
      <w:r>
        <w:br w:type="page"/>
      </w:r>
    </w:p>
    <w:p w14:paraId="02862DAB" w14:textId="4636E7C5" w:rsidR="00143F37" w:rsidRPr="00C63272" w:rsidRDefault="00143F37" w:rsidP="00D165B0">
      <w:pPr>
        <w:pStyle w:val="Heading1"/>
      </w:pPr>
      <w:bookmarkStart w:id="185" w:name="_Toc183282297"/>
      <w:r w:rsidRPr="00C63272">
        <w:lastRenderedPageBreak/>
        <w:t>Appendix</w:t>
      </w:r>
      <w:r>
        <w:t xml:space="preserve"> </w:t>
      </w:r>
      <w:r w:rsidR="00D4524B">
        <w:t>B</w:t>
      </w:r>
      <w:bookmarkEnd w:id="185"/>
    </w:p>
    <w:p w14:paraId="70929EBC" w14:textId="5830E8B7" w:rsidR="00227660" w:rsidRDefault="00143F37" w:rsidP="00E109DE">
      <w:pPr>
        <w:jc w:val="center"/>
        <w:rPr>
          <w:rFonts w:ascii="Times New Roman" w:hAnsi="Times New Roman" w:cs="Times New Roman"/>
        </w:rPr>
      </w:pPr>
      <w:r>
        <w:rPr>
          <w:rFonts w:ascii="Times New Roman" w:hAnsi="Times New Roman" w:cs="Times New Roman"/>
        </w:rPr>
        <w:t>Data Analysis Stata Code</w:t>
      </w:r>
    </w:p>
    <w:p w14:paraId="5E06BCDE" w14:textId="77777777" w:rsidR="00E109DE" w:rsidRDefault="00E109DE" w:rsidP="00E109DE">
      <w:pPr>
        <w:rPr>
          <w:rFonts w:ascii="Times New Roman" w:hAnsi="Times New Roman" w:cs="Times New Roman"/>
          <w:sz w:val="18"/>
          <w:szCs w:val="18"/>
        </w:rPr>
      </w:pPr>
    </w:p>
    <w:p w14:paraId="0496745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1AFA1B9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0801BACD" w14:textId="77777777" w:rsidR="00932D06" w:rsidRPr="00932D06" w:rsidRDefault="00932D06" w:rsidP="00932D06">
      <w:pPr>
        <w:rPr>
          <w:rFonts w:ascii="Times New Roman" w:hAnsi="Times New Roman" w:cs="Times New Roman"/>
          <w:sz w:val="18"/>
          <w:szCs w:val="18"/>
        </w:rPr>
      </w:pPr>
    </w:p>
    <w:p w14:paraId="4568101E"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Title:   Staggered DiD Completions Data Analysis</w:t>
      </w:r>
    </w:p>
    <w:p w14:paraId="443F3596"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Author:  Zachary Hyder</w:t>
      </w:r>
    </w:p>
    <w:p w14:paraId="47F7A631"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Date:    09/07/2024</w:t>
      </w:r>
    </w:p>
    <w:p w14:paraId="02AF7275"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  Purpose: Run OLS ES and DID Impute estimators for a Stag. DiD analysis for cross-section+panel data of college completions </w:t>
      </w:r>
    </w:p>
    <w:p w14:paraId="1FC69F0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w:t>
      </w:r>
      <w:r w:rsidRPr="00932D06">
        <w:rPr>
          <w:rFonts w:ascii="Times New Roman" w:hAnsi="Times New Roman" w:cs="Times New Roman"/>
          <w:sz w:val="18"/>
          <w:szCs w:val="18"/>
        </w:rPr>
        <w:tab/>
        <w:t xml:space="preserve">year academic programs at public  &lt;=2 year colleges from 2009-2010 </w:t>
      </w:r>
    </w:p>
    <w:p w14:paraId="21CF0BE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w:t>
      </w:r>
      <w:r w:rsidRPr="00932D06">
        <w:rPr>
          <w:rFonts w:ascii="Times New Roman" w:hAnsi="Times New Roman" w:cs="Times New Roman"/>
          <w:sz w:val="18"/>
          <w:szCs w:val="18"/>
        </w:rPr>
        <w:tab/>
        <w:t xml:space="preserve">through 2021-2022. Merges treatment data from collegepromise.org </w:t>
      </w:r>
    </w:p>
    <w:p w14:paraId="1F07CD1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w:t>
      </w:r>
      <w:r w:rsidRPr="00932D06">
        <w:rPr>
          <w:rFonts w:ascii="Times New Roman" w:hAnsi="Times New Roman" w:cs="Times New Roman"/>
          <w:sz w:val="18"/>
          <w:szCs w:val="18"/>
        </w:rPr>
        <w:tab/>
        <w:t>and fips codes*/</w:t>
      </w:r>
    </w:p>
    <w:p w14:paraId="0954E6F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p>
    <w:p w14:paraId="192C8CBC"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*Memos to self </w:t>
      </w:r>
      <w:r w:rsidRPr="00932D06">
        <w:rPr>
          <w:rFonts w:ascii="Times New Roman" w:hAnsi="Times New Roman" w:cs="Times New Roman"/>
          <w:sz w:val="18"/>
          <w:szCs w:val="18"/>
        </w:rPr>
        <w:tab/>
      </w:r>
      <w:r w:rsidRPr="00932D06">
        <w:rPr>
          <w:rFonts w:ascii="Times New Roman" w:hAnsi="Times New Roman" w:cs="Times New Roman"/>
          <w:sz w:val="18"/>
          <w:szCs w:val="18"/>
        </w:rPr>
        <w:tab/>
      </w:r>
    </w:p>
    <w:p w14:paraId="5D1FD25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*can run a varient of this using the K.Butts package of Gardner (2021)</w:t>
      </w:r>
    </w:p>
    <w:p w14:paraId="28D4A5A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*did2s lncip4991, first_stage(i.unitid i.year i.unitid#c.trend) second_stage(pre* tau*) *treatment(postevent) cluster(unitid)</w:t>
      </w:r>
    </w:p>
    <w:p w14:paraId="00E4AA6E"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*see: </w:t>
      </w:r>
    </w:p>
    <w:p w14:paraId="5F6AE380"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https://friosavila.github.io/playingwithstata/main_did_union.html</w:t>
      </w:r>
    </w:p>
    <w:p w14:paraId="22A67F6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https://jrgcmu.github.io/2sdd_current.pdf</w:t>
      </w:r>
    </w:p>
    <w:p w14:paraId="6872E99C"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https://github.com/kylebutts/did2s_stata</w:t>
      </w:r>
    </w:p>
    <w:p w14:paraId="1B78F94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https://asjadnaqvi.github.io/DiD/docs/code_r/07_did2s_r/</w:t>
      </w:r>
    </w:p>
    <w:p w14:paraId="0B0049C7" w14:textId="77777777" w:rsidR="00932D06" w:rsidRPr="00932D06" w:rsidRDefault="00932D06" w:rsidP="00932D06">
      <w:pPr>
        <w:rPr>
          <w:rFonts w:ascii="Times New Roman" w:hAnsi="Times New Roman" w:cs="Times New Roman"/>
          <w:sz w:val="18"/>
          <w:szCs w:val="18"/>
        </w:rPr>
      </w:pPr>
    </w:p>
    <w:p w14:paraId="251B0C1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*did_imputation</w:t>
      </w:r>
      <w:r w:rsidRPr="00932D06">
        <w:rPr>
          <w:rFonts w:ascii="Times New Roman" w:hAnsi="Times New Roman" w:cs="Times New Roman"/>
          <w:sz w:val="18"/>
          <w:szCs w:val="18"/>
        </w:rPr>
        <w:tab/>
        <w:t xml:space="preserve">`y'  unitid year i.unitid#c.trend prom_firstyr, horizons(0/5) autosample pretrends(5) fe(unitid year) cluster(unitid) /*controls(i.unitid#c.trend)*/ tol(.01) maxit(200)  </w:t>
      </w:r>
    </w:p>
    <w:p w14:paraId="19ACB6EA" w14:textId="77777777" w:rsidR="00932D06" w:rsidRPr="00932D06" w:rsidRDefault="00932D06" w:rsidP="00932D06">
      <w:pPr>
        <w:rPr>
          <w:rFonts w:ascii="Times New Roman" w:hAnsi="Times New Roman" w:cs="Times New Roman"/>
          <w:sz w:val="18"/>
          <w:szCs w:val="18"/>
        </w:rPr>
      </w:pPr>
    </w:p>
    <w:p w14:paraId="11F1E496" w14:textId="77777777" w:rsidR="00932D06" w:rsidRPr="00932D06" w:rsidRDefault="00932D06" w:rsidP="00932D06">
      <w:pPr>
        <w:rPr>
          <w:rFonts w:ascii="Times New Roman" w:hAnsi="Times New Roman" w:cs="Times New Roman"/>
          <w:sz w:val="18"/>
          <w:szCs w:val="18"/>
        </w:rPr>
      </w:pPr>
    </w:p>
    <w:p w14:paraId="07DAFD1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772C812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01644DB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0005A845"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7415032E" w14:textId="77777777" w:rsidR="00932D06" w:rsidRPr="00932D06" w:rsidRDefault="00932D06" w:rsidP="00932D06">
      <w:pPr>
        <w:rPr>
          <w:rFonts w:ascii="Times New Roman" w:hAnsi="Times New Roman" w:cs="Times New Roman"/>
          <w:sz w:val="18"/>
          <w:szCs w:val="18"/>
        </w:rPr>
      </w:pPr>
    </w:p>
    <w:p w14:paraId="6527F62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Do File Prep and File Management</w:t>
      </w:r>
    </w:p>
    <w:p w14:paraId="491C16D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p>
    <w:p w14:paraId="55A5A8B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 remove current data</w:t>
      </w:r>
    </w:p>
    <w:p w14:paraId="4F46A0E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clear</w:t>
      </w:r>
    </w:p>
    <w:p w14:paraId="639722F1"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 xml:space="preserve">*closes any log you have open  </w:t>
      </w:r>
    </w:p>
    <w:p w14:paraId="382468C5"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capture log close</w:t>
      </w:r>
    </w:p>
    <w:p w14:paraId="67D412A6"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lastRenderedPageBreak/>
        <w:tab/>
        <w:t>* allocate more memory to Stata: allocate 200 megabytes of memory</w:t>
      </w:r>
    </w:p>
    <w:p w14:paraId="4DDC5647"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set mem 500m</w:t>
      </w:r>
    </w:p>
    <w:p w14:paraId="18E6B1D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set matsize 800</w:t>
      </w:r>
    </w:p>
    <w:p w14:paraId="65407877"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*not needed in "modern stata according to ouput"</w:t>
      </w:r>
    </w:p>
    <w:p w14:paraId="755A496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 xml:space="preserve">* lets your program run to the end, it tells Stata not to pause or </w:t>
      </w:r>
    </w:p>
    <w:p w14:paraId="23BE6B3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*display the more message.*/</w:t>
      </w:r>
    </w:p>
    <w:p w14:paraId="5B2376B1"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set more off</w:t>
      </w:r>
    </w:p>
    <w:p w14:paraId="7A8D451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capture estimates drop *</w:t>
      </w:r>
    </w:p>
    <w:p w14:paraId="18A110B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p>
    <w:p w14:paraId="760B630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 Set File Path Management Globals</w:t>
      </w:r>
    </w:p>
    <w:p w14:paraId="2DE3950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global projectpath = "/Users/zachyder/Library/CloudStorage/OneDrive-UniversityofTennessee/EventStudyStaggerDiDPilot"</w:t>
      </w:r>
    </w:p>
    <w:p w14:paraId="0ED92D4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*Don't forget to change file path if on a different device e.g,PC Work Station: cd "C:\Users\zhyder\OneDrive - University of Tennessee\CompletionsByCIP"</w:t>
      </w:r>
    </w:p>
    <w:p w14:paraId="3CAB8AD6"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global dir     = "$projectpath"</w:t>
      </w:r>
    </w:p>
    <w:p w14:paraId="1BF9FF7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global data    = "$projectpath/data"</w:t>
      </w:r>
    </w:p>
    <w:p w14:paraId="60CB771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global rawdata = "$projectpath/rawdata"</w:t>
      </w:r>
    </w:p>
    <w:p w14:paraId="78A5746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global dofile  = "$projectpath/do"</w:t>
      </w:r>
    </w:p>
    <w:p w14:paraId="7E70016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global figures = "$projectpath/figures"</w:t>
      </w:r>
    </w:p>
    <w:p w14:paraId="29F22EF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global logs    = "$projectpath/logs"</w:t>
      </w:r>
    </w:p>
    <w:p w14:paraId="4B00D19C"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global output  = "$projectpath/output"</w:t>
      </w:r>
    </w:p>
    <w:p w14:paraId="79762EA0"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global tables  = "$projectpath/tables"</w:t>
      </w:r>
    </w:p>
    <w:p w14:paraId="45E7B1F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p>
    <w:p w14:paraId="64A3956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 set log path with time stamp</w:t>
      </w:r>
    </w:p>
    <w:p w14:paraId="72A7FC4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*local logtime di "$S_DATE $S_TIME"</w:t>
      </w:r>
    </w:p>
    <w:p w14:paraId="31869B9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*local logfilename "$logs/CAP.`y'.`logtime'.log"</w:t>
      </w:r>
    </w:p>
    <w:p w14:paraId="140BE1AD" w14:textId="77777777" w:rsidR="00932D06" w:rsidRPr="00932D06" w:rsidRDefault="00932D06" w:rsidP="00932D06">
      <w:pPr>
        <w:rPr>
          <w:rFonts w:ascii="Times New Roman" w:hAnsi="Times New Roman" w:cs="Times New Roman"/>
          <w:sz w:val="18"/>
          <w:szCs w:val="18"/>
        </w:rPr>
      </w:pPr>
    </w:p>
    <w:p w14:paraId="26DD59F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14D0B0A6"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25157CF7"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4467CD1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5D3408DA" w14:textId="77777777" w:rsidR="00932D06" w:rsidRPr="00932D06" w:rsidRDefault="00932D06" w:rsidP="00932D06">
      <w:pPr>
        <w:rPr>
          <w:rFonts w:ascii="Times New Roman" w:hAnsi="Times New Roman" w:cs="Times New Roman"/>
          <w:sz w:val="18"/>
          <w:szCs w:val="18"/>
        </w:rPr>
      </w:pPr>
    </w:p>
    <w:p w14:paraId="30448C0E"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*Create visual outputs using did_imputation, csdid, eventstudyinteract, and TWFE then compile them together into one chart </w:t>
      </w:r>
    </w:p>
    <w:p w14:paraId="50BDCE66"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foreach x in State-Funded Publics Non-Profits All_Sub-Baccalaurate {</w:t>
      </w:r>
    </w:p>
    <w:p w14:paraId="1CA40CA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clear</w:t>
      </w:r>
      <w:r w:rsidRPr="00932D06">
        <w:rPr>
          <w:rFonts w:ascii="Times New Roman" w:hAnsi="Times New Roman" w:cs="Times New Roman"/>
          <w:sz w:val="18"/>
          <w:szCs w:val="18"/>
        </w:rPr>
        <w:tab/>
      </w:r>
    </w:p>
    <w:p w14:paraId="5C8718B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log using "$projectpath/logs/`x'`c(current_date)'_`c(current_time)'_consolidated.log", replace</w:t>
      </w:r>
    </w:p>
    <w:p w14:paraId="45CC3CCF" w14:textId="77777777" w:rsidR="00932D06" w:rsidRPr="00932D06" w:rsidRDefault="00932D06" w:rsidP="00932D06">
      <w:pPr>
        <w:rPr>
          <w:rFonts w:ascii="Times New Roman" w:hAnsi="Times New Roman" w:cs="Times New Roman"/>
          <w:sz w:val="18"/>
          <w:szCs w:val="18"/>
        </w:rPr>
      </w:pPr>
    </w:p>
    <w:p w14:paraId="4745B59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use $projectpath/data/`x'.dta</w:t>
      </w:r>
    </w:p>
    <w:p w14:paraId="5854BE1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destring unitid, force replace </w:t>
      </w:r>
    </w:p>
    <w:p w14:paraId="460C8C4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xtset unitid year</w:t>
      </w:r>
    </w:p>
    <w:p w14:paraId="6A6F8F62" w14:textId="77777777" w:rsidR="00932D06" w:rsidRPr="00932D06" w:rsidRDefault="00932D06" w:rsidP="00932D06">
      <w:pPr>
        <w:rPr>
          <w:rFonts w:ascii="Times New Roman" w:hAnsi="Times New Roman" w:cs="Times New Roman"/>
          <w:sz w:val="18"/>
          <w:szCs w:val="18"/>
        </w:rPr>
      </w:pPr>
    </w:p>
    <w:p w14:paraId="54DC96E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lastRenderedPageBreak/>
        <w:tab/>
      </w:r>
      <w:r w:rsidRPr="00932D06">
        <w:rPr>
          <w:rFonts w:ascii="Times New Roman" w:hAnsi="Times New Roman" w:cs="Times New Roman"/>
          <w:sz w:val="18"/>
          <w:szCs w:val="18"/>
        </w:rPr>
        <w:tab/>
      </w:r>
    </w:p>
    <w:p w14:paraId="2D957F1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p>
    <w:p w14:paraId="5B38B200"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rename lncip4991 All</w:t>
      </w:r>
    </w:p>
    <w:p w14:paraId="2911896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rename lncip3991 Assoicates</w:t>
      </w:r>
    </w:p>
    <w:p w14:paraId="20D05736"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rename lncip2991 Credential</w:t>
      </w:r>
    </w:p>
    <w:p w14:paraId="73AE6797"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rename lncip1991 Year_Plus_Credential</w:t>
      </w:r>
    </w:p>
    <w:p w14:paraId="04C8F5C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rename lncip0991 Shorter_Credential</w:t>
      </w:r>
    </w:p>
    <w:p w14:paraId="2C8AB38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rename lnsubbach_STEM STEM</w:t>
      </w:r>
    </w:p>
    <w:p w14:paraId="60163E1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rename lnsubbach_Trade Trades</w:t>
      </w:r>
    </w:p>
    <w:p w14:paraId="505A23AC"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rename lnsubbach_LibArt Liberal_Arts</w:t>
      </w:r>
    </w:p>
    <w:p w14:paraId="2D17535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rename lnsubbach_HumServ Human_Services</w:t>
      </w:r>
    </w:p>
    <w:p w14:paraId="72E583A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rename lnsubbach_ProServ Professional_Services</w:t>
      </w:r>
    </w:p>
    <w:p w14:paraId="69F977D6"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p>
    <w:p w14:paraId="22772D7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foreach y in All Assoicates Credential Year_Plus_Credential Shorter_Credential STEM Trades Liberal_Arts Human_Services Professional_Services{</w:t>
      </w:r>
    </w:p>
    <w:p w14:paraId="511867E7" w14:textId="77777777" w:rsidR="00932D06" w:rsidRPr="00932D06" w:rsidRDefault="00932D06" w:rsidP="00932D06">
      <w:pPr>
        <w:rPr>
          <w:rFonts w:ascii="Times New Roman" w:hAnsi="Times New Roman" w:cs="Times New Roman"/>
          <w:sz w:val="18"/>
          <w:szCs w:val="18"/>
        </w:rPr>
      </w:pPr>
    </w:p>
    <w:p w14:paraId="3056E6CE"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10E1372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 Set Visual Scheme </w:t>
      </w:r>
    </w:p>
    <w:p w14:paraId="2B0E274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set scheme s2color</w:t>
      </w:r>
    </w:p>
    <w:p w14:paraId="59062456" w14:textId="77777777" w:rsidR="00932D06" w:rsidRPr="00932D06" w:rsidRDefault="00932D06" w:rsidP="00932D06">
      <w:pPr>
        <w:rPr>
          <w:rFonts w:ascii="Times New Roman" w:hAnsi="Times New Roman" w:cs="Times New Roman"/>
          <w:sz w:val="18"/>
          <w:szCs w:val="18"/>
        </w:rPr>
      </w:pPr>
    </w:p>
    <w:p w14:paraId="5BACEB01" w14:textId="77777777" w:rsidR="00932D06" w:rsidRPr="00932D06" w:rsidRDefault="00932D06" w:rsidP="00932D06">
      <w:pPr>
        <w:rPr>
          <w:rFonts w:ascii="Times New Roman" w:hAnsi="Times New Roman" w:cs="Times New Roman"/>
          <w:sz w:val="18"/>
          <w:szCs w:val="18"/>
        </w:rPr>
      </w:pPr>
    </w:p>
    <w:p w14:paraId="13C0778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r w:rsidRPr="00932D06">
        <w:rPr>
          <w:rFonts w:ascii="Times New Roman" w:hAnsi="Times New Roman" w:cs="Times New Roman"/>
          <w:sz w:val="18"/>
          <w:szCs w:val="18"/>
        </w:rPr>
        <w:tab/>
      </w:r>
    </w:p>
    <w:p w14:paraId="59B7558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Standard TWFE OLS estimation</w:t>
      </w:r>
    </w:p>
    <w:p w14:paraId="69591F2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display "`x'_`y' Standard TWFE OLS"</w:t>
      </w:r>
    </w:p>
    <w:p w14:paraId="1B0D898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reghdfe `y' predelta_5 predelta_4  predelta_3 predelta_2 predelta_1 postdelta_0 postdelta_1 postdelta_2 postdelta_3 postdelta_4, a(unitid  year  i.unitid#c.trend) cluster(unitid) noconstant </w:t>
      </w:r>
    </w:p>
    <w:p w14:paraId="71615F1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estimates store ols_`y'</w:t>
      </w:r>
    </w:p>
    <w:p w14:paraId="3F8938B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pretrends power 0.5, pre(1/5) post(6/10)</w:t>
      </w:r>
    </w:p>
    <w:p w14:paraId="0E52869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return list </w:t>
      </w:r>
    </w:p>
    <w:p w14:paraId="0F02708E"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beta = e(b)</w:t>
      </w:r>
    </w:p>
    <w:p w14:paraId="6BA4AA4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sigma = e(V)</w:t>
      </w:r>
    </w:p>
    <w:p w14:paraId="272697C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beta  = beta[1..11]</w:t>
      </w:r>
    </w:p>
    <w:p w14:paraId="0E99898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sigma = sigma[1..11, 1..11]</w:t>
      </w:r>
    </w:p>
    <w:p w14:paraId="333DF0E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*pretrends, numpre(5) b(beta) v(sigma) slope(`r(slope)')</w:t>
      </w:r>
    </w:p>
    <w:p w14:paraId="6A4EFD11"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*return list </w:t>
      </w:r>
    </w:p>
    <w:p w14:paraId="734F75C0"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*matlist r(results)</w:t>
      </w:r>
    </w:p>
    <w:p w14:paraId="4A653B4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*graph save "$figures/`x'_`y'_OLS_ptrends_power.gph", replace</w:t>
      </w:r>
    </w:p>
    <w:p w14:paraId="289F6490" w14:textId="77777777" w:rsidR="00932D06" w:rsidRPr="00932D06" w:rsidRDefault="00932D06" w:rsidP="00932D06">
      <w:pPr>
        <w:rPr>
          <w:rFonts w:ascii="Times New Roman" w:hAnsi="Times New Roman" w:cs="Times New Roman"/>
          <w:sz w:val="18"/>
          <w:szCs w:val="18"/>
        </w:rPr>
      </w:pPr>
    </w:p>
    <w:p w14:paraId="05E1BF6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display "`x'_`y' OLS ptrend joint test"</w:t>
      </w:r>
      <w:r w:rsidRPr="00932D06">
        <w:rPr>
          <w:rFonts w:ascii="Times New Roman" w:hAnsi="Times New Roman" w:cs="Times New Roman"/>
          <w:sz w:val="18"/>
          <w:szCs w:val="18"/>
        </w:rPr>
        <w:tab/>
      </w:r>
    </w:p>
    <w:p w14:paraId="4077C8A0"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test predelta_1 predelta_2  predelta_3 predelta_4 predelta_5 </w:t>
      </w:r>
    </w:p>
    <w:p w14:paraId="4E587A8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*not accounting for lag to degree </w:t>
      </w:r>
      <w:r w:rsidRPr="00932D06">
        <w:rPr>
          <w:rFonts w:ascii="Times New Roman" w:hAnsi="Times New Roman" w:cs="Times New Roman"/>
          <w:sz w:val="18"/>
          <w:szCs w:val="18"/>
        </w:rPr>
        <w:tab/>
      </w:r>
    </w:p>
    <w:p w14:paraId="3361E6DC"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lastRenderedPageBreak/>
        <w:tab/>
      </w:r>
      <w:r w:rsidRPr="00932D06">
        <w:rPr>
          <w:rFonts w:ascii="Times New Roman" w:hAnsi="Times New Roman" w:cs="Times New Roman"/>
          <w:sz w:val="18"/>
          <w:szCs w:val="18"/>
        </w:rPr>
        <w:tab/>
        <w:t xml:space="preserve">test postdelta_0 postdelta_1 postdelta_2 postdelta_3 postdelta_4  </w:t>
      </w:r>
    </w:p>
    <w:p w14:paraId="4DE260E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*accounting for lag to degree </w:t>
      </w:r>
    </w:p>
    <w:p w14:paraId="00ABAB9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test postdelta_2 postdelta_3 postdelta_4  </w:t>
      </w:r>
    </w:p>
    <w:p w14:paraId="54E1E857"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test postdelta_3 postdelta_4  </w:t>
      </w:r>
    </w:p>
    <w:p w14:paraId="799B2573" w14:textId="77777777" w:rsidR="00932D06" w:rsidRPr="00932D06" w:rsidRDefault="00932D06" w:rsidP="00932D06">
      <w:pPr>
        <w:rPr>
          <w:rFonts w:ascii="Times New Roman" w:hAnsi="Times New Roman" w:cs="Times New Roman"/>
          <w:sz w:val="18"/>
          <w:szCs w:val="18"/>
        </w:rPr>
      </w:pPr>
    </w:p>
    <w:p w14:paraId="4FF89BE5"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p>
    <w:p w14:paraId="0F81886C"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local plotopts xtitle("Periods Since Promise Adoption") ytitle("Headcount Effect (ln)") title("OLS Estimates Of `y' Awards") subtitle("For `x' Sample")</w:t>
      </w:r>
    </w:p>
    <w:p w14:paraId="775B3DB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coefplot, vertical yline(0) ciopts(recast(rcap)) xlabel(,angle(45)) `plotopts' keep(predelta_* postdelta_*)</w:t>
      </w:r>
    </w:p>
    <w:p w14:paraId="025CB02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graph save "$figures/`x'_`y'OLS.gph", replace</w:t>
      </w:r>
    </w:p>
    <w:p w14:paraId="38DF04C3" w14:textId="77777777" w:rsidR="00932D06" w:rsidRPr="00932D06" w:rsidRDefault="00932D06" w:rsidP="00932D06">
      <w:pPr>
        <w:rPr>
          <w:rFonts w:ascii="Times New Roman" w:hAnsi="Times New Roman" w:cs="Times New Roman"/>
          <w:sz w:val="18"/>
          <w:szCs w:val="18"/>
        </w:rPr>
      </w:pPr>
    </w:p>
    <w:p w14:paraId="5EC68DF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display "`x'_`y' OLS HonestDID"</w:t>
      </w:r>
    </w:p>
    <w:p w14:paraId="02407D5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honestdid, pre(1/5) post(6/10) mvec(0.5(0.5)4)</w:t>
      </w:r>
    </w:p>
    <w:p w14:paraId="7F15592E"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honestdid, pre(1/5) post(6/10) mvec(0.0(0.01)0.1) delta(sd) omit coefplot `plotopts'  xtitle("M") ytitle("95% Robust CI (Rambachan &amp; Roth, 2022)") title("Sensitivity Analysis Using Smoothness Restirctions") subtitle("for `y' Awards in the `x' Sample")</w:t>
      </w:r>
    </w:p>
    <w:p w14:paraId="710B2D1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graph save "$figures/honest_OLS_`x'_`y'.gph", replace</w:t>
      </w:r>
    </w:p>
    <w:p w14:paraId="54CE24B9" w14:textId="77777777" w:rsidR="00932D06" w:rsidRPr="00932D06" w:rsidRDefault="00932D06" w:rsidP="00932D06">
      <w:pPr>
        <w:rPr>
          <w:rFonts w:ascii="Times New Roman" w:hAnsi="Times New Roman" w:cs="Times New Roman"/>
          <w:sz w:val="18"/>
          <w:szCs w:val="18"/>
        </w:rPr>
      </w:pPr>
    </w:p>
    <w:p w14:paraId="0363A4C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20B60CE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 Run Borusyak et al. </w:t>
      </w:r>
    </w:p>
    <w:p w14:paraId="031A289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display "`x'_`y' did_imputation using did2s"</w:t>
      </w:r>
    </w:p>
    <w:p w14:paraId="1D9378C1"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did_imputation `y' unitid year event, fe(unitid year) horizons(0/5)  autosample  pretrends(5) cluster(unitid) tol(.01) maxit(200)</w:t>
      </w:r>
    </w:p>
    <w:p w14:paraId="3D8C466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estimates store `y'bjs</w:t>
      </w:r>
    </w:p>
    <w:p w14:paraId="4976AAEC"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pretrends power 0.5, pre(11 10 9 8) post(1/5)</w:t>
      </w:r>
    </w:p>
    <w:p w14:paraId="68880C1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return list </w:t>
      </w:r>
    </w:p>
    <w:p w14:paraId="46444E21"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beta = e(b)</w:t>
      </w:r>
    </w:p>
    <w:p w14:paraId="4576334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sigma = e(V)</w:t>
      </w:r>
    </w:p>
    <w:p w14:paraId="629A558E"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beta  = beta[., 1..11]</w:t>
      </w:r>
    </w:p>
    <w:p w14:paraId="55D100D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sigma = sigma[1..11, 1..11]</w:t>
      </w:r>
    </w:p>
    <w:p w14:paraId="4E1A83FC"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*pretrends, numpre(5) b(beta) v(sigma) slope(`r(slope)')</w:t>
      </w:r>
    </w:p>
    <w:p w14:paraId="6A463DC0"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*return list </w:t>
      </w:r>
    </w:p>
    <w:p w14:paraId="23BBDB7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*matlist r(results)</w:t>
      </w:r>
    </w:p>
    <w:p w14:paraId="78DF79E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*graph save "$figures/`x'_`y'_Impute_ptrends_power.gph", replace</w:t>
      </w:r>
    </w:p>
    <w:p w14:paraId="3055C2E1" w14:textId="77777777" w:rsidR="00932D06" w:rsidRPr="00932D06" w:rsidRDefault="00932D06" w:rsidP="00932D06">
      <w:pPr>
        <w:rPr>
          <w:rFonts w:ascii="Times New Roman" w:hAnsi="Times New Roman" w:cs="Times New Roman"/>
          <w:sz w:val="18"/>
          <w:szCs w:val="18"/>
        </w:rPr>
      </w:pPr>
    </w:p>
    <w:p w14:paraId="652211B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display "`x'_`y' did_imputation ptrend joint test"</w:t>
      </w:r>
      <w:r w:rsidRPr="00932D06">
        <w:rPr>
          <w:rFonts w:ascii="Times New Roman" w:hAnsi="Times New Roman" w:cs="Times New Roman"/>
          <w:sz w:val="18"/>
          <w:szCs w:val="18"/>
        </w:rPr>
        <w:tab/>
      </w:r>
    </w:p>
    <w:p w14:paraId="670EB3D5"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test pre1 pre2  pre3 pre4 pre5 </w:t>
      </w:r>
    </w:p>
    <w:p w14:paraId="3A15D31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*not accounting for lag to degree </w:t>
      </w:r>
      <w:r w:rsidRPr="00932D06">
        <w:rPr>
          <w:rFonts w:ascii="Times New Roman" w:hAnsi="Times New Roman" w:cs="Times New Roman"/>
          <w:sz w:val="18"/>
          <w:szCs w:val="18"/>
        </w:rPr>
        <w:tab/>
      </w:r>
    </w:p>
    <w:p w14:paraId="7250C61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test tau0 tau1 tau2 tau3 tau4  </w:t>
      </w:r>
    </w:p>
    <w:p w14:paraId="1FCD4AC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*accounting for lag to degree </w:t>
      </w:r>
    </w:p>
    <w:p w14:paraId="21BACB6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test tau2 tau3 tau4  </w:t>
      </w:r>
    </w:p>
    <w:p w14:paraId="161AD63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test tau3 tau4  </w:t>
      </w:r>
    </w:p>
    <w:p w14:paraId="1E999A22" w14:textId="77777777" w:rsidR="00932D06" w:rsidRPr="00932D06" w:rsidRDefault="00932D06" w:rsidP="00932D06">
      <w:pPr>
        <w:rPr>
          <w:rFonts w:ascii="Times New Roman" w:hAnsi="Times New Roman" w:cs="Times New Roman"/>
          <w:sz w:val="18"/>
          <w:szCs w:val="18"/>
        </w:rPr>
      </w:pPr>
    </w:p>
    <w:p w14:paraId="05BAD82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lastRenderedPageBreak/>
        <w:t>display "`x'_`y' Impute HonestDID"</w:t>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p>
    <w:p w14:paraId="6C02324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honestdid, pre(10 9 8 7 6) post(1/5) mvec(0.5(0.5)4)</w:t>
      </w:r>
    </w:p>
    <w:p w14:paraId="2B504BF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honestdid, pre(10 9 8 7 6) post(1/5) mvec(0.0(0.01)0.1) delta(sd) omit coefplot `plotopts' xtitle("M") ytitle("95% Robust CI (Rambachan &amp; Roth, 2022)") title("Sensitivity Analysis Using Smoothness Restirctions") subtitle("for `y'  Awards in the `x' Sample")</w:t>
      </w:r>
    </w:p>
    <w:p w14:paraId="427E87E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graph save "$figures/honest_imputation_`x'_`y'.gph", replace</w:t>
      </w:r>
    </w:p>
    <w:p w14:paraId="0B30DF4C" w14:textId="77777777" w:rsidR="00932D06" w:rsidRPr="00932D06" w:rsidRDefault="00932D06" w:rsidP="00932D06">
      <w:pPr>
        <w:rPr>
          <w:rFonts w:ascii="Times New Roman" w:hAnsi="Times New Roman" w:cs="Times New Roman"/>
          <w:sz w:val="18"/>
          <w:szCs w:val="18"/>
        </w:rPr>
      </w:pPr>
    </w:p>
    <w:p w14:paraId="6CF31E6E"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event_plot, default_look graph_opt(xtitle("Periods Since Promise Adoption") ytitle("Headcount Effect (ln)") title("Borusyak et al. (2021) Estimates Of `y' Awards") subtitle("For `x' Sample") xlabel(-5(1)5))</w:t>
      </w:r>
    </w:p>
    <w:p w14:paraId="45E3482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graph save "$figures/`x'_`y'imputation.gph", replace</w:t>
      </w:r>
    </w:p>
    <w:p w14:paraId="3B5443CE" w14:textId="77777777" w:rsidR="00932D06" w:rsidRPr="00932D06" w:rsidRDefault="00932D06" w:rsidP="00932D06">
      <w:pPr>
        <w:rPr>
          <w:rFonts w:ascii="Times New Roman" w:hAnsi="Times New Roman" w:cs="Times New Roman"/>
          <w:sz w:val="18"/>
          <w:szCs w:val="18"/>
        </w:rPr>
      </w:pPr>
    </w:p>
    <w:p w14:paraId="2ABA19C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r w:rsidRPr="00932D06">
        <w:rPr>
          <w:rFonts w:ascii="Times New Roman" w:hAnsi="Times New Roman" w:cs="Times New Roman"/>
          <w:sz w:val="18"/>
          <w:szCs w:val="18"/>
        </w:rPr>
        <w:tab/>
      </w:r>
    </w:p>
    <w:p w14:paraId="407C4010"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Estimation with eventstudyinteract of Sun and Abraham (2020)</w:t>
      </w:r>
    </w:p>
    <w:p w14:paraId="79B26BF1"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display "`x'_`y' event study"</w:t>
      </w:r>
    </w:p>
    <w:p w14:paraId="4CE3FD5A"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 xml:space="preserve">eventstudyinteract `y'  predelta_5 predelta_4 predelta_3 predelta_2 postdelta_0 postdelta_1 postdelta_2 postdelta_3 postdelta_4, vce(cluster unitid) absorb(unitid year i.unitid#c.trend) cohort(event) control_cohort(never_prom) </w:t>
      </w:r>
    </w:p>
    <w:p w14:paraId="617B48D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*might be able to get an ATT with staggered package</w:t>
      </w:r>
    </w:p>
    <w:p w14:paraId="51A5AC67"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*staggered lncip4991, i(unitid) t(year) g(event) estimand(simple) sa</w:t>
      </w:r>
    </w:p>
    <w:p w14:paraId="5BD3DEE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pretrends power 0.5, pre(1/4) post(5/9)</w:t>
      </w:r>
    </w:p>
    <w:p w14:paraId="6A1A5A6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return list </w:t>
      </w:r>
    </w:p>
    <w:p w14:paraId="100B9E4E"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beta = e(b)</w:t>
      </w:r>
    </w:p>
    <w:p w14:paraId="28C4CB3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sigma = e(V)</w:t>
      </w:r>
    </w:p>
    <w:p w14:paraId="20B59FC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beta  = beta[., 1..10]</w:t>
      </w:r>
    </w:p>
    <w:p w14:paraId="72BF6D1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sigma = sigma[1..10, 1..10]</w:t>
      </w:r>
    </w:p>
    <w:p w14:paraId="34C9A08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*pretrends, numpre(5) b(beta) v(sigma) slope(`r(slope)')</w:t>
      </w:r>
    </w:p>
    <w:p w14:paraId="361FBD9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*return list </w:t>
      </w:r>
    </w:p>
    <w:p w14:paraId="7AB961A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*matlist r(results)</w:t>
      </w:r>
    </w:p>
    <w:p w14:paraId="34E46A6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*graph save "$figures/`x'_`y'_EventStudy_ptrends_power.gph", replace</w:t>
      </w:r>
    </w:p>
    <w:p w14:paraId="39D2114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p>
    <w:p w14:paraId="4AEDF5A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display "`x'_`y' Event Study ptrend joint test"</w:t>
      </w:r>
      <w:r w:rsidRPr="00932D06">
        <w:rPr>
          <w:rFonts w:ascii="Times New Roman" w:hAnsi="Times New Roman" w:cs="Times New Roman"/>
          <w:sz w:val="18"/>
          <w:szCs w:val="18"/>
        </w:rPr>
        <w:tab/>
      </w:r>
    </w:p>
    <w:p w14:paraId="25F5391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matrix b = e(b_iw)</w:t>
      </w:r>
    </w:p>
    <w:p w14:paraId="4B9B2C9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matrix V = e(V_iw)</w:t>
      </w:r>
    </w:p>
    <w:p w14:paraId="1B0BBBBC"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ereturn post b V</w:t>
      </w:r>
    </w:p>
    <w:p w14:paraId="2C2DEB5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test predelta_2  predelta_3 predelta_4 predelta_5 </w:t>
      </w:r>
    </w:p>
    <w:p w14:paraId="78A9825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*not accounting for lag to degree </w:t>
      </w:r>
      <w:r w:rsidRPr="00932D06">
        <w:rPr>
          <w:rFonts w:ascii="Times New Roman" w:hAnsi="Times New Roman" w:cs="Times New Roman"/>
          <w:sz w:val="18"/>
          <w:szCs w:val="18"/>
        </w:rPr>
        <w:tab/>
      </w:r>
    </w:p>
    <w:p w14:paraId="19F9ACAE"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test postdelta_0 postdelta_1 postdelta_2 postdelta_3 postdelta_4 </w:t>
      </w:r>
    </w:p>
    <w:p w14:paraId="1A6252B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*accounting for lag to degree </w:t>
      </w:r>
    </w:p>
    <w:p w14:paraId="490C4FE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test postdelta_1 postdelta_2 postdelta_3 postdelta_4 </w:t>
      </w:r>
    </w:p>
    <w:p w14:paraId="78635DA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test postdelta_2 postdelta_3 postdelta_4 </w:t>
      </w:r>
    </w:p>
    <w:p w14:paraId="170D146F" w14:textId="77777777" w:rsidR="00932D06" w:rsidRPr="00932D06" w:rsidRDefault="00932D06" w:rsidP="00932D06">
      <w:pPr>
        <w:rPr>
          <w:rFonts w:ascii="Times New Roman" w:hAnsi="Times New Roman" w:cs="Times New Roman"/>
          <w:sz w:val="18"/>
          <w:szCs w:val="18"/>
        </w:rPr>
      </w:pPr>
    </w:p>
    <w:p w14:paraId="6BD5995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display "`x'_`y' Event Study HonestDID"</w:t>
      </w:r>
      <w:r w:rsidRPr="00932D06">
        <w:rPr>
          <w:rFonts w:ascii="Times New Roman" w:hAnsi="Times New Roman" w:cs="Times New Roman"/>
          <w:sz w:val="18"/>
          <w:szCs w:val="18"/>
        </w:rPr>
        <w:tab/>
      </w:r>
      <w:r w:rsidRPr="00932D06">
        <w:rPr>
          <w:rFonts w:ascii="Times New Roman" w:hAnsi="Times New Roman" w:cs="Times New Roman"/>
          <w:sz w:val="18"/>
          <w:szCs w:val="18"/>
        </w:rPr>
        <w:tab/>
      </w:r>
    </w:p>
    <w:p w14:paraId="7C68DFE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lastRenderedPageBreak/>
        <w:tab/>
        <w:t>honestdid, pre(1/4) post(5/9) mvec(0.5(0.5)4)</w:t>
      </w:r>
    </w:p>
    <w:p w14:paraId="5E632C7C"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honestdid, pre(1/4) post(5/9) mvec(0.0(0.01)0.1) delta(sd) omit coefplot `plotopts' xtitle("M") ytitle("95% Robust CI (Rambachan &amp; Roth, 2022)") title("Sensitivity Analysis Using Smoothness Restirctions") subtitle("for `y' Awards  in the `x' Sample")</w:t>
      </w:r>
    </w:p>
    <w:p w14:paraId="1DAE8377"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graph save "$figures/honest_ES_`x'_`y'.gph", replace</w:t>
      </w:r>
    </w:p>
    <w:p w14:paraId="4AF62DB8" w14:textId="77777777" w:rsidR="00932D06" w:rsidRPr="00932D06" w:rsidRDefault="00932D06" w:rsidP="00932D06">
      <w:pPr>
        <w:rPr>
          <w:rFonts w:ascii="Times New Roman" w:hAnsi="Times New Roman" w:cs="Times New Roman"/>
          <w:sz w:val="18"/>
          <w:szCs w:val="18"/>
        </w:rPr>
      </w:pPr>
    </w:p>
    <w:p w14:paraId="6144BC3D"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 xml:space="preserve">*code needs to rerun cause joint test wipes it </w:t>
      </w:r>
    </w:p>
    <w:p w14:paraId="24F66C8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qui: eventstudyinteract `y'  predelta_5 predelta_4 predelta_3 predelta_2 postdelta_0 postdelta_1 postdelta_2 postdelta_3 postdelta_4, vce(cluster unitid) absorb(unitid year i.unitid#c.trend) cohort(event) control_cohort(never_prom) </w:t>
      </w:r>
    </w:p>
    <w:p w14:paraId="1CAED80E" w14:textId="77777777" w:rsidR="00932D06" w:rsidRPr="00932D06" w:rsidRDefault="00932D06" w:rsidP="00932D06">
      <w:pPr>
        <w:rPr>
          <w:rFonts w:ascii="Times New Roman" w:hAnsi="Times New Roman" w:cs="Times New Roman"/>
          <w:sz w:val="18"/>
          <w:szCs w:val="18"/>
        </w:rPr>
      </w:pPr>
    </w:p>
    <w:p w14:paraId="7AA35677"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p>
    <w:p w14:paraId="67391B1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event_plot e(b_iw)#e(V_iw), default_look graph_opt(xtitle("Periods Since Promise Adoption") ytitle("Headcount Effect (ln)") title("Sun &amp; Abraham (2020) Estimates Of `y' Awards") subtitle("For `x' Sample") xlabel(-5(1)5)) stub_lag(postdelta_#) stub_lead(predelta_#)  together</w:t>
      </w:r>
    </w:p>
    <w:p w14:paraId="14D08DE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graph save "$figures/`x'_`y'eventstudy.gph", replace</w:t>
      </w:r>
    </w:p>
    <w:p w14:paraId="1FDFD2BF"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esi_`y'_e = e(b_iw)</w:t>
      </w:r>
    </w:p>
    <w:p w14:paraId="68A4B357"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t>matrix esi_`y'_v = e(V_iw)</w:t>
      </w:r>
    </w:p>
    <w:p w14:paraId="1180F52A" w14:textId="77777777" w:rsidR="00932D06" w:rsidRPr="00932D06" w:rsidRDefault="00932D06" w:rsidP="00932D06">
      <w:pPr>
        <w:rPr>
          <w:rFonts w:ascii="Times New Roman" w:hAnsi="Times New Roman" w:cs="Times New Roman"/>
          <w:sz w:val="18"/>
          <w:szCs w:val="18"/>
        </w:rPr>
      </w:pPr>
    </w:p>
    <w:p w14:paraId="1B49F69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r w:rsidRPr="00932D06">
        <w:rPr>
          <w:rFonts w:ascii="Times New Roman" w:hAnsi="Times New Roman" w:cs="Times New Roman"/>
          <w:sz w:val="18"/>
          <w:szCs w:val="18"/>
        </w:rPr>
        <w:tab/>
      </w:r>
    </w:p>
    <w:p w14:paraId="7F85F0BE"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5071ACD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*Joint Plots Code</w:t>
      </w:r>
    </w:p>
    <w:p w14:paraId="33FFE19C"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 xml:space="preserve">event_plot `y'bjs esi_`y'_e#esi_`y'_v ols_`y', stub_lag(tau# postdelta_# postdelta_#) stub_lead(pre# predelta_# predelta_#) plottype(scatter) ciplottype(rcap) together trimlead(5) noautolegend graph_opt(title("`y' Headcount Effect (ln)") subtitle("For `x' Sample") xtitle("Years relative to promise adoption") ytitle("Percent effect") xlabel(-5(1)5) ylabel(-0.2(0.05)0.2) xline(0) yline(0) graphregion(color(white) fcolor(white)) legend(position(5) order(1 "Borusyak et al. (2021)" 3 "Sun &amp; Abraham (2020)" 5 "Ordinary Least Squares"))) lag_opt1(msymbol(Dh) color(forest_green)) lag_ci_opt1(color(forest_green)) lag_opt2(msymbol(Oh) color(navy))         lag_ci_opt2(color(navy)) </w:t>
      </w:r>
      <w:r w:rsidRPr="00932D06">
        <w:rPr>
          <w:rFonts w:ascii="Times New Roman" w:hAnsi="Times New Roman" w:cs="Times New Roman"/>
          <w:sz w:val="18"/>
          <w:szCs w:val="18"/>
        </w:rPr>
        <w:tab/>
        <w:t>lag_opt3(msymbol(Sh) color(dkorange))</w:t>
      </w:r>
      <w:r w:rsidRPr="00932D06">
        <w:rPr>
          <w:rFonts w:ascii="Times New Roman" w:hAnsi="Times New Roman" w:cs="Times New Roman"/>
          <w:sz w:val="18"/>
          <w:szCs w:val="18"/>
        </w:rPr>
        <w:tab/>
        <w:t xml:space="preserve">      lag_ci_opt3(color(dkorange))</w:t>
      </w:r>
    </w:p>
    <w:p w14:paraId="7A7EF80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graph save "$figures/`x'_`y'combined.gph", replace</w:t>
      </w:r>
    </w:p>
    <w:p w14:paraId="73FE4D5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estimates drop _all</w:t>
      </w:r>
      <w:r w:rsidRPr="00932D06">
        <w:rPr>
          <w:rFonts w:ascii="Times New Roman" w:hAnsi="Times New Roman" w:cs="Times New Roman"/>
          <w:sz w:val="18"/>
          <w:szCs w:val="18"/>
        </w:rPr>
        <w:tab/>
      </w:r>
    </w:p>
    <w:p w14:paraId="7DEA7F0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p>
    <w:p w14:paraId="28187A87"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r>
    </w:p>
    <w:p w14:paraId="4E214311"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r w:rsidRPr="00932D06">
        <w:rPr>
          <w:rFonts w:ascii="Times New Roman" w:hAnsi="Times New Roman" w:cs="Times New Roman"/>
          <w:sz w:val="18"/>
          <w:szCs w:val="18"/>
        </w:rPr>
        <w:tab/>
      </w:r>
    </w:p>
    <w:p w14:paraId="6D16BB97"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*Goodman-Bacon Decomposition from https://doi.org/10.1016/j.jeconom</w:t>
      </w:r>
    </w:p>
    <w:p w14:paraId="1C277696"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*bacondecomp `y' postevent</w:t>
      </w:r>
    </w:p>
    <w:p w14:paraId="30FD0D2B"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t>*</w:t>
      </w:r>
      <w:r w:rsidRPr="00932D06">
        <w:rPr>
          <w:rFonts w:ascii="Times New Roman" w:hAnsi="Times New Roman" w:cs="Times New Roman"/>
          <w:sz w:val="18"/>
          <w:szCs w:val="18"/>
        </w:rPr>
        <w:tab/>
        <w:t>graph save "$figures/`x'_'`y'baconDECOMP.gph", replace</w:t>
      </w:r>
    </w:p>
    <w:p w14:paraId="76EEF8B1" w14:textId="77777777" w:rsidR="00932D06" w:rsidRPr="00932D06" w:rsidRDefault="00932D06" w:rsidP="00932D06">
      <w:pPr>
        <w:rPr>
          <w:rFonts w:ascii="Times New Roman" w:hAnsi="Times New Roman" w:cs="Times New Roman"/>
          <w:sz w:val="18"/>
          <w:szCs w:val="18"/>
        </w:rPr>
      </w:pPr>
    </w:p>
    <w:p w14:paraId="48C7A8D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*de Chaisemar &amp; D'Haultfœuille from https://github.com/chaisemartinPackages/twowayfeweights</w:t>
      </w:r>
    </w:p>
    <w:p w14:paraId="2EA53AC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twowayfeweights `y' event year postevent, type(feTR) summary_measures </w:t>
      </w:r>
    </w:p>
    <w:p w14:paraId="13CC31F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ab/>
      </w:r>
      <w:r w:rsidRPr="00932D06">
        <w:rPr>
          <w:rFonts w:ascii="Times New Roman" w:hAnsi="Times New Roman" w:cs="Times New Roman"/>
          <w:sz w:val="18"/>
          <w:szCs w:val="18"/>
        </w:rPr>
        <w:tab/>
        <w:t>graph save "$figures/`x'_`y'cdhDECOMP.gph", replace</w:t>
      </w:r>
    </w:p>
    <w:p w14:paraId="1BA4C1FF" w14:textId="77777777" w:rsidR="00932D06" w:rsidRPr="00932D06" w:rsidRDefault="00932D06" w:rsidP="00932D06">
      <w:pPr>
        <w:rPr>
          <w:rFonts w:ascii="Times New Roman" w:hAnsi="Times New Roman" w:cs="Times New Roman"/>
          <w:sz w:val="18"/>
          <w:szCs w:val="18"/>
        </w:rPr>
      </w:pPr>
    </w:p>
    <w:p w14:paraId="1AB30624" w14:textId="77777777" w:rsidR="00932D06" w:rsidRPr="00932D06" w:rsidRDefault="00932D06" w:rsidP="00932D06">
      <w:pPr>
        <w:rPr>
          <w:rFonts w:ascii="Times New Roman" w:hAnsi="Times New Roman" w:cs="Times New Roman"/>
          <w:sz w:val="18"/>
          <w:szCs w:val="18"/>
        </w:rPr>
      </w:pPr>
    </w:p>
    <w:p w14:paraId="60FF56E3"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3EB52B11"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4741F488"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lastRenderedPageBreak/>
        <w:t>********************************************************************************</w:t>
      </w:r>
    </w:p>
    <w:p w14:paraId="484ED894"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13D7711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w:t>
      </w:r>
    </w:p>
    <w:p w14:paraId="4B198812"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*close the log </w:t>
      </w:r>
    </w:p>
    <w:p w14:paraId="2D85EDC9" w14:textId="77777777" w:rsidR="00932D06" w:rsidRPr="00932D06" w:rsidRDefault="00932D06" w:rsidP="00932D06">
      <w:pPr>
        <w:rPr>
          <w:rFonts w:ascii="Times New Roman" w:hAnsi="Times New Roman" w:cs="Times New Roman"/>
          <w:sz w:val="18"/>
          <w:szCs w:val="18"/>
        </w:rPr>
      </w:pPr>
      <w:r w:rsidRPr="00932D06">
        <w:rPr>
          <w:rFonts w:ascii="Times New Roman" w:hAnsi="Times New Roman" w:cs="Times New Roman"/>
          <w:sz w:val="18"/>
          <w:szCs w:val="18"/>
        </w:rPr>
        <w:t xml:space="preserve">log close </w:t>
      </w:r>
    </w:p>
    <w:p w14:paraId="06000A4B" w14:textId="77777777" w:rsidR="00932D06" w:rsidRPr="00932D06" w:rsidRDefault="00932D06" w:rsidP="00932D06">
      <w:pPr>
        <w:rPr>
          <w:rFonts w:ascii="Times New Roman" w:hAnsi="Times New Roman" w:cs="Times New Roman"/>
          <w:sz w:val="18"/>
          <w:szCs w:val="18"/>
        </w:rPr>
      </w:pPr>
    </w:p>
    <w:p w14:paraId="675CA732" w14:textId="366E37A7" w:rsidR="00227660" w:rsidRDefault="00932D06" w:rsidP="00932D06">
      <w:pPr>
        <w:rPr>
          <w:rFonts w:ascii="Times New Roman" w:hAnsi="Times New Roman" w:cs="Times New Roman"/>
        </w:rPr>
      </w:pPr>
      <w:r w:rsidRPr="00932D06">
        <w:rPr>
          <w:rFonts w:ascii="Times New Roman" w:hAnsi="Times New Roman" w:cs="Times New Roman"/>
          <w:sz w:val="18"/>
          <w:szCs w:val="18"/>
        </w:rPr>
        <w:t xml:space="preserve">} </w:t>
      </w:r>
      <w:r w:rsidR="00227660">
        <w:rPr>
          <w:rFonts w:ascii="Times New Roman" w:hAnsi="Times New Roman" w:cs="Times New Roman"/>
        </w:rPr>
        <w:br w:type="page"/>
      </w:r>
    </w:p>
    <w:p w14:paraId="43664A8E" w14:textId="4B6A02E0" w:rsidR="00D4524B" w:rsidRPr="00C63272" w:rsidRDefault="00D4524B" w:rsidP="00D165B0">
      <w:pPr>
        <w:pStyle w:val="Heading1"/>
      </w:pPr>
      <w:bookmarkStart w:id="186" w:name="_Toc183282298"/>
      <w:r w:rsidRPr="00C63272">
        <w:lastRenderedPageBreak/>
        <w:t>Appendix</w:t>
      </w:r>
      <w:r>
        <w:t xml:space="preserve"> C</w:t>
      </w:r>
      <w:bookmarkEnd w:id="186"/>
    </w:p>
    <w:p w14:paraId="46470932" w14:textId="65AACEB3" w:rsidR="00D4524B" w:rsidRPr="000F7230" w:rsidRDefault="00E073DA" w:rsidP="00334A8E">
      <w:pPr>
        <w:spacing w:line="480" w:lineRule="auto"/>
        <w:rPr>
          <w:rFonts w:ascii="Times New Roman" w:hAnsi="Times New Roman" w:cs="Times New Roman"/>
        </w:rPr>
      </w:pPr>
      <w:r>
        <w:rPr>
          <w:rFonts w:ascii="Times New Roman" w:hAnsi="Times New Roman" w:cs="Times New Roman"/>
        </w:rPr>
        <w:t>Table</w:t>
      </w:r>
      <w:r w:rsidR="00667B94">
        <w:rPr>
          <w:rFonts w:ascii="Times New Roman" w:hAnsi="Times New Roman" w:cs="Times New Roman"/>
        </w:rPr>
        <w:t xml:space="preserve"> </w:t>
      </w:r>
      <w:r w:rsidR="002E36CA">
        <w:rPr>
          <w:rFonts w:ascii="Times New Roman" w:hAnsi="Times New Roman" w:cs="Times New Roman"/>
        </w:rPr>
        <w:t>12</w:t>
      </w:r>
      <w:r>
        <w:rPr>
          <w:rFonts w:ascii="Times New Roman" w:hAnsi="Times New Roman" w:cs="Times New Roman"/>
        </w:rPr>
        <w:t>:</w:t>
      </w:r>
      <w:r w:rsidR="00667B94">
        <w:rPr>
          <w:rFonts w:ascii="Times New Roman" w:hAnsi="Times New Roman" w:cs="Times New Roman"/>
        </w:rPr>
        <w:t xml:space="preserve"> </w:t>
      </w:r>
      <w:r w:rsidR="00D4524B" w:rsidRPr="000F7230">
        <w:rPr>
          <w:rFonts w:ascii="Times New Roman" w:hAnsi="Times New Roman" w:cs="Times New Roman"/>
        </w:rPr>
        <w:t>A Review of Staggered Difference-in-Difference Estimators</w:t>
      </w:r>
    </w:p>
    <w:tbl>
      <w:tblPr>
        <w:tblStyle w:val="TableGrid"/>
        <w:tblW w:w="0" w:type="auto"/>
        <w:tblLook w:val="04A0" w:firstRow="1" w:lastRow="0" w:firstColumn="1" w:lastColumn="0" w:noHBand="0" w:noVBand="1"/>
      </w:tblPr>
      <w:tblGrid>
        <w:gridCol w:w="2965"/>
        <w:gridCol w:w="2250"/>
        <w:gridCol w:w="3600"/>
        <w:gridCol w:w="3690"/>
      </w:tblGrid>
      <w:tr w:rsidR="00D4524B" w14:paraId="5B764CB6" w14:textId="77777777">
        <w:tc>
          <w:tcPr>
            <w:tcW w:w="2965" w:type="dxa"/>
          </w:tcPr>
          <w:p w14:paraId="2E389450" w14:textId="77777777" w:rsidR="00D4524B" w:rsidRPr="006C4802" w:rsidRDefault="00D4524B">
            <w:pPr>
              <w:jc w:val="center"/>
              <w:rPr>
                <w:rFonts w:ascii="Times New Roman" w:hAnsi="Times New Roman" w:cs="Times New Roman"/>
                <w:b/>
                <w:bCs/>
              </w:rPr>
            </w:pPr>
            <w:r w:rsidRPr="006C4802">
              <w:rPr>
                <w:rFonts w:ascii="Times New Roman" w:hAnsi="Times New Roman" w:cs="Times New Roman"/>
                <w:b/>
                <w:bCs/>
              </w:rPr>
              <w:t>Estimator</w:t>
            </w:r>
          </w:p>
        </w:tc>
        <w:tc>
          <w:tcPr>
            <w:tcW w:w="2250" w:type="dxa"/>
          </w:tcPr>
          <w:p w14:paraId="4B9E9009" w14:textId="77777777" w:rsidR="00D4524B" w:rsidRPr="006C4802" w:rsidRDefault="00D4524B">
            <w:pPr>
              <w:jc w:val="center"/>
              <w:rPr>
                <w:rFonts w:ascii="Times New Roman" w:hAnsi="Times New Roman" w:cs="Times New Roman"/>
                <w:b/>
                <w:bCs/>
              </w:rPr>
            </w:pPr>
            <w:r w:rsidRPr="006C4802">
              <w:rPr>
                <w:rFonts w:ascii="Times New Roman" w:hAnsi="Times New Roman" w:cs="Times New Roman"/>
                <w:b/>
                <w:bCs/>
              </w:rPr>
              <w:t>Scholar &amp; Relevant Stata Command</w:t>
            </w:r>
          </w:p>
        </w:tc>
        <w:tc>
          <w:tcPr>
            <w:tcW w:w="3600" w:type="dxa"/>
          </w:tcPr>
          <w:p w14:paraId="1D089458" w14:textId="77777777" w:rsidR="00D4524B" w:rsidRPr="006C4802" w:rsidRDefault="00D4524B">
            <w:pPr>
              <w:jc w:val="center"/>
              <w:rPr>
                <w:rFonts w:ascii="Times New Roman" w:hAnsi="Times New Roman" w:cs="Times New Roman"/>
                <w:b/>
                <w:bCs/>
              </w:rPr>
            </w:pPr>
            <w:r w:rsidRPr="006C4802">
              <w:rPr>
                <w:rFonts w:ascii="Times New Roman" w:hAnsi="Times New Roman" w:cs="Times New Roman"/>
                <w:b/>
                <w:bCs/>
              </w:rPr>
              <w:t>Strength</w:t>
            </w:r>
          </w:p>
        </w:tc>
        <w:tc>
          <w:tcPr>
            <w:tcW w:w="3690" w:type="dxa"/>
          </w:tcPr>
          <w:p w14:paraId="6D2FBD19" w14:textId="77777777" w:rsidR="00D4524B" w:rsidRPr="006C4802" w:rsidRDefault="00D4524B">
            <w:pPr>
              <w:jc w:val="center"/>
              <w:rPr>
                <w:rFonts w:ascii="Times New Roman" w:hAnsi="Times New Roman" w:cs="Times New Roman"/>
                <w:b/>
                <w:bCs/>
              </w:rPr>
            </w:pPr>
            <w:r w:rsidRPr="006C4802">
              <w:rPr>
                <w:rFonts w:ascii="Times New Roman" w:hAnsi="Times New Roman" w:cs="Times New Roman"/>
                <w:b/>
                <w:bCs/>
              </w:rPr>
              <w:t>Weakness</w:t>
            </w:r>
          </w:p>
        </w:tc>
      </w:tr>
      <w:tr w:rsidR="00D4524B" w14:paraId="039D9185" w14:textId="77777777">
        <w:tc>
          <w:tcPr>
            <w:tcW w:w="2965" w:type="dxa"/>
          </w:tcPr>
          <w:p w14:paraId="6469B9DB" w14:textId="77777777" w:rsidR="00D4524B" w:rsidRPr="00BE67A9" w:rsidRDefault="00D4524B">
            <w:pPr>
              <w:rPr>
                <w:rFonts w:ascii="Times New Roman" w:hAnsi="Times New Roman" w:cs="Times New Roman"/>
              </w:rPr>
            </w:pPr>
            <w:r w:rsidRPr="00BE67A9">
              <w:rPr>
                <w:rFonts w:ascii="Times New Roman" w:hAnsi="Times New Roman" w:cs="Times New Roman"/>
              </w:rPr>
              <w:t>Classic TWFE</w:t>
            </w:r>
          </w:p>
        </w:tc>
        <w:tc>
          <w:tcPr>
            <w:tcW w:w="2250" w:type="dxa"/>
          </w:tcPr>
          <w:p w14:paraId="470BFB4C" w14:textId="77777777" w:rsidR="00D4524B" w:rsidRPr="00BE67A9" w:rsidRDefault="00D4524B">
            <w:pPr>
              <w:rPr>
                <w:rFonts w:ascii="Times New Roman" w:hAnsi="Times New Roman" w:cs="Times New Roman"/>
              </w:rPr>
            </w:pPr>
            <w:r>
              <w:rPr>
                <w:rFonts w:ascii="Times New Roman" w:hAnsi="Times New Roman" w:cs="Times New Roman"/>
              </w:rPr>
              <w:t xml:space="preserve">n/a </w:t>
            </w:r>
          </w:p>
        </w:tc>
        <w:tc>
          <w:tcPr>
            <w:tcW w:w="3600" w:type="dxa"/>
          </w:tcPr>
          <w:p w14:paraId="31B46C4D" w14:textId="77777777" w:rsidR="00D4524B" w:rsidRPr="002B0773" w:rsidRDefault="00D4524B">
            <w:pPr>
              <w:rPr>
                <w:rFonts w:ascii="Times New Roman" w:hAnsi="Times New Roman" w:cs="Times New Roman"/>
              </w:rPr>
            </w:pPr>
            <w:r>
              <w:rPr>
                <w:rFonts w:ascii="Times New Roman" w:eastAsia="Microsoft YaHei" w:hAnsi="Times New Roman" w:cs="Times New Roman"/>
              </w:rPr>
              <w:t xml:space="preserve">A widely used and understood estimator by researchers.  </w:t>
            </w:r>
          </w:p>
        </w:tc>
        <w:tc>
          <w:tcPr>
            <w:tcW w:w="3690" w:type="dxa"/>
          </w:tcPr>
          <w:p w14:paraId="71AB89B5" w14:textId="77777777" w:rsidR="00D4524B" w:rsidRDefault="00D4524B">
            <w:pPr>
              <w:rPr>
                <w:rFonts w:ascii="Times New Roman" w:eastAsia="Microsoft YaHei" w:hAnsi="Times New Roman" w:cs="Times New Roman"/>
              </w:rPr>
            </w:pPr>
            <w:r>
              <w:rPr>
                <w:rFonts w:ascii="Times New Roman" w:eastAsia="Microsoft YaHei" w:hAnsi="Times New Roman" w:cs="Times New Roman"/>
              </w:rPr>
              <w:t>Can</w:t>
            </w:r>
            <w:r w:rsidRPr="002B0773">
              <w:rPr>
                <w:rFonts w:ascii="Times New Roman" w:eastAsia="Microsoft YaHei" w:hAnsi="Times New Roman" w:cs="Times New Roman"/>
              </w:rPr>
              <w:t xml:space="preserve"> bias estimates because of contamination from treatment effects at a different relative time</w:t>
            </w:r>
            <w:r>
              <w:rPr>
                <w:rFonts w:ascii="Times New Roman" w:eastAsia="Microsoft YaHei" w:hAnsi="Times New Roman" w:cs="Times New Roman"/>
              </w:rPr>
              <w:t>.</w:t>
            </w:r>
            <w:r w:rsidRPr="002B0773">
              <w:rPr>
                <w:rFonts w:ascii="Times New Roman" w:eastAsia="Microsoft YaHei" w:hAnsi="Times New Roman" w:cs="Times New Roman"/>
              </w:rPr>
              <w:t xml:space="preserve"> </w:t>
            </w:r>
          </w:p>
          <w:p w14:paraId="5CCEC662" w14:textId="77777777" w:rsidR="00D4524B" w:rsidRPr="002B0773" w:rsidRDefault="00D4524B">
            <w:pPr>
              <w:rPr>
                <w:rFonts w:ascii="Times New Roman" w:hAnsi="Times New Roman" w:cs="Times New Roman"/>
              </w:rPr>
            </w:pPr>
          </w:p>
        </w:tc>
      </w:tr>
      <w:tr w:rsidR="00D4524B" w14:paraId="646B9C22" w14:textId="77777777">
        <w:tc>
          <w:tcPr>
            <w:tcW w:w="2965" w:type="dxa"/>
          </w:tcPr>
          <w:p w14:paraId="4EE44EB7" w14:textId="77777777" w:rsidR="00D4524B" w:rsidRPr="00BE67A9" w:rsidRDefault="00D4524B">
            <w:pPr>
              <w:rPr>
                <w:rFonts w:ascii="Times New Roman" w:hAnsi="Times New Roman" w:cs="Times New Roman"/>
              </w:rPr>
            </w:pPr>
            <w:r>
              <w:rPr>
                <w:rFonts w:ascii="Times New Roman" w:hAnsi="Times New Roman" w:cs="Times New Roman"/>
              </w:rPr>
              <w:t>Interaction Weighted</w:t>
            </w:r>
          </w:p>
        </w:tc>
        <w:tc>
          <w:tcPr>
            <w:tcW w:w="2250" w:type="dxa"/>
          </w:tcPr>
          <w:p w14:paraId="27ACB38D" w14:textId="77777777" w:rsidR="00D4524B" w:rsidRDefault="00D4524B">
            <w:pPr>
              <w:rPr>
                <w:rFonts w:ascii="Times New Roman" w:hAnsi="Times New Roman" w:cs="Times New Roman"/>
              </w:rPr>
            </w:pPr>
            <w:r>
              <w:rPr>
                <w:rFonts w:ascii="Times New Roman" w:hAnsi="Times New Roman" w:cs="Times New Roman"/>
              </w:rPr>
              <w:t>Sun &amp; Abraham (2021)</w:t>
            </w:r>
          </w:p>
          <w:p w14:paraId="2770DF5F" w14:textId="77777777" w:rsidR="00D4524B" w:rsidRDefault="00D4524B">
            <w:pPr>
              <w:rPr>
                <w:rFonts w:ascii="Times New Roman" w:hAnsi="Times New Roman" w:cs="Times New Roman"/>
              </w:rPr>
            </w:pPr>
          </w:p>
          <w:p w14:paraId="30360D5D" w14:textId="77777777" w:rsidR="00D4524B" w:rsidRDefault="00D4524B">
            <w:pPr>
              <w:rPr>
                <w:rFonts w:ascii="Times New Roman" w:hAnsi="Times New Roman" w:cs="Times New Roman"/>
                <w:i/>
                <w:iCs/>
              </w:rPr>
            </w:pPr>
            <w:r>
              <w:rPr>
                <w:rFonts w:ascii="Times New Roman" w:hAnsi="Times New Roman" w:cs="Times New Roman"/>
                <w:i/>
                <w:iCs/>
              </w:rPr>
              <w:t>Eventstudyinteract</w:t>
            </w:r>
          </w:p>
          <w:p w14:paraId="24AB7810" w14:textId="77777777" w:rsidR="00D4524B" w:rsidRPr="000F7230" w:rsidRDefault="00D4524B">
            <w:pPr>
              <w:rPr>
                <w:rFonts w:ascii="Times New Roman" w:hAnsi="Times New Roman" w:cs="Times New Roman"/>
                <w:i/>
                <w:iCs/>
              </w:rPr>
            </w:pPr>
          </w:p>
        </w:tc>
        <w:tc>
          <w:tcPr>
            <w:tcW w:w="3600" w:type="dxa"/>
          </w:tcPr>
          <w:p w14:paraId="6129B808" w14:textId="77777777" w:rsidR="00D4524B" w:rsidRPr="00BE67A9" w:rsidRDefault="00D4524B">
            <w:pPr>
              <w:rPr>
                <w:rFonts w:ascii="Times New Roman" w:hAnsi="Times New Roman" w:cs="Times New Roman"/>
              </w:rPr>
            </w:pPr>
            <w:r w:rsidRPr="002B0773">
              <w:rPr>
                <w:rFonts w:ascii="Times New Roman" w:hAnsi="Times New Roman" w:cs="Times New Roman"/>
              </w:rPr>
              <w:t>Exploits individual cohort-time-specific treatment effects</w:t>
            </w:r>
          </w:p>
        </w:tc>
        <w:tc>
          <w:tcPr>
            <w:tcW w:w="3690" w:type="dxa"/>
          </w:tcPr>
          <w:p w14:paraId="1885E9EB" w14:textId="77777777" w:rsidR="00D4524B" w:rsidRPr="00BE67A9" w:rsidRDefault="00D4524B">
            <w:pPr>
              <w:rPr>
                <w:rFonts w:ascii="Times New Roman" w:hAnsi="Times New Roman" w:cs="Times New Roman"/>
              </w:rPr>
            </w:pPr>
            <w:r w:rsidRPr="002B0773">
              <w:rPr>
                <w:rFonts w:ascii="Times New Roman" w:hAnsi="Times New Roman" w:cs="Times New Roman"/>
              </w:rPr>
              <w:t>Does not allow for Not Yet Treated as a control</w:t>
            </w:r>
          </w:p>
        </w:tc>
      </w:tr>
      <w:tr w:rsidR="00D4524B" w14:paraId="3C038ABE" w14:textId="77777777">
        <w:tc>
          <w:tcPr>
            <w:tcW w:w="2965" w:type="dxa"/>
          </w:tcPr>
          <w:p w14:paraId="0F51B44C" w14:textId="77777777" w:rsidR="00D4524B" w:rsidRPr="00BE67A9" w:rsidRDefault="00D4524B">
            <w:pPr>
              <w:rPr>
                <w:rFonts w:ascii="Times New Roman" w:hAnsi="Times New Roman" w:cs="Times New Roman"/>
              </w:rPr>
            </w:pPr>
            <w:r>
              <w:rPr>
                <w:rFonts w:ascii="Times New Roman" w:hAnsi="Times New Roman" w:cs="Times New Roman"/>
              </w:rPr>
              <w:t>Doubly Robust</w:t>
            </w:r>
          </w:p>
        </w:tc>
        <w:tc>
          <w:tcPr>
            <w:tcW w:w="2250" w:type="dxa"/>
          </w:tcPr>
          <w:p w14:paraId="4C7E8952" w14:textId="77777777" w:rsidR="00D4524B" w:rsidRDefault="00D4524B">
            <w:pPr>
              <w:rPr>
                <w:rFonts w:ascii="Times New Roman" w:hAnsi="Times New Roman" w:cs="Times New Roman"/>
              </w:rPr>
            </w:pPr>
            <w:r>
              <w:rPr>
                <w:rFonts w:ascii="Times New Roman" w:hAnsi="Times New Roman" w:cs="Times New Roman"/>
              </w:rPr>
              <w:t>Callaway &amp; Sant’Anna (2021)</w:t>
            </w:r>
          </w:p>
          <w:p w14:paraId="2D66F418" w14:textId="77777777" w:rsidR="00D4524B" w:rsidRDefault="00D4524B">
            <w:pPr>
              <w:rPr>
                <w:rFonts w:ascii="Times New Roman" w:hAnsi="Times New Roman" w:cs="Times New Roman"/>
              </w:rPr>
            </w:pPr>
          </w:p>
          <w:p w14:paraId="61AF065F" w14:textId="77777777" w:rsidR="00D4524B" w:rsidRDefault="00D4524B">
            <w:pPr>
              <w:rPr>
                <w:rFonts w:ascii="Times New Roman" w:hAnsi="Times New Roman" w:cs="Times New Roman"/>
                <w:i/>
                <w:iCs/>
              </w:rPr>
            </w:pPr>
            <w:r>
              <w:rPr>
                <w:rFonts w:ascii="Times New Roman" w:hAnsi="Times New Roman" w:cs="Times New Roman"/>
                <w:i/>
                <w:iCs/>
              </w:rPr>
              <w:t>Csdid</w:t>
            </w:r>
          </w:p>
          <w:p w14:paraId="1294598F" w14:textId="77777777" w:rsidR="00D4524B" w:rsidRPr="000F7230" w:rsidRDefault="00D4524B">
            <w:pPr>
              <w:rPr>
                <w:rFonts w:ascii="Times New Roman" w:hAnsi="Times New Roman" w:cs="Times New Roman"/>
                <w:i/>
                <w:iCs/>
              </w:rPr>
            </w:pPr>
          </w:p>
        </w:tc>
        <w:tc>
          <w:tcPr>
            <w:tcW w:w="3600" w:type="dxa"/>
          </w:tcPr>
          <w:p w14:paraId="603C7DC4" w14:textId="77777777" w:rsidR="00D4524B" w:rsidRPr="002B0773" w:rsidRDefault="00D4524B">
            <w:pPr>
              <w:rPr>
                <w:rFonts w:ascii="Times New Roman" w:hAnsi="Times New Roman" w:cs="Times New Roman"/>
              </w:rPr>
            </w:pPr>
            <w:r w:rsidRPr="002B0773">
              <w:rPr>
                <w:rFonts w:ascii="Times New Roman" w:hAnsi="Times New Roman" w:cs="Times New Roman"/>
              </w:rPr>
              <w:t>Exploits individual cohort-time-specific treatment effects</w:t>
            </w:r>
          </w:p>
        </w:tc>
        <w:tc>
          <w:tcPr>
            <w:tcW w:w="3690" w:type="dxa"/>
          </w:tcPr>
          <w:p w14:paraId="0BB1B899" w14:textId="77777777" w:rsidR="00D4524B" w:rsidRPr="002B0773" w:rsidRDefault="00D4524B">
            <w:pPr>
              <w:rPr>
                <w:rFonts w:ascii="Times New Roman" w:hAnsi="Times New Roman" w:cs="Times New Roman"/>
              </w:rPr>
            </w:pPr>
            <w:r w:rsidRPr="002B0773">
              <w:rPr>
                <w:rFonts w:ascii="Times New Roman" w:hAnsi="Times New Roman" w:cs="Times New Roman"/>
              </w:rPr>
              <w:t>Because csdid is flexible and conservative it also losses a lot of data that other approaches use for ATT estimation.</w:t>
            </w:r>
          </w:p>
        </w:tc>
      </w:tr>
      <w:tr w:rsidR="00D4524B" w14:paraId="3F9FAA0D" w14:textId="77777777">
        <w:tc>
          <w:tcPr>
            <w:tcW w:w="2965" w:type="dxa"/>
          </w:tcPr>
          <w:p w14:paraId="6EEE6799" w14:textId="77777777" w:rsidR="00D4524B" w:rsidRDefault="00D4524B">
            <w:pPr>
              <w:rPr>
                <w:rFonts w:ascii="Times New Roman" w:hAnsi="Times New Roman" w:cs="Times New Roman"/>
              </w:rPr>
            </w:pPr>
            <w:r>
              <w:rPr>
                <w:rFonts w:ascii="Times New Roman" w:hAnsi="Times New Roman" w:cs="Times New Roman"/>
              </w:rPr>
              <w:t>Decomposition (weighted average of all possible 2x2 estimators)</w:t>
            </w:r>
          </w:p>
        </w:tc>
        <w:tc>
          <w:tcPr>
            <w:tcW w:w="2250" w:type="dxa"/>
          </w:tcPr>
          <w:p w14:paraId="4B094AD9" w14:textId="77777777" w:rsidR="00D4524B" w:rsidRDefault="00D4524B">
            <w:pPr>
              <w:rPr>
                <w:rFonts w:ascii="Times New Roman" w:hAnsi="Times New Roman" w:cs="Times New Roman"/>
              </w:rPr>
            </w:pPr>
            <w:r>
              <w:rPr>
                <w:rFonts w:ascii="Times New Roman" w:hAnsi="Times New Roman" w:cs="Times New Roman"/>
              </w:rPr>
              <w:t>Goodman-Bacon (2021)</w:t>
            </w:r>
          </w:p>
          <w:p w14:paraId="3E8940D2" w14:textId="77777777" w:rsidR="00D4524B" w:rsidRDefault="00D4524B">
            <w:pPr>
              <w:rPr>
                <w:rFonts w:ascii="Times New Roman" w:hAnsi="Times New Roman" w:cs="Times New Roman"/>
              </w:rPr>
            </w:pPr>
          </w:p>
          <w:p w14:paraId="328897E6" w14:textId="77777777" w:rsidR="00D4524B" w:rsidRPr="000F7230" w:rsidRDefault="00D4524B">
            <w:pPr>
              <w:rPr>
                <w:rFonts w:ascii="Times New Roman" w:hAnsi="Times New Roman" w:cs="Times New Roman"/>
                <w:i/>
                <w:iCs/>
              </w:rPr>
            </w:pPr>
            <w:r w:rsidRPr="000F7230">
              <w:rPr>
                <w:rFonts w:ascii="Times New Roman" w:hAnsi="Times New Roman" w:cs="Times New Roman"/>
                <w:i/>
                <w:iCs/>
              </w:rPr>
              <w:t>bacondecomp</w:t>
            </w:r>
          </w:p>
        </w:tc>
        <w:tc>
          <w:tcPr>
            <w:tcW w:w="3600" w:type="dxa"/>
          </w:tcPr>
          <w:p w14:paraId="3D3823B4" w14:textId="77777777" w:rsidR="00D4524B" w:rsidRPr="00BE67A9" w:rsidRDefault="00D4524B">
            <w:pPr>
              <w:rPr>
                <w:rFonts w:ascii="Times New Roman" w:hAnsi="Times New Roman" w:cs="Times New Roman"/>
              </w:rPr>
            </w:pPr>
            <w:r>
              <w:rPr>
                <w:rFonts w:ascii="Times New Roman" w:hAnsi="Times New Roman" w:cs="Times New Roman"/>
              </w:rPr>
              <w:t xml:space="preserve">Exploits potential to consider already early treated units as a comparison group for later yet-to-be treated units  </w:t>
            </w:r>
          </w:p>
        </w:tc>
        <w:tc>
          <w:tcPr>
            <w:tcW w:w="3690" w:type="dxa"/>
          </w:tcPr>
          <w:p w14:paraId="2DBE7F5E" w14:textId="77777777" w:rsidR="00D4524B" w:rsidRDefault="00D4524B">
            <w:pPr>
              <w:rPr>
                <w:rFonts w:ascii="Times New Roman" w:hAnsi="Times New Roman" w:cs="Times New Roman"/>
              </w:rPr>
            </w:pPr>
            <w:r>
              <w:rPr>
                <w:rFonts w:ascii="Times New Roman" w:hAnsi="Times New Roman" w:cs="Times New Roman"/>
              </w:rPr>
              <w:t>While this estimator does produce an ATT, producing an ATT is not its preferred use. Instead, this model should be utilized as a diagnostic tool to understand to what extent a model has a negative weighting problem. It also only works with strongly balanced panel data.</w:t>
            </w:r>
          </w:p>
          <w:p w14:paraId="0028FDDD" w14:textId="77777777" w:rsidR="00D4524B" w:rsidRPr="00BE67A9" w:rsidRDefault="00D4524B">
            <w:pPr>
              <w:rPr>
                <w:rFonts w:ascii="Times New Roman" w:hAnsi="Times New Roman" w:cs="Times New Roman"/>
              </w:rPr>
            </w:pPr>
          </w:p>
        </w:tc>
      </w:tr>
    </w:tbl>
    <w:p w14:paraId="35623B0C" w14:textId="730170C9" w:rsidR="00D165B0" w:rsidRPr="00334A8E" w:rsidRDefault="005A295F" w:rsidP="00D4524B">
      <w:pPr>
        <w:spacing w:line="480" w:lineRule="auto"/>
        <w:rPr>
          <w:rFonts w:ascii="Times New Roman" w:hAnsi="Times New Roman" w:cs="Times New Roman"/>
        </w:rPr>
      </w:pPr>
      <w:r w:rsidRPr="00334A8E">
        <w:rPr>
          <w:rFonts w:ascii="Times New Roman" w:hAnsi="Times New Roman" w:cs="Times New Roman"/>
        </w:rPr>
        <w:lastRenderedPageBreak/>
        <w:t xml:space="preserve">Table 12 continued </w:t>
      </w:r>
    </w:p>
    <w:tbl>
      <w:tblPr>
        <w:tblStyle w:val="TableGrid"/>
        <w:tblW w:w="0" w:type="auto"/>
        <w:tblLook w:val="04A0" w:firstRow="1" w:lastRow="0" w:firstColumn="1" w:lastColumn="0" w:noHBand="0" w:noVBand="1"/>
      </w:tblPr>
      <w:tblGrid>
        <w:gridCol w:w="2965"/>
        <w:gridCol w:w="2250"/>
        <w:gridCol w:w="3600"/>
        <w:gridCol w:w="3690"/>
      </w:tblGrid>
      <w:tr w:rsidR="005A295F" w:rsidRPr="00BE67A9" w14:paraId="4B0C39C2" w14:textId="77777777" w:rsidTr="00321842">
        <w:tc>
          <w:tcPr>
            <w:tcW w:w="2965" w:type="dxa"/>
          </w:tcPr>
          <w:p w14:paraId="02A42E96" w14:textId="77777777" w:rsidR="005A295F" w:rsidRDefault="005A295F" w:rsidP="00321842">
            <w:pPr>
              <w:rPr>
                <w:rFonts w:ascii="Times New Roman" w:hAnsi="Times New Roman" w:cs="Times New Roman"/>
              </w:rPr>
            </w:pPr>
            <w:r>
              <w:rPr>
                <w:rFonts w:ascii="Times New Roman" w:hAnsi="Times New Roman" w:cs="Times New Roman"/>
              </w:rPr>
              <w:t>Decomposition (weighted average of all ATEs across group-time combinations)</w:t>
            </w:r>
          </w:p>
        </w:tc>
        <w:tc>
          <w:tcPr>
            <w:tcW w:w="2250" w:type="dxa"/>
          </w:tcPr>
          <w:p w14:paraId="6F9BE3AA" w14:textId="77777777" w:rsidR="005A295F" w:rsidRDefault="005A295F" w:rsidP="00321842">
            <w:pPr>
              <w:rPr>
                <w:rFonts w:ascii="Times New Roman" w:hAnsi="Times New Roman" w:cs="Times New Roman"/>
              </w:rPr>
            </w:pPr>
            <w:r w:rsidRPr="00B74FBD">
              <w:rPr>
                <w:rFonts w:ascii="Times New Roman" w:hAnsi="Times New Roman" w:cs="Times New Roman"/>
              </w:rPr>
              <w:t xml:space="preserve">de </w:t>
            </w:r>
            <w:r w:rsidRPr="0088178A">
              <w:rPr>
                <w:rFonts w:ascii="Times New Roman" w:hAnsi="Times New Roman" w:cs="Times New Roman"/>
              </w:rPr>
              <w:t xml:space="preserve">Chaisemartin </w:t>
            </w:r>
            <w:r w:rsidRPr="00B74FBD">
              <w:rPr>
                <w:rFonts w:ascii="Times New Roman" w:hAnsi="Times New Roman" w:cs="Times New Roman"/>
              </w:rPr>
              <w:t>&amp; D'Haultfœuille (2020)</w:t>
            </w:r>
          </w:p>
          <w:p w14:paraId="4A79F349" w14:textId="77777777" w:rsidR="005A295F" w:rsidRDefault="005A295F" w:rsidP="00321842">
            <w:pPr>
              <w:rPr>
                <w:rFonts w:ascii="Times New Roman" w:hAnsi="Times New Roman" w:cs="Times New Roman"/>
              </w:rPr>
            </w:pPr>
          </w:p>
          <w:p w14:paraId="437711F5" w14:textId="77777777" w:rsidR="005A295F" w:rsidRPr="00B30D95" w:rsidRDefault="005A295F" w:rsidP="00321842">
            <w:pPr>
              <w:rPr>
                <w:rFonts w:ascii="Times New Roman" w:hAnsi="Times New Roman" w:cs="Times New Roman"/>
                <w:i/>
                <w:iCs/>
              </w:rPr>
            </w:pPr>
            <w:r w:rsidRPr="00B30D95">
              <w:rPr>
                <w:rFonts w:ascii="Times New Roman" w:hAnsi="Times New Roman" w:cs="Times New Roman"/>
                <w:i/>
                <w:iCs/>
              </w:rPr>
              <w:t>twowayfeweights</w:t>
            </w:r>
          </w:p>
        </w:tc>
        <w:tc>
          <w:tcPr>
            <w:tcW w:w="3600" w:type="dxa"/>
          </w:tcPr>
          <w:p w14:paraId="49F8C70F" w14:textId="77777777" w:rsidR="005A295F" w:rsidRPr="00BE67A9" w:rsidRDefault="005A295F" w:rsidP="00321842">
            <w:pPr>
              <w:rPr>
                <w:rFonts w:ascii="Times New Roman" w:hAnsi="Times New Roman" w:cs="Times New Roman"/>
              </w:rPr>
            </w:pPr>
            <w:r>
              <w:rPr>
                <w:rFonts w:ascii="Times New Roman" w:hAnsi="Times New Roman" w:cs="Times New Roman"/>
              </w:rPr>
              <w:t xml:space="preserve">Similar to bacondecomp, this command can work with unbalanced panel data. </w:t>
            </w:r>
          </w:p>
        </w:tc>
        <w:tc>
          <w:tcPr>
            <w:tcW w:w="3690" w:type="dxa"/>
          </w:tcPr>
          <w:p w14:paraId="67F9693B" w14:textId="77777777" w:rsidR="005A295F" w:rsidRDefault="005A295F" w:rsidP="00321842">
            <w:pPr>
              <w:rPr>
                <w:rFonts w:ascii="Times New Roman" w:hAnsi="Times New Roman" w:cs="Times New Roman"/>
              </w:rPr>
            </w:pPr>
            <w:r>
              <w:rPr>
                <w:rFonts w:ascii="Times New Roman" w:hAnsi="Times New Roman" w:cs="Times New Roman"/>
              </w:rPr>
              <w:t xml:space="preserve">Similar to bacondecomp, this estimator’s preferred use is understanding to what degree a model has a negative weighting problem. </w:t>
            </w:r>
          </w:p>
          <w:p w14:paraId="6646F404" w14:textId="77777777" w:rsidR="005A295F" w:rsidRPr="00BE67A9" w:rsidRDefault="005A295F" w:rsidP="00321842">
            <w:pPr>
              <w:rPr>
                <w:rFonts w:ascii="Times New Roman" w:hAnsi="Times New Roman" w:cs="Times New Roman"/>
              </w:rPr>
            </w:pPr>
          </w:p>
        </w:tc>
      </w:tr>
      <w:tr w:rsidR="005A295F" w:rsidRPr="00BE67A9" w14:paraId="494C9D98" w14:textId="77777777" w:rsidTr="00321842">
        <w:tc>
          <w:tcPr>
            <w:tcW w:w="2965" w:type="dxa"/>
          </w:tcPr>
          <w:p w14:paraId="2F10AE6E" w14:textId="77777777" w:rsidR="005A295F" w:rsidRDefault="005A295F" w:rsidP="00321842">
            <w:pPr>
              <w:rPr>
                <w:rFonts w:ascii="Times New Roman" w:hAnsi="Times New Roman" w:cs="Times New Roman"/>
              </w:rPr>
            </w:pPr>
            <w:r>
              <w:rPr>
                <w:rFonts w:ascii="Times New Roman" w:hAnsi="Times New Roman" w:cs="Times New Roman"/>
              </w:rPr>
              <w:t xml:space="preserve">Imputation </w:t>
            </w:r>
          </w:p>
        </w:tc>
        <w:tc>
          <w:tcPr>
            <w:tcW w:w="2250" w:type="dxa"/>
          </w:tcPr>
          <w:p w14:paraId="2E007B78" w14:textId="77777777" w:rsidR="005A295F" w:rsidRDefault="005A295F" w:rsidP="00321842">
            <w:pPr>
              <w:rPr>
                <w:rFonts w:ascii="Times New Roman" w:hAnsi="Times New Roman" w:cs="Times New Roman"/>
              </w:rPr>
            </w:pPr>
            <w:r>
              <w:rPr>
                <w:rFonts w:ascii="Times New Roman" w:hAnsi="Times New Roman" w:cs="Times New Roman"/>
              </w:rPr>
              <w:t>Boursyak et al (2023)</w:t>
            </w:r>
          </w:p>
          <w:p w14:paraId="638D6556" w14:textId="77777777" w:rsidR="005A295F" w:rsidRDefault="005A295F" w:rsidP="00321842">
            <w:pPr>
              <w:rPr>
                <w:rFonts w:ascii="Times New Roman" w:hAnsi="Times New Roman" w:cs="Times New Roman"/>
              </w:rPr>
            </w:pPr>
          </w:p>
          <w:p w14:paraId="42757DAB" w14:textId="77777777" w:rsidR="005A295F" w:rsidRPr="00CA622A" w:rsidRDefault="005A295F" w:rsidP="00321842">
            <w:pPr>
              <w:rPr>
                <w:rFonts w:ascii="Times New Roman" w:hAnsi="Times New Roman" w:cs="Times New Roman"/>
              </w:rPr>
            </w:pPr>
            <w:r>
              <w:rPr>
                <w:rFonts w:ascii="Times New Roman" w:hAnsi="Times New Roman" w:cs="Times New Roman"/>
                <w:i/>
                <w:iCs/>
              </w:rPr>
              <w:t>didimputation</w:t>
            </w:r>
          </w:p>
        </w:tc>
        <w:tc>
          <w:tcPr>
            <w:tcW w:w="3600" w:type="dxa"/>
          </w:tcPr>
          <w:p w14:paraId="3062D267" w14:textId="77777777" w:rsidR="005A295F" w:rsidRPr="00BE67A9" w:rsidRDefault="005A295F" w:rsidP="00321842">
            <w:pPr>
              <w:rPr>
                <w:rFonts w:ascii="Times New Roman" w:hAnsi="Times New Roman" w:cs="Times New Roman"/>
              </w:rPr>
            </w:pPr>
            <w:r w:rsidRPr="002B0773">
              <w:rPr>
                <w:rFonts w:ascii="Times New Roman" w:hAnsi="Times New Roman" w:cs="Times New Roman"/>
              </w:rPr>
              <w:t>Makes comparisons relative to the average of the pre-treatment periods rather than only the last pre-treatment period prior to treatment.</w:t>
            </w:r>
          </w:p>
        </w:tc>
        <w:tc>
          <w:tcPr>
            <w:tcW w:w="3690" w:type="dxa"/>
          </w:tcPr>
          <w:p w14:paraId="5A2E859E" w14:textId="77777777" w:rsidR="005A295F" w:rsidRDefault="005A295F" w:rsidP="00321842">
            <w:pPr>
              <w:rPr>
                <w:rFonts w:ascii="Times New Roman" w:hAnsi="Times New Roman" w:cs="Times New Roman"/>
              </w:rPr>
            </w:pPr>
            <w:r w:rsidRPr="002B0773">
              <w:rPr>
                <w:rFonts w:ascii="Times New Roman" w:hAnsi="Times New Roman" w:cs="Times New Roman"/>
              </w:rPr>
              <w:t>Gains precision at the cost of efficiency under real world conditions (heteroskedastic) and requires stronger p</w:t>
            </w:r>
            <w:r>
              <w:rPr>
                <w:rFonts w:ascii="Times New Roman" w:hAnsi="Times New Roman" w:cs="Times New Roman"/>
              </w:rPr>
              <w:t xml:space="preserve">re-treatment </w:t>
            </w:r>
            <w:r w:rsidRPr="002B0773">
              <w:rPr>
                <w:rFonts w:ascii="Times New Roman" w:hAnsi="Times New Roman" w:cs="Times New Roman"/>
              </w:rPr>
              <w:t>trends assumptions.</w:t>
            </w:r>
          </w:p>
          <w:p w14:paraId="45C8F430" w14:textId="77777777" w:rsidR="005A295F" w:rsidRPr="00BE67A9" w:rsidRDefault="005A295F" w:rsidP="00321842">
            <w:pPr>
              <w:rPr>
                <w:rFonts w:ascii="Times New Roman" w:hAnsi="Times New Roman" w:cs="Times New Roman"/>
              </w:rPr>
            </w:pPr>
          </w:p>
        </w:tc>
      </w:tr>
      <w:tr w:rsidR="005A295F" w:rsidRPr="00BE67A9" w14:paraId="2C678332" w14:textId="77777777" w:rsidTr="00321842">
        <w:tc>
          <w:tcPr>
            <w:tcW w:w="2965" w:type="dxa"/>
          </w:tcPr>
          <w:p w14:paraId="1B46A6FD" w14:textId="77777777" w:rsidR="005A295F" w:rsidRDefault="005A295F" w:rsidP="00321842">
            <w:pPr>
              <w:rPr>
                <w:rFonts w:ascii="Times New Roman" w:hAnsi="Times New Roman" w:cs="Times New Roman"/>
              </w:rPr>
            </w:pPr>
            <w:r>
              <w:rPr>
                <w:rFonts w:ascii="Times New Roman" w:hAnsi="Times New Roman" w:cs="Times New Roman"/>
              </w:rPr>
              <w:t>Regression Adjustment</w:t>
            </w:r>
          </w:p>
        </w:tc>
        <w:tc>
          <w:tcPr>
            <w:tcW w:w="2250" w:type="dxa"/>
          </w:tcPr>
          <w:p w14:paraId="0080F86D" w14:textId="77777777" w:rsidR="005A295F" w:rsidRDefault="005A295F" w:rsidP="00321842">
            <w:pPr>
              <w:rPr>
                <w:rFonts w:ascii="Times New Roman" w:hAnsi="Times New Roman" w:cs="Times New Roman"/>
              </w:rPr>
            </w:pPr>
            <w:r>
              <w:rPr>
                <w:rFonts w:ascii="Times New Roman" w:hAnsi="Times New Roman" w:cs="Times New Roman"/>
              </w:rPr>
              <w:t>Heckman (1997)</w:t>
            </w:r>
          </w:p>
          <w:p w14:paraId="6EC73022" w14:textId="77777777" w:rsidR="005A295F" w:rsidRDefault="005A295F" w:rsidP="00321842">
            <w:pPr>
              <w:rPr>
                <w:rFonts w:ascii="Times New Roman" w:hAnsi="Times New Roman" w:cs="Times New Roman"/>
              </w:rPr>
            </w:pPr>
          </w:p>
          <w:p w14:paraId="6A8E6D94" w14:textId="77777777" w:rsidR="005A295F" w:rsidRDefault="005A295F" w:rsidP="00321842">
            <w:pPr>
              <w:rPr>
                <w:rFonts w:ascii="Times New Roman" w:hAnsi="Times New Roman" w:cs="Times New Roman"/>
              </w:rPr>
            </w:pPr>
            <w:r>
              <w:rPr>
                <w:rFonts w:ascii="Times New Roman" w:hAnsi="Times New Roman" w:cs="Times New Roman"/>
              </w:rPr>
              <w:t xml:space="preserve">(or the RA estimator of </w:t>
            </w:r>
            <w:r>
              <w:rPr>
                <w:rFonts w:ascii="Times New Roman" w:hAnsi="Times New Roman" w:cs="Times New Roman"/>
                <w:i/>
                <w:iCs/>
              </w:rPr>
              <w:t>xthdidregress</w:t>
            </w:r>
            <w:r>
              <w:rPr>
                <w:rFonts w:ascii="Times New Roman" w:hAnsi="Times New Roman" w:cs="Times New Roman"/>
              </w:rPr>
              <w:t xml:space="preserve"> in Stata 18)</w:t>
            </w:r>
          </w:p>
          <w:p w14:paraId="750EBB47" w14:textId="77777777" w:rsidR="005A295F" w:rsidRDefault="005A295F" w:rsidP="00321842">
            <w:pPr>
              <w:rPr>
                <w:rFonts w:ascii="Times New Roman" w:hAnsi="Times New Roman" w:cs="Times New Roman"/>
              </w:rPr>
            </w:pPr>
          </w:p>
        </w:tc>
        <w:tc>
          <w:tcPr>
            <w:tcW w:w="3600" w:type="dxa"/>
          </w:tcPr>
          <w:p w14:paraId="51337DF1" w14:textId="77777777" w:rsidR="005A295F" w:rsidRDefault="005A295F" w:rsidP="00321842">
            <w:pPr>
              <w:rPr>
                <w:rFonts w:ascii="Times New Roman" w:hAnsi="Times New Roman" w:cs="Times New Roman"/>
              </w:rPr>
            </w:pPr>
            <w:r>
              <w:rPr>
                <w:rFonts w:ascii="Times New Roman" w:hAnsi="Times New Roman" w:cs="Times New Roman"/>
              </w:rPr>
              <w:t xml:space="preserve">Uses a two-step approach to estimate treatment effects by first fitting separate regressions of an outcome on each treatment cohort and then computing averages of the predicted outcomes for each unit and treatment cohort. </w:t>
            </w:r>
          </w:p>
          <w:p w14:paraId="3F7356A6" w14:textId="77777777" w:rsidR="005A295F" w:rsidRPr="00BE67A9" w:rsidRDefault="005A295F" w:rsidP="00321842">
            <w:pPr>
              <w:rPr>
                <w:rFonts w:ascii="Times New Roman" w:hAnsi="Times New Roman" w:cs="Times New Roman"/>
              </w:rPr>
            </w:pPr>
          </w:p>
        </w:tc>
        <w:tc>
          <w:tcPr>
            <w:tcW w:w="3690" w:type="dxa"/>
          </w:tcPr>
          <w:p w14:paraId="46CFFED0" w14:textId="77777777" w:rsidR="005A295F" w:rsidRPr="00617DBC" w:rsidRDefault="005A295F" w:rsidP="00321842">
            <w:pPr>
              <w:rPr>
                <w:rFonts w:ascii="Times New Roman" w:hAnsi="Times New Roman" w:cs="Times New Roman"/>
              </w:rPr>
            </w:pPr>
            <w:r>
              <w:rPr>
                <w:rFonts w:ascii="Times New Roman" w:hAnsi="Times New Roman" w:cs="Times New Roman"/>
              </w:rPr>
              <w:t>While this approach can account for covariate-specific time trends, it is not able to account for unit-specific time trends. An issue shared with several other models. Also</w:t>
            </w:r>
            <w:r w:rsidRPr="00617DBC">
              <w:rPr>
                <w:rFonts w:ascii="Times New Roman" w:hAnsi="Times New Roman" w:cs="Times New Roman"/>
              </w:rPr>
              <w:t xml:space="preserve">, the </w:t>
            </w:r>
            <w:r>
              <w:rPr>
                <w:rFonts w:ascii="Times New Roman" w:hAnsi="Times New Roman" w:cs="Times New Roman"/>
              </w:rPr>
              <w:t>estimates</w:t>
            </w:r>
            <w:r w:rsidRPr="00617DBC">
              <w:rPr>
                <w:rFonts w:ascii="Times New Roman" w:hAnsi="Times New Roman" w:cs="Times New Roman"/>
              </w:rPr>
              <w:t xml:space="preserve"> from this </w:t>
            </w:r>
            <w:r>
              <w:rPr>
                <w:rFonts w:ascii="Times New Roman" w:hAnsi="Times New Roman" w:cs="Times New Roman"/>
              </w:rPr>
              <w:t xml:space="preserve">approach are usually not the ATT </w:t>
            </w:r>
            <w:r w:rsidRPr="00617DBC">
              <w:rPr>
                <w:rFonts w:ascii="Times New Roman" w:hAnsi="Times New Roman" w:cs="Times New Roman"/>
              </w:rPr>
              <w:t>because of the</w:t>
            </w:r>
          </w:p>
          <w:p w14:paraId="346F499B" w14:textId="77777777" w:rsidR="005A295F" w:rsidRPr="00BE67A9" w:rsidRDefault="005A295F" w:rsidP="00321842">
            <w:pPr>
              <w:rPr>
                <w:rFonts w:ascii="Times New Roman" w:hAnsi="Times New Roman" w:cs="Times New Roman"/>
              </w:rPr>
            </w:pPr>
            <w:r w:rsidRPr="00617DBC">
              <w:rPr>
                <w:rFonts w:ascii="Times New Roman" w:hAnsi="Times New Roman" w:cs="Times New Roman"/>
              </w:rPr>
              <w:t>treatment-variance weighting of the OLS.</w:t>
            </w:r>
          </w:p>
        </w:tc>
      </w:tr>
      <w:tr w:rsidR="005A295F" w:rsidRPr="00BE67A9" w14:paraId="40F0D9CD" w14:textId="77777777" w:rsidTr="00321842">
        <w:tc>
          <w:tcPr>
            <w:tcW w:w="2965" w:type="dxa"/>
          </w:tcPr>
          <w:p w14:paraId="1A20DE5F" w14:textId="77777777" w:rsidR="005A295F" w:rsidRDefault="005A295F" w:rsidP="00321842">
            <w:pPr>
              <w:rPr>
                <w:rFonts w:ascii="Times New Roman" w:hAnsi="Times New Roman" w:cs="Times New Roman"/>
              </w:rPr>
            </w:pPr>
            <w:r>
              <w:rPr>
                <w:rFonts w:ascii="Times New Roman" w:hAnsi="Times New Roman" w:cs="Times New Roman"/>
              </w:rPr>
              <w:t>Extended TWFE</w:t>
            </w:r>
          </w:p>
        </w:tc>
        <w:tc>
          <w:tcPr>
            <w:tcW w:w="2250" w:type="dxa"/>
          </w:tcPr>
          <w:p w14:paraId="79FFA7BE" w14:textId="77777777" w:rsidR="005A295F" w:rsidRDefault="005A295F" w:rsidP="00321842">
            <w:pPr>
              <w:rPr>
                <w:rFonts w:ascii="Times New Roman" w:hAnsi="Times New Roman" w:cs="Times New Roman"/>
              </w:rPr>
            </w:pPr>
            <w:r>
              <w:rPr>
                <w:rFonts w:ascii="Times New Roman" w:hAnsi="Times New Roman" w:cs="Times New Roman"/>
              </w:rPr>
              <w:t>Wooldridge (2021)</w:t>
            </w:r>
          </w:p>
          <w:p w14:paraId="5FD31DEE" w14:textId="77777777" w:rsidR="005A295F" w:rsidRDefault="005A295F" w:rsidP="00321842">
            <w:pPr>
              <w:rPr>
                <w:rFonts w:ascii="Times New Roman" w:hAnsi="Times New Roman" w:cs="Times New Roman"/>
              </w:rPr>
            </w:pPr>
          </w:p>
          <w:p w14:paraId="413021AE" w14:textId="77777777" w:rsidR="005A295F" w:rsidRPr="0013162F" w:rsidRDefault="005A295F" w:rsidP="00321842">
            <w:pPr>
              <w:rPr>
                <w:rFonts w:ascii="Times New Roman" w:hAnsi="Times New Roman" w:cs="Times New Roman"/>
              </w:rPr>
            </w:pPr>
            <w:r>
              <w:rPr>
                <w:rFonts w:ascii="Times New Roman" w:hAnsi="Times New Roman" w:cs="Times New Roman"/>
                <w:i/>
                <w:iCs/>
              </w:rPr>
              <w:t xml:space="preserve">Jwdid </w:t>
            </w:r>
            <w:r>
              <w:rPr>
                <w:rFonts w:ascii="Times New Roman" w:hAnsi="Times New Roman" w:cs="Times New Roman"/>
              </w:rPr>
              <w:t xml:space="preserve">(or the TWFE estimator of </w:t>
            </w:r>
            <w:r>
              <w:rPr>
                <w:rFonts w:ascii="Times New Roman" w:hAnsi="Times New Roman" w:cs="Times New Roman"/>
                <w:i/>
                <w:iCs/>
              </w:rPr>
              <w:t>xthdidregress</w:t>
            </w:r>
            <w:r>
              <w:rPr>
                <w:rFonts w:ascii="Times New Roman" w:hAnsi="Times New Roman" w:cs="Times New Roman"/>
              </w:rPr>
              <w:t xml:space="preserve"> in Stata 18)</w:t>
            </w:r>
          </w:p>
        </w:tc>
        <w:tc>
          <w:tcPr>
            <w:tcW w:w="3600" w:type="dxa"/>
          </w:tcPr>
          <w:p w14:paraId="6E88F177" w14:textId="77777777" w:rsidR="005A295F" w:rsidRPr="00BE67A9" w:rsidRDefault="005A295F" w:rsidP="00321842">
            <w:pPr>
              <w:rPr>
                <w:rFonts w:ascii="Times New Roman" w:hAnsi="Times New Roman" w:cs="Times New Roman"/>
              </w:rPr>
            </w:pPr>
            <w:r>
              <w:rPr>
                <w:rFonts w:ascii="Times New Roman" w:hAnsi="Times New Roman" w:cs="Times New Roman"/>
              </w:rPr>
              <w:t>Utilizes a TFWE approach that can be supplemented with additional regression specifications such as unit-level time trends.</w:t>
            </w:r>
          </w:p>
        </w:tc>
        <w:tc>
          <w:tcPr>
            <w:tcW w:w="3690" w:type="dxa"/>
          </w:tcPr>
          <w:p w14:paraId="16A45998" w14:textId="77777777" w:rsidR="005A295F" w:rsidRDefault="005A295F" w:rsidP="00321842">
            <w:pPr>
              <w:rPr>
                <w:rFonts w:ascii="Times New Roman" w:hAnsi="Times New Roman" w:cs="Times New Roman"/>
              </w:rPr>
            </w:pPr>
            <w:r>
              <w:rPr>
                <w:rFonts w:ascii="Times New Roman" w:hAnsi="Times New Roman" w:cs="Times New Roman"/>
              </w:rPr>
              <w:t xml:space="preserve">Current packages do not provide support for these advantages, limiting utility of the model. This is because the model’s complexity which requires many interactions and coefficients to be computed. </w:t>
            </w:r>
          </w:p>
          <w:p w14:paraId="3A0DDD55" w14:textId="77777777" w:rsidR="005A295F" w:rsidRPr="00BE67A9" w:rsidRDefault="005A295F" w:rsidP="00321842">
            <w:pPr>
              <w:rPr>
                <w:rFonts w:ascii="Times New Roman" w:hAnsi="Times New Roman" w:cs="Times New Roman"/>
              </w:rPr>
            </w:pPr>
          </w:p>
        </w:tc>
      </w:tr>
    </w:tbl>
    <w:p w14:paraId="7EBEDEA8" w14:textId="77777777" w:rsidR="00D165B0" w:rsidRPr="00C63272" w:rsidRDefault="00D4524B" w:rsidP="00D165B0">
      <w:pPr>
        <w:pStyle w:val="Heading1"/>
      </w:pPr>
      <w:r w:rsidRPr="00C63272">
        <w:br w:type="page"/>
      </w:r>
      <w:bookmarkStart w:id="187" w:name="_Toc183282299"/>
      <w:r w:rsidR="00D165B0" w:rsidRPr="00C63272">
        <w:lastRenderedPageBreak/>
        <w:t>Appendix</w:t>
      </w:r>
      <w:r w:rsidR="00D165B0">
        <w:t xml:space="preserve"> D</w:t>
      </w:r>
      <w:bookmarkEnd w:id="187"/>
    </w:p>
    <w:p w14:paraId="7B70C2F9" w14:textId="77777777" w:rsidR="00D165B0" w:rsidRDefault="00D165B0" w:rsidP="00D165B0">
      <w:pPr>
        <w:spacing w:line="480" w:lineRule="auto"/>
        <w:jc w:val="center"/>
        <w:rPr>
          <w:rFonts w:ascii="Times New Roman" w:hAnsi="Times New Roman" w:cs="Times New Roman"/>
          <w:i/>
          <w:iCs/>
        </w:rPr>
      </w:pPr>
      <w:r>
        <w:rPr>
          <w:rFonts w:ascii="Times New Roman" w:hAnsi="Times New Roman" w:cs="Times New Roman"/>
        </w:rPr>
        <w:t>Output Logs from Stata Code</w:t>
      </w:r>
      <w:r>
        <w:rPr>
          <w:rFonts w:ascii="Times New Roman" w:hAnsi="Times New Roman" w:cs="Times New Roman"/>
          <w:i/>
          <w:iCs/>
        </w:rPr>
        <w:t xml:space="preserve"> </w:t>
      </w:r>
    </w:p>
    <w:p w14:paraId="4D46003B" w14:textId="77777777" w:rsidR="00D60D25" w:rsidRPr="00D60D25" w:rsidRDefault="00D60D25" w:rsidP="00D60D25">
      <w:pPr>
        <w:rPr>
          <w:rFonts w:ascii="Times New Roman" w:hAnsi="Times New Roman" w:cs="Times New Roman"/>
          <w:sz w:val="20"/>
          <w:szCs w:val="20"/>
        </w:rPr>
      </w:pPr>
    </w:p>
    <w:tbl>
      <w:tblPr>
        <w:tblStyle w:val="TableGrid"/>
        <w:tblW w:w="12595" w:type="dxa"/>
        <w:tblLook w:val="04A0" w:firstRow="1" w:lastRow="0" w:firstColumn="1" w:lastColumn="0" w:noHBand="0" w:noVBand="1"/>
      </w:tblPr>
      <w:tblGrid>
        <w:gridCol w:w="6295"/>
        <w:gridCol w:w="6300"/>
      </w:tblGrid>
      <w:tr w:rsidR="00D165B0" w14:paraId="25AE75F6" w14:textId="77777777" w:rsidTr="005C796F">
        <w:trPr>
          <w:trHeight w:val="2843"/>
        </w:trPr>
        <w:tc>
          <w:tcPr>
            <w:tcW w:w="6295" w:type="dxa"/>
          </w:tcPr>
          <w:p w14:paraId="27247767" w14:textId="3ACAB8E2" w:rsidR="00D60D25" w:rsidRPr="00D60D25" w:rsidRDefault="00667B94" w:rsidP="00667B94">
            <w:pPr>
              <w:rPr>
                <w:rFonts w:ascii="Times New Roman" w:hAnsi="Times New Roman" w:cs="Times New Roman"/>
                <w:b/>
                <w:bCs/>
                <w:sz w:val="18"/>
                <w:szCs w:val="18"/>
              </w:rPr>
            </w:pPr>
            <w:r w:rsidRPr="00D60D25">
              <w:rPr>
                <w:rFonts w:ascii="Times New Roman" w:hAnsi="Times New Roman" w:cs="Times New Roman"/>
                <w:b/>
                <w:bCs/>
                <w:sz w:val="18"/>
                <w:szCs w:val="18"/>
              </w:rPr>
              <w:t xml:space="preserve">Panel A: </w:t>
            </w:r>
            <w:r w:rsidR="00D60D25" w:rsidRPr="00D60D25">
              <w:rPr>
                <w:rFonts w:ascii="Times New Roman" w:hAnsi="Times New Roman" w:cs="Times New Roman"/>
                <w:b/>
                <w:bCs/>
                <w:sz w:val="18"/>
                <w:szCs w:val="18"/>
              </w:rPr>
              <w:t xml:space="preserve">All Sub-Baccalaureate Granting Institutions Sample </w:t>
            </w:r>
          </w:p>
          <w:p w14:paraId="2F952490" w14:textId="77777777" w:rsidR="00D60D25" w:rsidRPr="00D60D25" w:rsidRDefault="00D60D25" w:rsidP="00667B94">
            <w:pPr>
              <w:rPr>
                <w:rFonts w:ascii="Times New Roman" w:hAnsi="Times New Roman" w:cs="Times New Roman"/>
                <w:b/>
                <w:bCs/>
                <w:sz w:val="18"/>
                <w:szCs w:val="18"/>
              </w:rPr>
            </w:pPr>
          </w:p>
          <w:p w14:paraId="05E90510" w14:textId="77777777" w:rsidR="00FD4AC7" w:rsidRPr="00D60D25" w:rsidRDefault="00FD4AC7" w:rsidP="00FD4AC7">
            <w:pPr>
              <w:jc w:val="center"/>
              <w:rPr>
                <w:rFonts w:ascii="Times New Roman" w:hAnsi="Times New Roman" w:cs="Times New Roman"/>
                <w:sz w:val="18"/>
                <w:szCs w:val="18"/>
              </w:rPr>
            </w:pPr>
            <w:r w:rsidRPr="00D60D25">
              <w:rPr>
                <w:rFonts w:ascii="Times New Roman" w:hAnsi="Times New Roman" w:cs="Times New Roman"/>
                <w:noProof/>
                <w:sz w:val="18"/>
                <w:szCs w:val="18"/>
              </w:rPr>
              <w:drawing>
                <wp:inline distT="0" distB="0" distL="0" distR="0" wp14:anchorId="17B8CA7C" wp14:editId="3124862F">
                  <wp:extent cx="685800" cy="685800"/>
                  <wp:effectExtent l="0" t="0" r="0" b="0"/>
                  <wp:docPr id="1356793890"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793890" name="Picture 1" descr="A qr code on a white background&#10;&#10;Description automatically generated"/>
                          <pic:cNvPicPr/>
                        </pic:nvPicPr>
                        <pic:blipFill>
                          <a:blip r:embed="rId36"/>
                          <a:stretch>
                            <a:fillRect/>
                          </a:stretch>
                        </pic:blipFill>
                        <pic:spPr>
                          <a:xfrm>
                            <a:off x="0" y="0"/>
                            <a:ext cx="700220" cy="700220"/>
                          </a:xfrm>
                          <a:prstGeom prst="rect">
                            <a:avLst/>
                          </a:prstGeom>
                        </pic:spPr>
                      </pic:pic>
                    </a:graphicData>
                  </a:graphic>
                </wp:inline>
              </w:drawing>
            </w:r>
          </w:p>
          <w:p w14:paraId="5773FCDF" w14:textId="77777777" w:rsidR="00FD4AC7" w:rsidRPr="00D60D25" w:rsidRDefault="00FD4AC7" w:rsidP="00FD4AC7">
            <w:pPr>
              <w:jc w:val="center"/>
              <w:rPr>
                <w:rFonts w:ascii="Times New Roman" w:hAnsi="Times New Roman" w:cs="Times New Roman"/>
                <w:sz w:val="18"/>
                <w:szCs w:val="18"/>
              </w:rPr>
            </w:pPr>
            <w:hyperlink r:id="rId37" w:history="1">
              <w:r w:rsidRPr="00D60D25">
                <w:rPr>
                  <w:rStyle w:val="Hyperlink"/>
                  <w:rFonts w:ascii="Times New Roman" w:hAnsi="Times New Roman" w:cs="Times New Roman"/>
                  <w:sz w:val="18"/>
                  <w:szCs w:val="18"/>
                </w:rPr>
                <w:t>https://drive.google.com/file/d/18djgZxwWpx-zc0M5ToEKu7gYHo2DTo-S/view?usp=sharing</w:t>
              </w:r>
            </w:hyperlink>
            <w:r w:rsidRPr="00D60D25">
              <w:rPr>
                <w:rFonts w:ascii="Times New Roman" w:hAnsi="Times New Roman" w:cs="Times New Roman"/>
                <w:sz w:val="18"/>
                <w:szCs w:val="18"/>
              </w:rPr>
              <w:t xml:space="preserve"> </w:t>
            </w:r>
          </w:p>
          <w:p w14:paraId="032F1FA5" w14:textId="5E1C5DC9" w:rsidR="00D165B0" w:rsidRPr="00D60D25" w:rsidRDefault="00D165B0" w:rsidP="00D165B0">
            <w:pPr>
              <w:jc w:val="center"/>
              <w:rPr>
                <w:rFonts w:ascii="Times New Roman" w:hAnsi="Times New Roman" w:cs="Times New Roman"/>
                <w:i/>
                <w:iCs/>
                <w:sz w:val="18"/>
                <w:szCs w:val="18"/>
              </w:rPr>
            </w:pPr>
          </w:p>
        </w:tc>
        <w:tc>
          <w:tcPr>
            <w:tcW w:w="6300" w:type="dxa"/>
          </w:tcPr>
          <w:p w14:paraId="00341DA2" w14:textId="438E59D3" w:rsidR="00D60D25" w:rsidRPr="00D60D25" w:rsidRDefault="00D60D25" w:rsidP="00D60D25">
            <w:pPr>
              <w:rPr>
                <w:rFonts w:ascii="Times New Roman" w:hAnsi="Times New Roman" w:cs="Times New Roman"/>
                <w:b/>
                <w:bCs/>
                <w:sz w:val="18"/>
                <w:szCs w:val="18"/>
              </w:rPr>
            </w:pPr>
            <w:r w:rsidRPr="00D60D25">
              <w:rPr>
                <w:rFonts w:ascii="Times New Roman" w:hAnsi="Times New Roman" w:cs="Times New Roman"/>
                <w:b/>
                <w:bCs/>
                <w:sz w:val="18"/>
                <w:szCs w:val="18"/>
              </w:rPr>
              <w:t>Panel B: Non-Profit Sub-Baccalaureate Granting Institutions Sample</w:t>
            </w:r>
          </w:p>
          <w:p w14:paraId="63824746" w14:textId="77777777" w:rsidR="00D60D25" w:rsidRPr="00D60D25" w:rsidRDefault="00D60D25" w:rsidP="00D60D25">
            <w:pPr>
              <w:jc w:val="center"/>
              <w:rPr>
                <w:rFonts w:ascii="Times New Roman" w:hAnsi="Times New Roman" w:cs="Times New Roman"/>
                <w:sz w:val="18"/>
                <w:szCs w:val="18"/>
              </w:rPr>
            </w:pPr>
          </w:p>
          <w:p w14:paraId="46CEE554" w14:textId="641B23AA" w:rsidR="00D60D25" w:rsidRPr="00D60D25" w:rsidRDefault="00D60D25" w:rsidP="00D60D25">
            <w:pPr>
              <w:jc w:val="center"/>
              <w:rPr>
                <w:rFonts w:ascii="Times New Roman" w:hAnsi="Times New Roman" w:cs="Times New Roman"/>
                <w:sz w:val="18"/>
                <w:szCs w:val="18"/>
              </w:rPr>
            </w:pPr>
            <w:r w:rsidRPr="00D60D25">
              <w:rPr>
                <w:rFonts w:ascii="Times New Roman" w:hAnsi="Times New Roman" w:cs="Times New Roman"/>
                <w:noProof/>
                <w:sz w:val="18"/>
                <w:szCs w:val="18"/>
              </w:rPr>
              <w:drawing>
                <wp:inline distT="0" distB="0" distL="0" distR="0" wp14:anchorId="6E525C85" wp14:editId="70004DD3">
                  <wp:extent cx="685800" cy="685800"/>
                  <wp:effectExtent l="0" t="0" r="0" b="0"/>
                  <wp:docPr id="1765192407"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92407" name="Picture 1" descr="A qr code on a white background&#10;&#10;Description automatically generated"/>
                          <pic:cNvPicPr/>
                        </pic:nvPicPr>
                        <pic:blipFill>
                          <a:blip r:embed="rId38"/>
                          <a:stretch>
                            <a:fillRect/>
                          </a:stretch>
                        </pic:blipFill>
                        <pic:spPr>
                          <a:xfrm>
                            <a:off x="0" y="0"/>
                            <a:ext cx="700124" cy="700124"/>
                          </a:xfrm>
                          <a:prstGeom prst="rect">
                            <a:avLst/>
                          </a:prstGeom>
                        </pic:spPr>
                      </pic:pic>
                    </a:graphicData>
                  </a:graphic>
                </wp:inline>
              </w:drawing>
            </w:r>
          </w:p>
          <w:p w14:paraId="73552D0E" w14:textId="685370CC" w:rsidR="00D165B0" w:rsidRPr="00D60D25" w:rsidRDefault="00D60D25" w:rsidP="00D60D25">
            <w:pPr>
              <w:jc w:val="center"/>
              <w:rPr>
                <w:rFonts w:ascii="Times New Roman" w:hAnsi="Times New Roman" w:cs="Times New Roman"/>
                <w:sz w:val="18"/>
                <w:szCs w:val="18"/>
              </w:rPr>
            </w:pPr>
            <w:hyperlink r:id="rId39" w:history="1">
              <w:r w:rsidRPr="00D60D25">
                <w:rPr>
                  <w:rStyle w:val="Hyperlink"/>
                  <w:rFonts w:ascii="Times New Roman" w:hAnsi="Times New Roman" w:cs="Times New Roman"/>
                  <w:sz w:val="18"/>
                  <w:szCs w:val="18"/>
                </w:rPr>
                <w:t>https://drive.google.com/file/d/1qmVZv-qmDVyu5GmmUaA4_o1ZVrUBd6O7/view?usp=sharing</w:t>
              </w:r>
            </w:hyperlink>
          </w:p>
        </w:tc>
      </w:tr>
      <w:tr w:rsidR="00D165B0" w14:paraId="23847CB6" w14:textId="77777777" w:rsidTr="00D165B0">
        <w:tc>
          <w:tcPr>
            <w:tcW w:w="6295" w:type="dxa"/>
          </w:tcPr>
          <w:p w14:paraId="43DC1331" w14:textId="25908D42" w:rsidR="00D60D25" w:rsidRPr="00D60D25" w:rsidRDefault="00D60D25" w:rsidP="00D60D25">
            <w:pPr>
              <w:rPr>
                <w:rFonts w:ascii="Times New Roman" w:hAnsi="Times New Roman" w:cs="Times New Roman"/>
                <w:b/>
                <w:bCs/>
                <w:sz w:val="18"/>
                <w:szCs w:val="18"/>
              </w:rPr>
            </w:pPr>
            <w:r w:rsidRPr="00D60D25">
              <w:rPr>
                <w:rFonts w:ascii="Times New Roman" w:hAnsi="Times New Roman" w:cs="Times New Roman"/>
                <w:b/>
                <w:bCs/>
                <w:sz w:val="18"/>
                <w:szCs w:val="18"/>
              </w:rPr>
              <w:t>Panel C: Public Sub-Baccalaureate Granting Institutions Sample</w:t>
            </w:r>
          </w:p>
          <w:p w14:paraId="59773039" w14:textId="77777777" w:rsidR="00D60D25" w:rsidRPr="00D60D25" w:rsidRDefault="00D60D25" w:rsidP="00D60D25">
            <w:pPr>
              <w:rPr>
                <w:rFonts w:ascii="Times New Roman" w:hAnsi="Times New Roman" w:cs="Times New Roman"/>
                <w:sz w:val="18"/>
                <w:szCs w:val="18"/>
              </w:rPr>
            </w:pPr>
          </w:p>
          <w:p w14:paraId="2F544A98" w14:textId="77777777" w:rsidR="00D60D25" w:rsidRPr="00D60D25" w:rsidRDefault="00D60D25" w:rsidP="00D60D25">
            <w:pPr>
              <w:jc w:val="center"/>
              <w:rPr>
                <w:rFonts w:ascii="Times New Roman" w:hAnsi="Times New Roman" w:cs="Times New Roman"/>
                <w:sz w:val="18"/>
                <w:szCs w:val="18"/>
              </w:rPr>
            </w:pPr>
            <w:r w:rsidRPr="00D60D25">
              <w:rPr>
                <w:rFonts w:ascii="Times New Roman" w:hAnsi="Times New Roman" w:cs="Times New Roman"/>
                <w:noProof/>
                <w:sz w:val="18"/>
                <w:szCs w:val="18"/>
              </w:rPr>
              <w:drawing>
                <wp:inline distT="0" distB="0" distL="0" distR="0" wp14:anchorId="5B072480" wp14:editId="281BD7CF">
                  <wp:extent cx="685800" cy="685800"/>
                  <wp:effectExtent l="0" t="0" r="0" b="0"/>
                  <wp:docPr id="103835592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55925" name="Picture 1" descr="A qr code on a white background&#10;&#10;Description automatically generated"/>
                          <pic:cNvPicPr/>
                        </pic:nvPicPr>
                        <pic:blipFill>
                          <a:blip r:embed="rId40"/>
                          <a:stretch>
                            <a:fillRect/>
                          </a:stretch>
                        </pic:blipFill>
                        <pic:spPr>
                          <a:xfrm>
                            <a:off x="0" y="0"/>
                            <a:ext cx="697976" cy="697976"/>
                          </a:xfrm>
                          <a:prstGeom prst="rect">
                            <a:avLst/>
                          </a:prstGeom>
                        </pic:spPr>
                      </pic:pic>
                    </a:graphicData>
                  </a:graphic>
                </wp:inline>
              </w:drawing>
            </w:r>
            <w:r w:rsidRPr="00D60D25">
              <w:rPr>
                <w:rFonts w:ascii="Times New Roman" w:hAnsi="Times New Roman" w:cs="Times New Roman"/>
                <w:sz w:val="18"/>
                <w:szCs w:val="18"/>
              </w:rPr>
              <w:t xml:space="preserve"> </w:t>
            </w:r>
          </w:p>
          <w:p w14:paraId="2878A0FC" w14:textId="4FBE8528" w:rsidR="00D165B0" w:rsidRPr="00D60D25" w:rsidRDefault="00D60D25" w:rsidP="00D60D25">
            <w:pPr>
              <w:jc w:val="center"/>
              <w:rPr>
                <w:rFonts w:ascii="Times New Roman" w:hAnsi="Times New Roman" w:cs="Times New Roman"/>
                <w:i/>
                <w:iCs/>
                <w:sz w:val="18"/>
                <w:szCs w:val="18"/>
              </w:rPr>
            </w:pPr>
            <w:hyperlink r:id="rId41" w:history="1">
              <w:r w:rsidRPr="00D60D25">
                <w:rPr>
                  <w:rStyle w:val="Hyperlink"/>
                  <w:rFonts w:ascii="Times New Roman" w:hAnsi="Times New Roman" w:cs="Times New Roman"/>
                  <w:sz w:val="18"/>
                  <w:szCs w:val="18"/>
                </w:rPr>
                <w:t>https://drive.google.com/file/d/1q7TKV1mJOlbwj37zHggo2_8t_xydCuM-/view?usp=sharing</w:t>
              </w:r>
            </w:hyperlink>
          </w:p>
        </w:tc>
        <w:tc>
          <w:tcPr>
            <w:tcW w:w="6300" w:type="dxa"/>
          </w:tcPr>
          <w:p w14:paraId="45E836A1" w14:textId="32FF3DA4" w:rsidR="00D60D25" w:rsidRPr="00D60D25" w:rsidRDefault="00D60D25" w:rsidP="00D60D25">
            <w:pPr>
              <w:rPr>
                <w:rFonts w:ascii="Times New Roman" w:hAnsi="Times New Roman" w:cs="Times New Roman"/>
                <w:b/>
                <w:bCs/>
                <w:sz w:val="18"/>
                <w:szCs w:val="18"/>
              </w:rPr>
            </w:pPr>
            <w:r w:rsidRPr="00D60D25">
              <w:rPr>
                <w:rFonts w:ascii="Times New Roman" w:hAnsi="Times New Roman" w:cs="Times New Roman"/>
                <w:b/>
                <w:bCs/>
                <w:sz w:val="18"/>
                <w:szCs w:val="18"/>
              </w:rPr>
              <w:t>Panel D: State-Funded Sub-Baccalaureate Granting Institutions Sample</w:t>
            </w:r>
          </w:p>
          <w:p w14:paraId="14FDC8B1" w14:textId="77777777" w:rsidR="00D60D25" w:rsidRPr="00D60D25" w:rsidRDefault="00D60D25" w:rsidP="00D60D25">
            <w:pPr>
              <w:rPr>
                <w:rFonts w:ascii="Times New Roman" w:hAnsi="Times New Roman" w:cs="Times New Roman"/>
                <w:b/>
                <w:bCs/>
                <w:sz w:val="18"/>
                <w:szCs w:val="18"/>
              </w:rPr>
            </w:pPr>
          </w:p>
          <w:p w14:paraId="0146D1F9" w14:textId="79E0F371" w:rsidR="00FD4AC7" w:rsidRPr="00D60D25" w:rsidRDefault="00FD4AC7" w:rsidP="00FD4AC7">
            <w:pPr>
              <w:jc w:val="center"/>
              <w:rPr>
                <w:rFonts w:ascii="Times New Roman" w:hAnsi="Times New Roman" w:cs="Times New Roman"/>
                <w:i/>
                <w:iCs/>
                <w:sz w:val="18"/>
                <w:szCs w:val="18"/>
              </w:rPr>
            </w:pPr>
            <w:r w:rsidRPr="00D60D25">
              <w:rPr>
                <w:rFonts w:ascii="Times New Roman" w:hAnsi="Times New Roman" w:cs="Times New Roman"/>
                <w:i/>
                <w:iCs/>
                <w:noProof/>
                <w:sz w:val="18"/>
                <w:szCs w:val="18"/>
              </w:rPr>
              <w:drawing>
                <wp:inline distT="0" distB="0" distL="0" distR="0" wp14:anchorId="2180E951" wp14:editId="01EB1915">
                  <wp:extent cx="685800" cy="685800"/>
                  <wp:effectExtent l="0" t="0" r="0" b="0"/>
                  <wp:docPr id="790791876"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91876" name="Picture 1" descr="A qr code on a white background&#10;&#10;Description automatically generated"/>
                          <pic:cNvPicPr/>
                        </pic:nvPicPr>
                        <pic:blipFill>
                          <a:blip r:embed="rId42"/>
                          <a:stretch>
                            <a:fillRect/>
                          </a:stretch>
                        </pic:blipFill>
                        <pic:spPr>
                          <a:xfrm>
                            <a:off x="0" y="0"/>
                            <a:ext cx="711418" cy="711418"/>
                          </a:xfrm>
                          <a:prstGeom prst="rect">
                            <a:avLst/>
                          </a:prstGeom>
                        </pic:spPr>
                      </pic:pic>
                    </a:graphicData>
                  </a:graphic>
                </wp:inline>
              </w:drawing>
            </w:r>
          </w:p>
          <w:p w14:paraId="7E231909" w14:textId="14F1F641" w:rsidR="00D165B0" w:rsidRPr="00D60D25" w:rsidRDefault="00FD4AC7" w:rsidP="00FD4AC7">
            <w:pPr>
              <w:jc w:val="center"/>
              <w:rPr>
                <w:rFonts w:ascii="Times New Roman" w:hAnsi="Times New Roman" w:cs="Times New Roman"/>
                <w:i/>
                <w:iCs/>
                <w:sz w:val="18"/>
                <w:szCs w:val="18"/>
              </w:rPr>
            </w:pPr>
            <w:hyperlink r:id="rId43" w:history="1">
              <w:r w:rsidRPr="00D60D25">
                <w:rPr>
                  <w:rStyle w:val="Hyperlink"/>
                  <w:rFonts w:ascii="Times New Roman" w:hAnsi="Times New Roman" w:cs="Times New Roman"/>
                  <w:sz w:val="18"/>
                  <w:szCs w:val="18"/>
                </w:rPr>
                <w:t>https://drive.google.com/file/d/1JkPRNYULpNSEoO4Bm-Lrq8QIYX4KzYIx/view?usp=sharing</w:t>
              </w:r>
            </w:hyperlink>
          </w:p>
        </w:tc>
      </w:tr>
    </w:tbl>
    <w:p w14:paraId="63F8031C" w14:textId="77777777" w:rsidR="00D4524B" w:rsidRDefault="00D4524B" w:rsidP="00AB3075">
      <w:pPr>
        <w:rPr>
          <w:rFonts w:ascii="Times New Roman" w:hAnsi="Times New Roman" w:cs="Times New Roman"/>
        </w:rPr>
      </w:pPr>
    </w:p>
    <w:p w14:paraId="20ABF067" w14:textId="77777777" w:rsidR="00334A8E" w:rsidRPr="004C564E" w:rsidRDefault="00334A8E" w:rsidP="00334A8E">
      <w:pPr>
        <w:pStyle w:val="TableofFigs"/>
        <w:spacing w:line="240" w:lineRule="auto"/>
      </w:pPr>
      <w:bookmarkStart w:id="188" w:name="_Toc180144606"/>
      <w:r w:rsidRPr="004C564E">
        <w:t xml:space="preserve">Figure </w:t>
      </w:r>
      <w:r>
        <w:t>26</w:t>
      </w:r>
      <w:bookmarkEnd w:id="188"/>
    </w:p>
    <w:p w14:paraId="7F326F83" w14:textId="77777777" w:rsidR="00334A8E" w:rsidRDefault="00334A8E" w:rsidP="00334A8E">
      <w:pPr>
        <w:rPr>
          <w:rFonts w:ascii="Times New Roman" w:hAnsi="Times New Roman" w:cs="Times New Roman"/>
          <w:i/>
          <w:iCs/>
        </w:rPr>
      </w:pPr>
      <w:r w:rsidRPr="00667B94">
        <w:rPr>
          <w:rFonts w:ascii="Times New Roman" w:hAnsi="Times New Roman" w:cs="Times New Roman"/>
          <w:i/>
          <w:iCs/>
        </w:rPr>
        <w:t xml:space="preserve">Output Logs from Stata Code </w:t>
      </w:r>
    </w:p>
    <w:p w14:paraId="6F75FCE9" w14:textId="331A8811" w:rsidR="00D60D25" w:rsidRDefault="00D60D25" w:rsidP="00AB3075">
      <w:pPr>
        <w:rPr>
          <w:rFonts w:ascii="Times New Roman" w:hAnsi="Times New Roman" w:cs="Times New Roman"/>
        </w:rPr>
      </w:pPr>
      <w:r>
        <w:rPr>
          <w:rFonts w:ascii="Times New Roman" w:hAnsi="Times New Roman" w:cs="Times New Roman"/>
        </w:rPr>
        <w:t>Presented as both QR codes and links to an unrestricted access</w:t>
      </w:r>
      <w:r w:rsidR="00AB3075">
        <w:rPr>
          <w:rFonts w:ascii="Times New Roman" w:hAnsi="Times New Roman" w:cs="Times New Roman"/>
        </w:rPr>
        <w:t xml:space="preserve"> Google Drive repository, I provide the output logs for my research project. Note that Panel C </w:t>
      </w:r>
      <w:r w:rsidR="005D17CF">
        <w:rPr>
          <w:rFonts w:ascii="Times New Roman" w:hAnsi="Times New Roman" w:cs="Times New Roman"/>
        </w:rPr>
        <w:t xml:space="preserve">contains the results specifically discussed by this manuscript while Panels A, B, and D link to the three other samples </w:t>
      </w:r>
      <w:r w:rsidR="00CA0D78">
        <w:rPr>
          <w:rFonts w:ascii="Times New Roman" w:hAnsi="Times New Roman" w:cs="Times New Roman"/>
        </w:rPr>
        <w:t xml:space="preserve">that were considered for final analysis in this dissertation. </w:t>
      </w:r>
    </w:p>
    <w:p w14:paraId="50F18DFB" w14:textId="77777777" w:rsidR="00D60D25" w:rsidRDefault="00D60D25" w:rsidP="00D4524B">
      <w:pPr>
        <w:spacing w:line="480" w:lineRule="auto"/>
        <w:rPr>
          <w:rFonts w:ascii="Times New Roman" w:hAnsi="Times New Roman" w:cs="Times New Roman"/>
        </w:rPr>
      </w:pPr>
    </w:p>
    <w:p w14:paraId="45436D38" w14:textId="49BA186E" w:rsidR="00D60D25" w:rsidRDefault="00D60D25" w:rsidP="00D4524B">
      <w:pPr>
        <w:spacing w:line="480" w:lineRule="auto"/>
        <w:rPr>
          <w:rFonts w:ascii="Times New Roman" w:hAnsi="Times New Roman" w:cs="Times New Roman"/>
        </w:rPr>
        <w:sectPr w:rsidR="00D60D25" w:rsidSect="00A53EA7">
          <w:pgSz w:w="15840" w:h="12240" w:orient="landscape" w:code="1"/>
          <w:pgMar w:top="1800" w:right="1440" w:bottom="1800" w:left="1872" w:header="720" w:footer="1440" w:gutter="0"/>
          <w:cols w:space="720"/>
          <w:noEndnote/>
          <w:docGrid w:linePitch="360"/>
        </w:sectPr>
      </w:pPr>
    </w:p>
    <w:p w14:paraId="366D1297" w14:textId="4408DEB5" w:rsidR="00FE2AA9" w:rsidRPr="00FE2AA9" w:rsidRDefault="00461EBF" w:rsidP="00FE2AA9">
      <w:pPr>
        <w:pStyle w:val="Heading1"/>
      </w:pPr>
      <w:bookmarkStart w:id="189" w:name="_Toc183282300"/>
      <w:r w:rsidRPr="00C63272">
        <w:lastRenderedPageBreak/>
        <w:t>Appendix</w:t>
      </w:r>
      <w:r>
        <w:t xml:space="preserve"> E</w:t>
      </w:r>
      <w:bookmarkEnd w:id="189"/>
    </w:p>
    <w:p w14:paraId="14ABB8D9" w14:textId="15358D86" w:rsidR="00EC3E7D" w:rsidRDefault="00461EBF" w:rsidP="00FE2AA9">
      <w:pPr>
        <w:spacing w:line="480" w:lineRule="auto"/>
        <w:jc w:val="center"/>
        <w:rPr>
          <w:rFonts w:ascii="Times New Roman" w:hAnsi="Times New Roman" w:cs="Times New Roman"/>
        </w:rPr>
      </w:pPr>
      <w:r>
        <w:rPr>
          <w:rFonts w:ascii="Times New Roman" w:hAnsi="Times New Roman" w:cs="Times New Roman"/>
        </w:rPr>
        <w:t>Pre-treatment Trends Coefficient Tests of Significance</w:t>
      </w:r>
    </w:p>
    <w:p w14:paraId="5CB5B099" w14:textId="6D590F7F" w:rsidR="005D155E" w:rsidRPr="00245787" w:rsidRDefault="005D155E" w:rsidP="00334A8E">
      <w:pPr>
        <w:pStyle w:val="Caption"/>
        <w:spacing w:before="0" w:after="0" w:line="240" w:lineRule="auto"/>
      </w:pPr>
      <w:bookmarkStart w:id="190" w:name="_Toc179888487"/>
      <w:bookmarkStart w:id="191" w:name="_Toc181297768"/>
      <w:bookmarkStart w:id="192" w:name="_Toc180144575"/>
      <w:r w:rsidRPr="00245787">
        <w:t xml:space="preserve">Table </w:t>
      </w:r>
      <w:r>
        <w:t>13</w:t>
      </w:r>
      <w:bookmarkEnd w:id="190"/>
      <w:bookmarkEnd w:id="191"/>
      <w:bookmarkEnd w:id="192"/>
    </w:p>
    <w:p w14:paraId="4144CC8D" w14:textId="7970C775" w:rsidR="005D155E" w:rsidRDefault="005D155E" w:rsidP="00334A8E">
      <w:pPr>
        <w:rPr>
          <w:rFonts w:ascii="Times New Roman" w:hAnsi="Times New Roman" w:cs="Times New Roman"/>
          <w:i/>
          <w:iCs/>
        </w:rPr>
      </w:pPr>
      <w:r>
        <w:rPr>
          <w:rFonts w:ascii="Times New Roman" w:hAnsi="Times New Roman" w:cs="Times New Roman"/>
          <w:i/>
          <w:iCs/>
        </w:rPr>
        <w:t xml:space="preserve">Significance Pre-treatment Parallel Trends – Individual Period Test at </w:t>
      </w:r>
      <w:r w:rsidR="006E100A">
        <w:rPr>
          <w:rFonts w:ascii="Times New Roman" w:hAnsi="Times New Roman" w:cs="Times New Roman"/>
          <w:i/>
          <w:iCs/>
        </w:rPr>
        <w:t>State-Funded</w:t>
      </w:r>
      <w:r>
        <w:rPr>
          <w:rFonts w:ascii="Times New Roman" w:hAnsi="Times New Roman" w:cs="Times New Roman"/>
          <w:i/>
          <w:iCs/>
        </w:rPr>
        <w:t xml:space="preserve"> Institutions Only </w:t>
      </w:r>
    </w:p>
    <w:p w14:paraId="07681771" w14:textId="77777777" w:rsidR="005D155E" w:rsidRDefault="005D155E" w:rsidP="00FE2AA9">
      <w:pPr>
        <w:rPr>
          <w:rFonts w:ascii="Times New Roman" w:hAnsi="Times New Roman" w:cs="Times New Roman"/>
          <w:i/>
          <w:iCs/>
        </w:rPr>
      </w:pPr>
    </w:p>
    <w:tbl>
      <w:tblPr>
        <w:tblStyle w:val="TableGrid"/>
        <w:tblW w:w="0" w:type="auto"/>
        <w:tblLook w:val="04A0" w:firstRow="1" w:lastRow="0" w:firstColumn="1" w:lastColumn="0" w:noHBand="0" w:noVBand="1"/>
      </w:tblPr>
      <w:tblGrid>
        <w:gridCol w:w="2157"/>
        <w:gridCol w:w="1888"/>
        <w:gridCol w:w="2427"/>
        <w:gridCol w:w="2158"/>
      </w:tblGrid>
      <w:tr w:rsidR="005D155E" w14:paraId="50885D59" w14:textId="77777777" w:rsidTr="005A295F">
        <w:tc>
          <w:tcPr>
            <w:tcW w:w="2157" w:type="dxa"/>
          </w:tcPr>
          <w:p w14:paraId="3F57F1D7" w14:textId="77777777" w:rsidR="005D155E" w:rsidRPr="00D2786A" w:rsidRDefault="005D155E" w:rsidP="006B7087">
            <w:pPr>
              <w:rPr>
                <w:rFonts w:ascii="Times New Roman" w:hAnsi="Times New Roman" w:cs="Times New Roman"/>
              </w:rPr>
            </w:pPr>
          </w:p>
        </w:tc>
        <w:tc>
          <w:tcPr>
            <w:tcW w:w="1888" w:type="dxa"/>
          </w:tcPr>
          <w:p w14:paraId="2BE589E4" w14:textId="77777777" w:rsidR="005D155E" w:rsidRPr="00D2786A" w:rsidRDefault="005D155E" w:rsidP="006B7087">
            <w:pPr>
              <w:rPr>
                <w:rFonts w:ascii="Times New Roman" w:hAnsi="Times New Roman" w:cs="Times New Roman"/>
              </w:rPr>
            </w:pPr>
            <w:r w:rsidRPr="00D2786A">
              <w:rPr>
                <w:rFonts w:ascii="Times New Roman" w:hAnsi="Times New Roman" w:cs="Times New Roman"/>
              </w:rPr>
              <w:t>Ordinary Least Squares</w:t>
            </w:r>
          </w:p>
        </w:tc>
        <w:tc>
          <w:tcPr>
            <w:tcW w:w="2427" w:type="dxa"/>
          </w:tcPr>
          <w:p w14:paraId="1FE7BFEE" w14:textId="77777777" w:rsidR="005D155E" w:rsidRPr="00D2786A" w:rsidRDefault="005D155E" w:rsidP="006B7087">
            <w:pPr>
              <w:rPr>
                <w:rFonts w:ascii="Times New Roman" w:hAnsi="Times New Roman" w:cs="Times New Roman"/>
              </w:rPr>
            </w:pPr>
            <w:r w:rsidRPr="00D2786A">
              <w:rPr>
                <w:rFonts w:ascii="Times New Roman" w:hAnsi="Times New Roman" w:cs="Times New Roman"/>
              </w:rPr>
              <w:t>Sun &amp; Abraham (Event Study Interact)</w:t>
            </w:r>
          </w:p>
        </w:tc>
        <w:tc>
          <w:tcPr>
            <w:tcW w:w="2158" w:type="dxa"/>
          </w:tcPr>
          <w:p w14:paraId="18BAC79C" w14:textId="77777777" w:rsidR="005D155E" w:rsidRPr="00D2786A" w:rsidRDefault="005D155E" w:rsidP="006B7087">
            <w:pPr>
              <w:rPr>
                <w:rFonts w:ascii="Times New Roman" w:hAnsi="Times New Roman" w:cs="Times New Roman"/>
              </w:rPr>
            </w:pPr>
            <w:r w:rsidRPr="00D2786A">
              <w:rPr>
                <w:rFonts w:ascii="Times New Roman" w:hAnsi="Times New Roman" w:cs="Times New Roman"/>
              </w:rPr>
              <w:t>Borusyak et al (DID Imputation)</w:t>
            </w:r>
          </w:p>
        </w:tc>
      </w:tr>
      <w:tr w:rsidR="00FE2AA9" w14:paraId="6EB28958" w14:textId="77777777" w:rsidTr="005A295F">
        <w:tc>
          <w:tcPr>
            <w:tcW w:w="2157" w:type="dxa"/>
          </w:tcPr>
          <w:p w14:paraId="1A720995"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All Awards</w:t>
            </w:r>
          </w:p>
        </w:tc>
        <w:tc>
          <w:tcPr>
            <w:tcW w:w="1888" w:type="dxa"/>
          </w:tcPr>
          <w:p w14:paraId="69CED604" w14:textId="77777777" w:rsidR="00A11527" w:rsidRPr="00A11527" w:rsidRDefault="00A11527" w:rsidP="00A11527">
            <w:pPr>
              <w:rPr>
                <w:rFonts w:ascii="Times New Roman" w:hAnsi="Times New Roman" w:cs="Times New Roman"/>
                <w:color w:val="000000"/>
                <w:sz w:val="15"/>
                <w:szCs w:val="15"/>
              </w:rPr>
            </w:pPr>
            <w:r w:rsidRPr="00A11527">
              <w:rPr>
                <w:rFonts w:ascii="Times New Roman" w:hAnsi="Times New Roman" w:cs="Times New Roman"/>
                <w:color w:val="000000"/>
                <w:sz w:val="15"/>
                <w:szCs w:val="15"/>
              </w:rPr>
              <w:t>0.194</w:t>
            </w:r>
          </w:p>
          <w:p w14:paraId="0064133C" w14:textId="77777777" w:rsidR="00A11527" w:rsidRPr="00A11527" w:rsidRDefault="00A11527" w:rsidP="00A11527">
            <w:pPr>
              <w:rPr>
                <w:rFonts w:ascii="Times New Roman" w:hAnsi="Times New Roman" w:cs="Times New Roman"/>
                <w:color w:val="000000"/>
                <w:sz w:val="15"/>
                <w:szCs w:val="15"/>
              </w:rPr>
            </w:pPr>
            <w:r w:rsidRPr="00A11527">
              <w:rPr>
                <w:rFonts w:ascii="Times New Roman" w:hAnsi="Times New Roman" w:cs="Times New Roman"/>
                <w:color w:val="000000"/>
                <w:sz w:val="15"/>
                <w:szCs w:val="15"/>
              </w:rPr>
              <w:t>0.823</w:t>
            </w:r>
          </w:p>
          <w:p w14:paraId="00AC172F" w14:textId="77777777" w:rsidR="00A11527" w:rsidRPr="00A11527" w:rsidRDefault="00A11527" w:rsidP="00A11527">
            <w:pPr>
              <w:rPr>
                <w:rFonts w:ascii="Times New Roman" w:hAnsi="Times New Roman" w:cs="Times New Roman"/>
                <w:color w:val="000000"/>
                <w:sz w:val="15"/>
                <w:szCs w:val="15"/>
              </w:rPr>
            </w:pPr>
            <w:r w:rsidRPr="00A11527">
              <w:rPr>
                <w:rFonts w:ascii="Times New Roman" w:hAnsi="Times New Roman" w:cs="Times New Roman"/>
                <w:color w:val="000000"/>
                <w:sz w:val="15"/>
                <w:szCs w:val="15"/>
              </w:rPr>
              <w:t>0.739</w:t>
            </w:r>
          </w:p>
          <w:p w14:paraId="361649E4" w14:textId="77777777" w:rsidR="00A11527" w:rsidRPr="00A11527" w:rsidRDefault="00A11527" w:rsidP="00A11527">
            <w:pPr>
              <w:rPr>
                <w:rFonts w:ascii="Times New Roman" w:hAnsi="Times New Roman" w:cs="Times New Roman"/>
                <w:color w:val="000000"/>
                <w:sz w:val="15"/>
                <w:szCs w:val="15"/>
              </w:rPr>
            </w:pPr>
            <w:r w:rsidRPr="00A11527">
              <w:rPr>
                <w:rFonts w:ascii="Times New Roman" w:hAnsi="Times New Roman" w:cs="Times New Roman"/>
                <w:color w:val="000000"/>
                <w:sz w:val="15"/>
                <w:szCs w:val="15"/>
              </w:rPr>
              <w:t>0.211</w:t>
            </w:r>
          </w:p>
          <w:p w14:paraId="033F2F41" w14:textId="31380081" w:rsidR="00FE2AA9" w:rsidRPr="00FE2AA9" w:rsidRDefault="00A11527" w:rsidP="00FE2AA9">
            <w:pPr>
              <w:rPr>
                <w:rFonts w:ascii="Times New Roman" w:hAnsi="Times New Roman" w:cs="Times New Roman"/>
                <w:color w:val="000000"/>
                <w:sz w:val="15"/>
                <w:szCs w:val="15"/>
              </w:rPr>
            </w:pPr>
            <w:r w:rsidRPr="00A11527">
              <w:rPr>
                <w:rFonts w:ascii="Times New Roman" w:hAnsi="Times New Roman" w:cs="Times New Roman"/>
                <w:color w:val="000000"/>
                <w:sz w:val="15"/>
                <w:szCs w:val="15"/>
              </w:rPr>
              <w:t>0.305</w:t>
            </w:r>
          </w:p>
        </w:tc>
        <w:tc>
          <w:tcPr>
            <w:tcW w:w="2427" w:type="dxa"/>
          </w:tcPr>
          <w:p w14:paraId="11560240" w14:textId="77777777" w:rsidR="000523FF" w:rsidRPr="000523FF" w:rsidRDefault="000523FF" w:rsidP="000523FF">
            <w:pPr>
              <w:rPr>
                <w:rFonts w:ascii="Times New Roman" w:hAnsi="Times New Roman" w:cs="Times New Roman"/>
                <w:color w:val="000000"/>
                <w:sz w:val="15"/>
                <w:szCs w:val="15"/>
              </w:rPr>
            </w:pPr>
            <w:r w:rsidRPr="000523FF">
              <w:rPr>
                <w:rFonts w:ascii="Times New Roman" w:hAnsi="Times New Roman" w:cs="Times New Roman"/>
                <w:color w:val="000000"/>
                <w:sz w:val="15"/>
                <w:szCs w:val="15"/>
              </w:rPr>
              <w:t>0.825</w:t>
            </w:r>
          </w:p>
          <w:p w14:paraId="5B9FB11C" w14:textId="77777777" w:rsidR="000523FF" w:rsidRPr="000523FF" w:rsidRDefault="000523FF" w:rsidP="000523FF">
            <w:pPr>
              <w:rPr>
                <w:rFonts w:ascii="Times New Roman" w:hAnsi="Times New Roman" w:cs="Times New Roman"/>
                <w:color w:val="000000"/>
                <w:sz w:val="15"/>
                <w:szCs w:val="15"/>
              </w:rPr>
            </w:pPr>
            <w:r w:rsidRPr="000523FF">
              <w:rPr>
                <w:rFonts w:ascii="Times New Roman" w:hAnsi="Times New Roman" w:cs="Times New Roman"/>
                <w:color w:val="000000"/>
                <w:sz w:val="15"/>
                <w:szCs w:val="15"/>
              </w:rPr>
              <w:t>0.284</w:t>
            </w:r>
          </w:p>
          <w:p w14:paraId="67A071A6" w14:textId="77777777" w:rsidR="000523FF" w:rsidRPr="000523FF" w:rsidRDefault="000523FF" w:rsidP="000523FF">
            <w:pPr>
              <w:rPr>
                <w:rFonts w:ascii="Times New Roman" w:hAnsi="Times New Roman" w:cs="Times New Roman"/>
                <w:color w:val="000000"/>
                <w:sz w:val="15"/>
                <w:szCs w:val="15"/>
              </w:rPr>
            </w:pPr>
            <w:r w:rsidRPr="000523FF">
              <w:rPr>
                <w:rFonts w:ascii="Times New Roman" w:hAnsi="Times New Roman" w:cs="Times New Roman"/>
                <w:color w:val="000000"/>
                <w:sz w:val="15"/>
                <w:szCs w:val="15"/>
              </w:rPr>
              <w:t>0.101</w:t>
            </w:r>
          </w:p>
          <w:p w14:paraId="50E1DA92" w14:textId="77777777" w:rsidR="000523FF" w:rsidRPr="000523FF" w:rsidRDefault="000523FF" w:rsidP="000523FF">
            <w:pPr>
              <w:rPr>
                <w:rFonts w:ascii="Times New Roman" w:hAnsi="Times New Roman" w:cs="Times New Roman"/>
                <w:color w:val="000000"/>
                <w:sz w:val="15"/>
                <w:szCs w:val="15"/>
              </w:rPr>
            </w:pPr>
            <w:r w:rsidRPr="000523FF">
              <w:rPr>
                <w:rFonts w:ascii="Times New Roman" w:hAnsi="Times New Roman" w:cs="Times New Roman"/>
                <w:color w:val="000000"/>
                <w:sz w:val="15"/>
                <w:szCs w:val="15"/>
              </w:rPr>
              <w:t>0.657</w:t>
            </w:r>
          </w:p>
          <w:p w14:paraId="56158392" w14:textId="569A5C64" w:rsidR="00FE2AA9" w:rsidRPr="00FE2AA9" w:rsidRDefault="00FE2AA9" w:rsidP="00FE2AA9">
            <w:pPr>
              <w:rPr>
                <w:rFonts w:ascii="Times New Roman" w:hAnsi="Times New Roman" w:cs="Times New Roman"/>
                <w:color w:val="000000"/>
                <w:sz w:val="15"/>
                <w:szCs w:val="15"/>
              </w:rPr>
            </w:pPr>
          </w:p>
        </w:tc>
        <w:tc>
          <w:tcPr>
            <w:tcW w:w="2158" w:type="dxa"/>
          </w:tcPr>
          <w:p w14:paraId="07C6E98D" w14:textId="77777777" w:rsidR="00A11527" w:rsidRPr="00A11527" w:rsidRDefault="00A11527" w:rsidP="00A11527">
            <w:pPr>
              <w:rPr>
                <w:rFonts w:ascii="Times New Roman" w:hAnsi="Times New Roman" w:cs="Times New Roman"/>
                <w:color w:val="000000"/>
                <w:sz w:val="15"/>
                <w:szCs w:val="15"/>
              </w:rPr>
            </w:pPr>
            <w:r w:rsidRPr="00A11527">
              <w:rPr>
                <w:rFonts w:ascii="Times New Roman" w:hAnsi="Times New Roman" w:cs="Times New Roman"/>
                <w:color w:val="000000"/>
                <w:sz w:val="15"/>
                <w:szCs w:val="15"/>
              </w:rPr>
              <w:t>0.523</w:t>
            </w:r>
          </w:p>
          <w:p w14:paraId="52004F69" w14:textId="77777777" w:rsidR="00A11527" w:rsidRPr="00A11527" w:rsidRDefault="00A11527" w:rsidP="00A11527">
            <w:pPr>
              <w:rPr>
                <w:rFonts w:ascii="Times New Roman" w:hAnsi="Times New Roman" w:cs="Times New Roman"/>
                <w:color w:val="000000"/>
                <w:sz w:val="15"/>
                <w:szCs w:val="15"/>
              </w:rPr>
            </w:pPr>
            <w:r w:rsidRPr="00A11527">
              <w:rPr>
                <w:rFonts w:ascii="Times New Roman" w:hAnsi="Times New Roman" w:cs="Times New Roman"/>
                <w:color w:val="000000"/>
                <w:sz w:val="15"/>
                <w:szCs w:val="15"/>
              </w:rPr>
              <w:t>0.342</w:t>
            </w:r>
          </w:p>
          <w:p w14:paraId="6A8357AF" w14:textId="77777777" w:rsidR="00A11527" w:rsidRPr="00A11527" w:rsidRDefault="00A11527" w:rsidP="00A11527">
            <w:pPr>
              <w:rPr>
                <w:rFonts w:ascii="Times New Roman" w:hAnsi="Times New Roman" w:cs="Times New Roman"/>
                <w:color w:val="000000"/>
                <w:sz w:val="15"/>
                <w:szCs w:val="15"/>
              </w:rPr>
            </w:pPr>
            <w:r w:rsidRPr="00A11527">
              <w:rPr>
                <w:rFonts w:ascii="Times New Roman" w:hAnsi="Times New Roman" w:cs="Times New Roman"/>
                <w:color w:val="000000"/>
                <w:sz w:val="15"/>
                <w:szCs w:val="15"/>
              </w:rPr>
              <w:t>0.480</w:t>
            </w:r>
          </w:p>
          <w:p w14:paraId="7F35316B" w14:textId="77777777" w:rsidR="00A11527" w:rsidRPr="00A11527" w:rsidRDefault="00A11527" w:rsidP="00A11527">
            <w:pPr>
              <w:rPr>
                <w:rFonts w:ascii="Times New Roman" w:hAnsi="Times New Roman" w:cs="Times New Roman"/>
                <w:color w:val="000000"/>
                <w:sz w:val="15"/>
                <w:szCs w:val="15"/>
              </w:rPr>
            </w:pPr>
            <w:r w:rsidRPr="00A11527">
              <w:rPr>
                <w:rFonts w:ascii="Times New Roman" w:hAnsi="Times New Roman" w:cs="Times New Roman"/>
                <w:color w:val="000000"/>
                <w:sz w:val="15"/>
                <w:szCs w:val="15"/>
              </w:rPr>
              <w:t>0.409</w:t>
            </w:r>
          </w:p>
          <w:p w14:paraId="7A5A210B" w14:textId="5BFA4BFC" w:rsidR="00FE2AA9" w:rsidRPr="00FE2AA9" w:rsidRDefault="00A11527" w:rsidP="00FE2AA9">
            <w:pPr>
              <w:rPr>
                <w:rFonts w:ascii="Times New Roman" w:hAnsi="Times New Roman" w:cs="Times New Roman"/>
                <w:color w:val="000000"/>
                <w:sz w:val="15"/>
                <w:szCs w:val="15"/>
              </w:rPr>
            </w:pPr>
            <w:r w:rsidRPr="00A11527">
              <w:rPr>
                <w:rFonts w:ascii="Times New Roman" w:hAnsi="Times New Roman" w:cs="Times New Roman"/>
                <w:color w:val="000000"/>
                <w:sz w:val="15"/>
                <w:szCs w:val="15"/>
              </w:rPr>
              <w:t>0.077</w:t>
            </w:r>
          </w:p>
        </w:tc>
      </w:tr>
      <w:tr w:rsidR="00FE2AA9" w14:paraId="63767C1D" w14:textId="77777777" w:rsidTr="005A295F">
        <w:trPr>
          <w:trHeight w:val="872"/>
        </w:trPr>
        <w:tc>
          <w:tcPr>
            <w:tcW w:w="2157" w:type="dxa"/>
          </w:tcPr>
          <w:p w14:paraId="524BF9D1"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Associates Only</w:t>
            </w:r>
          </w:p>
        </w:tc>
        <w:tc>
          <w:tcPr>
            <w:tcW w:w="1888" w:type="dxa"/>
          </w:tcPr>
          <w:p w14:paraId="663F209B" w14:textId="3F5E976E" w:rsidR="000523FF" w:rsidRPr="000523FF" w:rsidRDefault="000523FF" w:rsidP="000523FF">
            <w:pPr>
              <w:rPr>
                <w:rFonts w:ascii="Times New Roman" w:hAnsi="Times New Roman" w:cs="Times New Roman"/>
                <w:color w:val="000000"/>
                <w:sz w:val="15"/>
                <w:szCs w:val="15"/>
              </w:rPr>
            </w:pPr>
            <w:r w:rsidRPr="000523FF">
              <w:rPr>
                <w:rFonts w:ascii="Times New Roman" w:hAnsi="Times New Roman" w:cs="Times New Roman"/>
                <w:color w:val="000000"/>
                <w:sz w:val="15"/>
                <w:szCs w:val="15"/>
              </w:rPr>
              <w:t>0.007</w:t>
            </w:r>
            <w:r w:rsidR="00497001">
              <w:rPr>
                <w:rFonts w:ascii="Times New Roman" w:hAnsi="Times New Roman" w:cs="Times New Roman"/>
                <w:color w:val="000000"/>
                <w:sz w:val="15"/>
                <w:szCs w:val="15"/>
              </w:rPr>
              <w:t>**</w:t>
            </w:r>
          </w:p>
          <w:p w14:paraId="25578861" w14:textId="0EAF9FF8" w:rsidR="000523FF" w:rsidRPr="000523FF" w:rsidRDefault="000523FF" w:rsidP="000523FF">
            <w:pPr>
              <w:rPr>
                <w:rFonts w:ascii="Times New Roman" w:hAnsi="Times New Roman" w:cs="Times New Roman"/>
                <w:color w:val="000000"/>
                <w:sz w:val="15"/>
                <w:szCs w:val="15"/>
              </w:rPr>
            </w:pPr>
            <w:r w:rsidRPr="000523FF">
              <w:rPr>
                <w:rFonts w:ascii="Times New Roman" w:hAnsi="Times New Roman" w:cs="Times New Roman"/>
                <w:color w:val="000000"/>
                <w:sz w:val="15"/>
                <w:szCs w:val="15"/>
              </w:rPr>
              <w:t>0.091</w:t>
            </w:r>
          </w:p>
          <w:p w14:paraId="3D79FE85" w14:textId="77777777" w:rsidR="000523FF" w:rsidRPr="000523FF" w:rsidRDefault="000523FF" w:rsidP="000523FF">
            <w:pPr>
              <w:rPr>
                <w:rFonts w:ascii="Times New Roman" w:hAnsi="Times New Roman" w:cs="Times New Roman"/>
                <w:color w:val="000000"/>
                <w:sz w:val="15"/>
                <w:szCs w:val="15"/>
              </w:rPr>
            </w:pPr>
            <w:r w:rsidRPr="000523FF">
              <w:rPr>
                <w:rFonts w:ascii="Times New Roman" w:hAnsi="Times New Roman" w:cs="Times New Roman"/>
                <w:color w:val="000000"/>
                <w:sz w:val="15"/>
                <w:szCs w:val="15"/>
              </w:rPr>
              <w:t>0.067</w:t>
            </w:r>
          </w:p>
          <w:p w14:paraId="6E78DCCD" w14:textId="77777777" w:rsidR="000523FF" w:rsidRPr="000523FF" w:rsidRDefault="000523FF" w:rsidP="000523FF">
            <w:pPr>
              <w:rPr>
                <w:rFonts w:ascii="Times New Roman" w:hAnsi="Times New Roman" w:cs="Times New Roman"/>
                <w:color w:val="000000"/>
                <w:sz w:val="15"/>
                <w:szCs w:val="15"/>
              </w:rPr>
            </w:pPr>
            <w:r w:rsidRPr="000523FF">
              <w:rPr>
                <w:rFonts w:ascii="Times New Roman" w:hAnsi="Times New Roman" w:cs="Times New Roman"/>
                <w:color w:val="000000"/>
                <w:sz w:val="15"/>
                <w:szCs w:val="15"/>
              </w:rPr>
              <w:t>0.056</w:t>
            </w:r>
          </w:p>
          <w:p w14:paraId="35074A4F" w14:textId="0B167083" w:rsidR="000523FF" w:rsidRPr="005A0177" w:rsidRDefault="000523FF" w:rsidP="000523FF">
            <w:pPr>
              <w:rPr>
                <w:rFonts w:ascii="Times New Roman" w:hAnsi="Times New Roman" w:cs="Times New Roman"/>
                <w:color w:val="000000"/>
                <w:sz w:val="15"/>
                <w:szCs w:val="15"/>
              </w:rPr>
            </w:pPr>
            <w:r w:rsidRPr="000523FF">
              <w:rPr>
                <w:rFonts w:ascii="Times New Roman" w:hAnsi="Times New Roman" w:cs="Times New Roman"/>
                <w:color w:val="000000"/>
                <w:sz w:val="15"/>
                <w:szCs w:val="15"/>
              </w:rPr>
              <w:t>0.054</w:t>
            </w:r>
          </w:p>
        </w:tc>
        <w:tc>
          <w:tcPr>
            <w:tcW w:w="2427" w:type="dxa"/>
          </w:tcPr>
          <w:p w14:paraId="4B870729" w14:textId="77777777" w:rsidR="00172344" w:rsidRPr="00172344" w:rsidRDefault="00172344" w:rsidP="00172344">
            <w:pPr>
              <w:rPr>
                <w:rFonts w:ascii="Times New Roman" w:hAnsi="Times New Roman" w:cs="Times New Roman"/>
                <w:sz w:val="15"/>
                <w:szCs w:val="15"/>
              </w:rPr>
            </w:pPr>
            <w:r w:rsidRPr="00172344">
              <w:rPr>
                <w:rFonts w:ascii="Times New Roman" w:hAnsi="Times New Roman" w:cs="Times New Roman"/>
                <w:sz w:val="15"/>
                <w:szCs w:val="15"/>
              </w:rPr>
              <w:t>0.057</w:t>
            </w:r>
          </w:p>
          <w:p w14:paraId="6F2B6FF5" w14:textId="77777777" w:rsidR="00172344" w:rsidRPr="00172344" w:rsidRDefault="00172344" w:rsidP="00172344">
            <w:pPr>
              <w:rPr>
                <w:rFonts w:ascii="Times New Roman" w:hAnsi="Times New Roman" w:cs="Times New Roman"/>
                <w:sz w:val="15"/>
                <w:szCs w:val="15"/>
              </w:rPr>
            </w:pPr>
            <w:r w:rsidRPr="00172344">
              <w:rPr>
                <w:rFonts w:ascii="Times New Roman" w:hAnsi="Times New Roman" w:cs="Times New Roman"/>
                <w:sz w:val="15"/>
                <w:szCs w:val="15"/>
              </w:rPr>
              <w:t>0.228</w:t>
            </w:r>
          </w:p>
          <w:p w14:paraId="6B6FF6BD" w14:textId="77777777" w:rsidR="00172344" w:rsidRPr="00172344" w:rsidRDefault="00172344" w:rsidP="00172344">
            <w:pPr>
              <w:rPr>
                <w:rFonts w:ascii="Times New Roman" w:hAnsi="Times New Roman" w:cs="Times New Roman"/>
                <w:sz w:val="15"/>
                <w:szCs w:val="15"/>
              </w:rPr>
            </w:pPr>
            <w:r w:rsidRPr="00172344">
              <w:rPr>
                <w:rFonts w:ascii="Times New Roman" w:hAnsi="Times New Roman" w:cs="Times New Roman"/>
                <w:sz w:val="15"/>
                <w:szCs w:val="15"/>
              </w:rPr>
              <w:t>0.762</w:t>
            </w:r>
          </w:p>
          <w:p w14:paraId="4B8E87CC" w14:textId="77777777" w:rsidR="00172344" w:rsidRPr="00172344" w:rsidRDefault="00172344" w:rsidP="00172344">
            <w:pPr>
              <w:rPr>
                <w:rFonts w:ascii="Times New Roman" w:hAnsi="Times New Roman" w:cs="Times New Roman"/>
                <w:sz w:val="15"/>
                <w:szCs w:val="15"/>
              </w:rPr>
            </w:pPr>
            <w:r w:rsidRPr="00172344">
              <w:rPr>
                <w:rFonts w:ascii="Times New Roman" w:hAnsi="Times New Roman" w:cs="Times New Roman"/>
                <w:sz w:val="15"/>
                <w:szCs w:val="15"/>
              </w:rPr>
              <w:t>0.267</w:t>
            </w:r>
          </w:p>
          <w:p w14:paraId="4E3562A1" w14:textId="77777777" w:rsidR="00FE2AA9" w:rsidRPr="00FE2AA9" w:rsidRDefault="00FE2AA9" w:rsidP="00FE2AA9">
            <w:pPr>
              <w:rPr>
                <w:rFonts w:ascii="Times New Roman" w:hAnsi="Times New Roman" w:cs="Times New Roman"/>
                <w:sz w:val="15"/>
                <w:szCs w:val="15"/>
              </w:rPr>
            </w:pPr>
          </w:p>
        </w:tc>
        <w:tc>
          <w:tcPr>
            <w:tcW w:w="2158" w:type="dxa"/>
          </w:tcPr>
          <w:p w14:paraId="08C7CABB" w14:textId="77777777" w:rsidR="00172344" w:rsidRPr="00172344" w:rsidRDefault="00172344" w:rsidP="00172344">
            <w:pPr>
              <w:rPr>
                <w:rFonts w:ascii="Times New Roman" w:hAnsi="Times New Roman" w:cs="Times New Roman"/>
                <w:color w:val="000000"/>
                <w:sz w:val="15"/>
                <w:szCs w:val="15"/>
              </w:rPr>
            </w:pPr>
            <w:r w:rsidRPr="00172344">
              <w:rPr>
                <w:rFonts w:ascii="Times New Roman" w:hAnsi="Times New Roman" w:cs="Times New Roman"/>
                <w:color w:val="000000"/>
                <w:sz w:val="15"/>
                <w:szCs w:val="15"/>
              </w:rPr>
              <w:t>0.195</w:t>
            </w:r>
          </w:p>
          <w:p w14:paraId="0F9B62CF" w14:textId="77777777" w:rsidR="00172344" w:rsidRPr="00172344" w:rsidRDefault="00172344" w:rsidP="00172344">
            <w:pPr>
              <w:rPr>
                <w:rFonts w:ascii="Times New Roman" w:hAnsi="Times New Roman" w:cs="Times New Roman"/>
                <w:color w:val="000000"/>
                <w:sz w:val="15"/>
                <w:szCs w:val="15"/>
              </w:rPr>
            </w:pPr>
            <w:r w:rsidRPr="00172344">
              <w:rPr>
                <w:rFonts w:ascii="Times New Roman" w:hAnsi="Times New Roman" w:cs="Times New Roman"/>
                <w:color w:val="000000"/>
                <w:sz w:val="15"/>
                <w:szCs w:val="15"/>
              </w:rPr>
              <w:t>0.124</w:t>
            </w:r>
          </w:p>
          <w:p w14:paraId="3BE19975" w14:textId="77777777" w:rsidR="00172344" w:rsidRPr="00172344" w:rsidRDefault="00172344" w:rsidP="00172344">
            <w:pPr>
              <w:rPr>
                <w:rFonts w:ascii="Times New Roman" w:hAnsi="Times New Roman" w:cs="Times New Roman"/>
                <w:color w:val="000000"/>
                <w:sz w:val="15"/>
                <w:szCs w:val="15"/>
              </w:rPr>
            </w:pPr>
            <w:r w:rsidRPr="00172344">
              <w:rPr>
                <w:rFonts w:ascii="Times New Roman" w:hAnsi="Times New Roman" w:cs="Times New Roman"/>
                <w:color w:val="000000"/>
                <w:sz w:val="15"/>
                <w:szCs w:val="15"/>
              </w:rPr>
              <w:t>0.111</w:t>
            </w:r>
          </w:p>
          <w:p w14:paraId="7BBEE2E3" w14:textId="77777777" w:rsidR="00172344" w:rsidRPr="00172344" w:rsidRDefault="00172344" w:rsidP="00172344">
            <w:pPr>
              <w:rPr>
                <w:rFonts w:ascii="Times New Roman" w:hAnsi="Times New Roman" w:cs="Times New Roman"/>
                <w:color w:val="000000"/>
                <w:sz w:val="15"/>
                <w:szCs w:val="15"/>
              </w:rPr>
            </w:pPr>
            <w:r w:rsidRPr="00172344">
              <w:rPr>
                <w:rFonts w:ascii="Times New Roman" w:hAnsi="Times New Roman" w:cs="Times New Roman"/>
                <w:color w:val="000000"/>
                <w:sz w:val="15"/>
                <w:szCs w:val="15"/>
              </w:rPr>
              <w:t>0.074</w:t>
            </w:r>
          </w:p>
          <w:p w14:paraId="51F5F2F5" w14:textId="21DAECC2" w:rsidR="00FE2AA9" w:rsidRPr="00FE2AA9" w:rsidRDefault="00172344" w:rsidP="00FE2AA9">
            <w:pPr>
              <w:rPr>
                <w:rFonts w:ascii="Times New Roman" w:hAnsi="Times New Roman" w:cs="Times New Roman"/>
                <w:color w:val="000000"/>
                <w:sz w:val="15"/>
                <w:szCs w:val="15"/>
              </w:rPr>
            </w:pPr>
            <w:r w:rsidRPr="00172344">
              <w:rPr>
                <w:rFonts w:ascii="Times New Roman" w:hAnsi="Times New Roman" w:cs="Times New Roman"/>
                <w:color w:val="000000"/>
                <w:sz w:val="15"/>
                <w:szCs w:val="15"/>
              </w:rPr>
              <w:t>0.004</w:t>
            </w:r>
            <w:r w:rsidR="00E2112C">
              <w:rPr>
                <w:rFonts w:ascii="Times New Roman" w:hAnsi="Times New Roman" w:cs="Times New Roman"/>
                <w:color w:val="000000"/>
                <w:sz w:val="15"/>
                <w:szCs w:val="15"/>
              </w:rPr>
              <w:t>**</w:t>
            </w:r>
          </w:p>
        </w:tc>
      </w:tr>
      <w:tr w:rsidR="00FE2AA9" w14:paraId="51960E60" w14:textId="77777777" w:rsidTr="005A295F">
        <w:tc>
          <w:tcPr>
            <w:tcW w:w="2157" w:type="dxa"/>
          </w:tcPr>
          <w:p w14:paraId="53845FF1"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All Credentials</w:t>
            </w:r>
          </w:p>
        </w:tc>
        <w:tc>
          <w:tcPr>
            <w:tcW w:w="1888" w:type="dxa"/>
          </w:tcPr>
          <w:p w14:paraId="2EA7B238" w14:textId="77777777" w:rsidR="00D30EE5" w:rsidRPr="00D30EE5" w:rsidRDefault="00D30EE5" w:rsidP="00D30EE5">
            <w:pPr>
              <w:rPr>
                <w:rFonts w:ascii="Times New Roman" w:hAnsi="Times New Roman" w:cs="Times New Roman"/>
                <w:color w:val="000000"/>
                <w:sz w:val="15"/>
                <w:szCs w:val="15"/>
              </w:rPr>
            </w:pPr>
            <w:r w:rsidRPr="00D30EE5">
              <w:rPr>
                <w:rFonts w:ascii="Times New Roman" w:hAnsi="Times New Roman" w:cs="Times New Roman"/>
                <w:color w:val="000000"/>
                <w:sz w:val="15"/>
                <w:szCs w:val="15"/>
              </w:rPr>
              <w:t>0.114</w:t>
            </w:r>
          </w:p>
          <w:p w14:paraId="1BF90530" w14:textId="029899C1" w:rsidR="00D30EE5" w:rsidRPr="00D30EE5" w:rsidRDefault="00D30EE5" w:rsidP="00D30EE5">
            <w:pPr>
              <w:rPr>
                <w:rFonts w:ascii="Times New Roman" w:hAnsi="Times New Roman" w:cs="Times New Roman"/>
                <w:color w:val="000000"/>
                <w:sz w:val="15"/>
                <w:szCs w:val="15"/>
              </w:rPr>
            </w:pPr>
            <w:r w:rsidRPr="00D30EE5">
              <w:rPr>
                <w:rFonts w:ascii="Times New Roman" w:hAnsi="Times New Roman" w:cs="Times New Roman"/>
                <w:color w:val="000000"/>
                <w:sz w:val="15"/>
                <w:szCs w:val="15"/>
              </w:rPr>
              <w:t>0.012</w:t>
            </w:r>
            <w:r w:rsidR="00497001">
              <w:rPr>
                <w:rFonts w:ascii="Times New Roman" w:hAnsi="Times New Roman" w:cs="Times New Roman"/>
                <w:color w:val="000000"/>
                <w:sz w:val="15"/>
                <w:szCs w:val="15"/>
              </w:rPr>
              <w:t>*</w:t>
            </w:r>
          </w:p>
          <w:p w14:paraId="6D196249" w14:textId="334F3E7B" w:rsidR="00D30EE5" w:rsidRPr="00D30EE5" w:rsidRDefault="00D30EE5" w:rsidP="00D30EE5">
            <w:pPr>
              <w:rPr>
                <w:rFonts w:ascii="Times New Roman" w:hAnsi="Times New Roman" w:cs="Times New Roman"/>
                <w:color w:val="000000"/>
                <w:sz w:val="15"/>
                <w:szCs w:val="15"/>
              </w:rPr>
            </w:pPr>
            <w:r w:rsidRPr="00D30EE5">
              <w:rPr>
                <w:rFonts w:ascii="Times New Roman" w:hAnsi="Times New Roman" w:cs="Times New Roman"/>
                <w:color w:val="000000"/>
                <w:sz w:val="15"/>
                <w:szCs w:val="15"/>
              </w:rPr>
              <w:t>0.035</w:t>
            </w:r>
            <w:r w:rsidR="00497001">
              <w:rPr>
                <w:rFonts w:ascii="Times New Roman" w:hAnsi="Times New Roman" w:cs="Times New Roman"/>
                <w:color w:val="000000"/>
                <w:sz w:val="15"/>
                <w:szCs w:val="15"/>
              </w:rPr>
              <w:t>*</w:t>
            </w:r>
          </w:p>
          <w:p w14:paraId="4D57D418" w14:textId="77777777" w:rsidR="00D30EE5" w:rsidRPr="00D30EE5" w:rsidRDefault="00D30EE5" w:rsidP="00D30EE5">
            <w:pPr>
              <w:rPr>
                <w:rFonts w:ascii="Times New Roman" w:hAnsi="Times New Roman" w:cs="Times New Roman"/>
                <w:color w:val="000000"/>
                <w:sz w:val="15"/>
                <w:szCs w:val="15"/>
              </w:rPr>
            </w:pPr>
            <w:r w:rsidRPr="00D30EE5">
              <w:rPr>
                <w:rFonts w:ascii="Times New Roman" w:hAnsi="Times New Roman" w:cs="Times New Roman"/>
                <w:color w:val="000000"/>
                <w:sz w:val="15"/>
                <w:szCs w:val="15"/>
              </w:rPr>
              <w:t>0.128</w:t>
            </w:r>
          </w:p>
          <w:p w14:paraId="44CD4A0A" w14:textId="0F84ABD3" w:rsidR="00FE2AA9" w:rsidRPr="00FE2AA9" w:rsidRDefault="00D30EE5" w:rsidP="00FE2AA9">
            <w:pPr>
              <w:rPr>
                <w:rFonts w:ascii="Times New Roman" w:hAnsi="Times New Roman" w:cs="Times New Roman"/>
                <w:color w:val="000000"/>
                <w:sz w:val="15"/>
                <w:szCs w:val="15"/>
              </w:rPr>
            </w:pPr>
            <w:r w:rsidRPr="00D30EE5">
              <w:rPr>
                <w:rFonts w:ascii="Times New Roman" w:hAnsi="Times New Roman" w:cs="Times New Roman"/>
                <w:color w:val="000000"/>
                <w:sz w:val="15"/>
                <w:szCs w:val="15"/>
              </w:rPr>
              <w:t>0.234</w:t>
            </w:r>
          </w:p>
        </w:tc>
        <w:tc>
          <w:tcPr>
            <w:tcW w:w="2427" w:type="dxa"/>
          </w:tcPr>
          <w:p w14:paraId="651A7A55" w14:textId="77777777" w:rsidR="00D30EE5" w:rsidRPr="00D30EE5" w:rsidRDefault="00D30EE5" w:rsidP="00D30EE5">
            <w:pPr>
              <w:rPr>
                <w:rFonts w:ascii="Times New Roman" w:hAnsi="Times New Roman" w:cs="Times New Roman"/>
                <w:sz w:val="15"/>
                <w:szCs w:val="15"/>
              </w:rPr>
            </w:pPr>
            <w:r w:rsidRPr="00D30EE5">
              <w:rPr>
                <w:rFonts w:ascii="Times New Roman" w:hAnsi="Times New Roman" w:cs="Times New Roman"/>
                <w:sz w:val="15"/>
                <w:szCs w:val="15"/>
              </w:rPr>
              <w:t>0.099</w:t>
            </w:r>
          </w:p>
          <w:p w14:paraId="5C15BD9F" w14:textId="7DA3F087" w:rsidR="00D30EE5" w:rsidRPr="00D30EE5" w:rsidRDefault="00D30EE5" w:rsidP="00D30EE5">
            <w:pPr>
              <w:rPr>
                <w:rFonts w:ascii="Times New Roman" w:hAnsi="Times New Roman" w:cs="Times New Roman"/>
                <w:sz w:val="15"/>
                <w:szCs w:val="15"/>
              </w:rPr>
            </w:pPr>
            <w:r w:rsidRPr="00D30EE5">
              <w:rPr>
                <w:rFonts w:ascii="Times New Roman" w:hAnsi="Times New Roman" w:cs="Times New Roman"/>
                <w:sz w:val="15"/>
                <w:szCs w:val="15"/>
              </w:rPr>
              <w:t>0.006</w:t>
            </w:r>
            <w:r w:rsidR="00E2112C">
              <w:rPr>
                <w:rFonts w:ascii="Times New Roman" w:hAnsi="Times New Roman" w:cs="Times New Roman"/>
                <w:color w:val="000000"/>
                <w:sz w:val="15"/>
                <w:szCs w:val="15"/>
              </w:rPr>
              <w:t>**</w:t>
            </w:r>
          </w:p>
          <w:p w14:paraId="310BD841" w14:textId="0020029A" w:rsidR="00D30EE5" w:rsidRPr="00D30EE5" w:rsidRDefault="00D30EE5" w:rsidP="00D30EE5">
            <w:pPr>
              <w:rPr>
                <w:rFonts w:ascii="Times New Roman" w:hAnsi="Times New Roman" w:cs="Times New Roman"/>
                <w:sz w:val="15"/>
                <w:szCs w:val="15"/>
              </w:rPr>
            </w:pPr>
            <w:r w:rsidRPr="00D30EE5">
              <w:rPr>
                <w:rFonts w:ascii="Times New Roman" w:hAnsi="Times New Roman" w:cs="Times New Roman"/>
                <w:sz w:val="15"/>
                <w:szCs w:val="15"/>
              </w:rPr>
              <w:t>0.004</w:t>
            </w:r>
            <w:r w:rsidR="00E2112C">
              <w:rPr>
                <w:rFonts w:ascii="Times New Roman" w:hAnsi="Times New Roman" w:cs="Times New Roman"/>
                <w:color w:val="000000"/>
                <w:sz w:val="15"/>
                <w:szCs w:val="15"/>
              </w:rPr>
              <w:t>**</w:t>
            </w:r>
          </w:p>
          <w:p w14:paraId="409146F2" w14:textId="77777777" w:rsidR="00D30EE5" w:rsidRPr="00D30EE5" w:rsidRDefault="00D30EE5" w:rsidP="00D30EE5">
            <w:pPr>
              <w:rPr>
                <w:rFonts w:ascii="Times New Roman" w:hAnsi="Times New Roman" w:cs="Times New Roman"/>
                <w:sz w:val="15"/>
                <w:szCs w:val="15"/>
              </w:rPr>
            </w:pPr>
            <w:r w:rsidRPr="00D30EE5">
              <w:rPr>
                <w:rFonts w:ascii="Times New Roman" w:hAnsi="Times New Roman" w:cs="Times New Roman"/>
                <w:sz w:val="15"/>
                <w:szCs w:val="15"/>
              </w:rPr>
              <w:t>0.059</w:t>
            </w:r>
          </w:p>
          <w:p w14:paraId="305805F2" w14:textId="77777777" w:rsidR="00FE2AA9" w:rsidRPr="00FE2AA9" w:rsidRDefault="00FE2AA9" w:rsidP="00FE2AA9">
            <w:pPr>
              <w:rPr>
                <w:rFonts w:ascii="Times New Roman" w:hAnsi="Times New Roman" w:cs="Times New Roman"/>
                <w:sz w:val="15"/>
                <w:szCs w:val="15"/>
              </w:rPr>
            </w:pPr>
          </w:p>
        </w:tc>
        <w:tc>
          <w:tcPr>
            <w:tcW w:w="2158" w:type="dxa"/>
          </w:tcPr>
          <w:p w14:paraId="0EEC89A7" w14:textId="77777777" w:rsidR="00D30EE5" w:rsidRPr="00D30EE5" w:rsidRDefault="00D30EE5" w:rsidP="00D30EE5">
            <w:pPr>
              <w:rPr>
                <w:rFonts w:ascii="Times New Roman" w:hAnsi="Times New Roman" w:cs="Times New Roman"/>
                <w:color w:val="000000"/>
                <w:sz w:val="15"/>
                <w:szCs w:val="15"/>
              </w:rPr>
            </w:pPr>
            <w:r w:rsidRPr="00D30EE5">
              <w:rPr>
                <w:rFonts w:ascii="Times New Roman" w:hAnsi="Times New Roman" w:cs="Times New Roman"/>
                <w:color w:val="000000"/>
                <w:sz w:val="15"/>
                <w:szCs w:val="15"/>
              </w:rPr>
              <w:t>0.651</w:t>
            </w:r>
          </w:p>
          <w:p w14:paraId="397BBDC0" w14:textId="77777777" w:rsidR="00D30EE5" w:rsidRPr="00D30EE5" w:rsidRDefault="00D30EE5" w:rsidP="00D30EE5">
            <w:pPr>
              <w:rPr>
                <w:rFonts w:ascii="Times New Roman" w:hAnsi="Times New Roman" w:cs="Times New Roman"/>
                <w:color w:val="000000"/>
                <w:sz w:val="15"/>
                <w:szCs w:val="15"/>
              </w:rPr>
            </w:pPr>
            <w:r w:rsidRPr="00D30EE5">
              <w:rPr>
                <w:rFonts w:ascii="Times New Roman" w:hAnsi="Times New Roman" w:cs="Times New Roman"/>
                <w:color w:val="000000"/>
                <w:sz w:val="15"/>
                <w:szCs w:val="15"/>
              </w:rPr>
              <w:t>0.999</w:t>
            </w:r>
          </w:p>
          <w:p w14:paraId="5BAA3AB3" w14:textId="77777777" w:rsidR="00D30EE5" w:rsidRPr="00D30EE5" w:rsidRDefault="00D30EE5" w:rsidP="00D30EE5">
            <w:pPr>
              <w:rPr>
                <w:rFonts w:ascii="Times New Roman" w:hAnsi="Times New Roman" w:cs="Times New Roman"/>
                <w:color w:val="000000"/>
                <w:sz w:val="15"/>
                <w:szCs w:val="15"/>
              </w:rPr>
            </w:pPr>
            <w:r w:rsidRPr="00D30EE5">
              <w:rPr>
                <w:rFonts w:ascii="Times New Roman" w:hAnsi="Times New Roman" w:cs="Times New Roman"/>
                <w:color w:val="000000"/>
                <w:sz w:val="15"/>
                <w:szCs w:val="15"/>
              </w:rPr>
              <w:t>0.562</w:t>
            </w:r>
          </w:p>
          <w:p w14:paraId="6608C436" w14:textId="77777777" w:rsidR="00D30EE5" w:rsidRPr="00D30EE5" w:rsidRDefault="00D30EE5" w:rsidP="00D30EE5">
            <w:pPr>
              <w:rPr>
                <w:rFonts w:ascii="Times New Roman" w:hAnsi="Times New Roman" w:cs="Times New Roman"/>
                <w:color w:val="000000"/>
                <w:sz w:val="15"/>
                <w:szCs w:val="15"/>
              </w:rPr>
            </w:pPr>
            <w:r w:rsidRPr="00D30EE5">
              <w:rPr>
                <w:rFonts w:ascii="Times New Roman" w:hAnsi="Times New Roman" w:cs="Times New Roman"/>
                <w:color w:val="000000"/>
                <w:sz w:val="15"/>
                <w:szCs w:val="15"/>
              </w:rPr>
              <w:t>0.496</w:t>
            </w:r>
          </w:p>
          <w:p w14:paraId="55A5B824" w14:textId="7BC3EDEE" w:rsidR="00FE2AA9" w:rsidRPr="00FE2AA9" w:rsidRDefault="00D30EE5" w:rsidP="00FE2AA9">
            <w:pPr>
              <w:rPr>
                <w:rFonts w:ascii="Times New Roman" w:hAnsi="Times New Roman" w:cs="Times New Roman"/>
                <w:color w:val="000000"/>
                <w:sz w:val="15"/>
                <w:szCs w:val="15"/>
              </w:rPr>
            </w:pPr>
            <w:r w:rsidRPr="00D30EE5">
              <w:rPr>
                <w:rFonts w:ascii="Times New Roman" w:hAnsi="Times New Roman" w:cs="Times New Roman"/>
                <w:color w:val="000000"/>
                <w:sz w:val="15"/>
                <w:szCs w:val="15"/>
              </w:rPr>
              <w:t>0.914</w:t>
            </w:r>
          </w:p>
        </w:tc>
      </w:tr>
      <w:tr w:rsidR="00FE2AA9" w14:paraId="36D32749" w14:textId="77777777" w:rsidTr="005A295F">
        <w:tc>
          <w:tcPr>
            <w:tcW w:w="2157" w:type="dxa"/>
          </w:tcPr>
          <w:p w14:paraId="04B255CA" w14:textId="180D7100" w:rsidR="00FE2AA9" w:rsidRPr="00D2786A" w:rsidRDefault="00275D9D" w:rsidP="00FE2AA9">
            <w:pPr>
              <w:rPr>
                <w:rFonts w:ascii="Times New Roman" w:hAnsi="Times New Roman" w:cs="Times New Roman"/>
              </w:rPr>
            </w:pPr>
            <w:r>
              <w:rPr>
                <w:rFonts w:ascii="Times New Roman" w:hAnsi="Times New Roman" w:cs="Times New Roman"/>
              </w:rPr>
              <w:t>One</w:t>
            </w:r>
            <w:r w:rsidR="002C3000">
              <w:rPr>
                <w:rFonts w:ascii="Times New Roman" w:hAnsi="Times New Roman" w:cs="Times New Roman"/>
              </w:rPr>
              <w:t>-</w:t>
            </w:r>
            <w:r>
              <w:rPr>
                <w:rFonts w:ascii="Times New Roman" w:hAnsi="Times New Roman" w:cs="Times New Roman"/>
              </w:rPr>
              <w:t>to</w:t>
            </w:r>
            <w:r w:rsidR="002C3000">
              <w:rPr>
                <w:rFonts w:ascii="Times New Roman" w:hAnsi="Times New Roman" w:cs="Times New Roman"/>
              </w:rPr>
              <w:t>-</w:t>
            </w:r>
            <w:r>
              <w:rPr>
                <w:rFonts w:ascii="Times New Roman" w:hAnsi="Times New Roman" w:cs="Times New Roman"/>
              </w:rPr>
              <w:t>Two</w:t>
            </w:r>
            <w:r w:rsidR="00FE2AA9" w:rsidRPr="00D2786A">
              <w:rPr>
                <w:rFonts w:ascii="Times New Roman" w:hAnsi="Times New Roman" w:cs="Times New Roman"/>
              </w:rPr>
              <w:t xml:space="preserve"> Year Credentials</w:t>
            </w:r>
          </w:p>
        </w:tc>
        <w:tc>
          <w:tcPr>
            <w:tcW w:w="1888" w:type="dxa"/>
          </w:tcPr>
          <w:p w14:paraId="6500C5C1" w14:textId="77777777" w:rsidR="009E6F4D" w:rsidRPr="009E6F4D" w:rsidRDefault="009E6F4D" w:rsidP="009E6F4D">
            <w:pPr>
              <w:rPr>
                <w:rFonts w:ascii="Times New Roman" w:hAnsi="Times New Roman" w:cs="Times New Roman"/>
                <w:color w:val="000000"/>
                <w:sz w:val="15"/>
                <w:szCs w:val="15"/>
              </w:rPr>
            </w:pPr>
            <w:r w:rsidRPr="009E6F4D">
              <w:rPr>
                <w:rFonts w:ascii="Times New Roman" w:hAnsi="Times New Roman" w:cs="Times New Roman"/>
                <w:color w:val="000000"/>
                <w:sz w:val="15"/>
                <w:szCs w:val="15"/>
              </w:rPr>
              <w:t>0.142</w:t>
            </w:r>
          </w:p>
          <w:p w14:paraId="1997473E" w14:textId="021CC576" w:rsidR="009E6F4D" w:rsidRPr="009E6F4D" w:rsidRDefault="009E6F4D" w:rsidP="009E6F4D">
            <w:pPr>
              <w:rPr>
                <w:rFonts w:ascii="Times New Roman" w:hAnsi="Times New Roman" w:cs="Times New Roman"/>
                <w:color w:val="000000"/>
                <w:sz w:val="15"/>
                <w:szCs w:val="15"/>
              </w:rPr>
            </w:pPr>
            <w:r w:rsidRPr="009E6F4D">
              <w:rPr>
                <w:rFonts w:ascii="Times New Roman" w:hAnsi="Times New Roman" w:cs="Times New Roman"/>
                <w:color w:val="000000"/>
                <w:sz w:val="15"/>
                <w:szCs w:val="15"/>
              </w:rPr>
              <w:t>0.011</w:t>
            </w:r>
            <w:r w:rsidR="00497001">
              <w:rPr>
                <w:rFonts w:ascii="Times New Roman" w:hAnsi="Times New Roman" w:cs="Times New Roman"/>
                <w:color w:val="000000"/>
                <w:sz w:val="15"/>
                <w:szCs w:val="15"/>
              </w:rPr>
              <w:t>*</w:t>
            </w:r>
          </w:p>
          <w:p w14:paraId="3A012B0E" w14:textId="5B100D9D" w:rsidR="009E6F4D" w:rsidRPr="009E6F4D" w:rsidRDefault="009E6F4D" w:rsidP="009E6F4D">
            <w:pPr>
              <w:rPr>
                <w:rFonts w:ascii="Times New Roman" w:hAnsi="Times New Roman" w:cs="Times New Roman"/>
                <w:color w:val="000000"/>
                <w:sz w:val="15"/>
                <w:szCs w:val="15"/>
              </w:rPr>
            </w:pPr>
            <w:r w:rsidRPr="009E6F4D">
              <w:rPr>
                <w:rFonts w:ascii="Times New Roman" w:hAnsi="Times New Roman" w:cs="Times New Roman"/>
                <w:color w:val="000000"/>
                <w:sz w:val="15"/>
                <w:szCs w:val="15"/>
              </w:rPr>
              <w:t>0.007</w:t>
            </w:r>
            <w:r w:rsidR="00497001">
              <w:rPr>
                <w:rFonts w:ascii="Times New Roman" w:hAnsi="Times New Roman" w:cs="Times New Roman"/>
                <w:color w:val="000000"/>
                <w:sz w:val="15"/>
                <w:szCs w:val="15"/>
              </w:rPr>
              <w:t>**</w:t>
            </w:r>
          </w:p>
          <w:p w14:paraId="15AAA856" w14:textId="6AA1AEFE" w:rsidR="009E6F4D" w:rsidRPr="009E6F4D" w:rsidRDefault="009E6F4D" w:rsidP="009E6F4D">
            <w:pPr>
              <w:rPr>
                <w:rFonts w:ascii="Times New Roman" w:hAnsi="Times New Roman" w:cs="Times New Roman"/>
                <w:color w:val="000000"/>
                <w:sz w:val="15"/>
                <w:szCs w:val="15"/>
              </w:rPr>
            </w:pPr>
            <w:r w:rsidRPr="009E6F4D">
              <w:rPr>
                <w:rFonts w:ascii="Times New Roman" w:hAnsi="Times New Roman" w:cs="Times New Roman"/>
                <w:color w:val="000000"/>
                <w:sz w:val="15"/>
                <w:szCs w:val="15"/>
              </w:rPr>
              <w:t>0.060</w:t>
            </w:r>
          </w:p>
          <w:p w14:paraId="72F3A395" w14:textId="19F96E84" w:rsidR="00FE2AA9" w:rsidRPr="00FE2AA9" w:rsidRDefault="009E6F4D" w:rsidP="00FE2AA9">
            <w:pPr>
              <w:rPr>
                <w:rFonts w:ascii="Times New Roman" w:hAnsi="Times New Roman" w:cs="Times New Roman"/>
                <w:color w:val="000000"/>
                <w:sz w:val="15"/>
                <w:szCs w:val="15"/>
              </w:rPr>
            </w:pPr>
            <w:r w:rsidRPr="009E6F4D">
              <w:rPr>
                <w:rFonts w:ascii="Times New Roman" w:hAnsi="Times New Roman" w:cs="Times New Roman"/>
                <w:color w:val="000000"/>
                <w:sz w:val="15"/>
                <w:szCs w:val="15"/>
              </w:rPr>
              <w:t>0.069</w:t>
            </w:r>
          </w:p>
        </w:tc>
        <w:tc>
          <w:tcPr>
            <w:tcW w:w="2427" w:type="dxa"/>
          </w:tcPr>
          <w:p w14:paraId="7146EEFC" w14:textId="77777777" w:rsidR="002D2C52" w:rsidRPr="002D2C52" w:rsidRDefault="002D2C52" w:rsidP="002D2C52">
            <w:pPr>
              <w:rPr>
                <w:rFonts w:ascii="Times New Roman" w:hAnsi="Times New Roman" w:cs="Times New Roman"/>
                <w:sz w:val="15"/>
                <w:szCs w:val="15"/>
              </w:rPr>
            </w:pPr>
            <w:r w:rsidRPr="002D2C52">
              <w:rPr>
                <w:rFonts w:ascii="Times New Roman" w:hAnsi="Times New Roman" w:cs="Times New Roman"/>
                <w:sz w:val="15"/>
                <w:szCs w:val="15"/>
              </w:rPr>
              <w:t>0.067</w:t>
            </w:r>
          </w:p>
          <w:p w14:paraId="09D3A90B" w14:textId="5E424485" w:rsidR="002D2C52" w:rsidRPr="002D2C52" w:rsidRDefault="002D2C52" w:rsidP="002D2C52">
            <w:pPr>
              <w:rPr>
                <w:rFonts w:ascii="Times New Roman" w:hAnsi="Times New Roman" w:cs="Times New Roman"/>
                <w:sz w:val="15"/>
                <w:szCs w:val="15"/>
              </w:rPr>
            </w:pPr>
            <w:r w:rsidRPr="002D2C52">
              <w:rPr>
                <w:rFonts w:ascii="Times New Roman" w:hAnsi="Times New Roman" w:cs="Times New Roman"/>
                <w:sz w:val="15"/>
                <w:szCs w:val="15"/>
              </w:rPr>
              <w:t>0.001</w:t>
            </w:r>
            <w:r w:rsidR="00E2112C">
              <w:rPr>
                <w:rFonts w:ascii="Times New Roman" w:hAnsi="Times New Roman" w:cs="Times New Roman"/>
                <w:color w:val="000000"/>
                <w:sz w:val="15"/>
                <w:szCs w:val="15"/>
              </w:rPr>
              <w:t>**</w:t>
            </w:r>
          </w:p>
          <w:p w14:paraId="6B39C788" w14:textId="2C64A58E" w:rsidR="002D2C52" w:rsidRPr="002D2C52" w:rsidRDefault="002D2C52" w:rsidP="002D2C52">
            <w:pPr>
              <w:rPr>
                <w:rFonts w:ascii="Times New Roman" w:hAnsi="Times New Roman" w:cs="Times New Roman"/>
                <w:sz w:val="15"/>
                <w:szCs w:val="15"/>
              </w:rPr>
            </w:pPr>
            <w:r w:rsidRPr="002D2C52">
              <w:rPr>
                <w:rFonts w:ascii="Times New Roman" w:hAnsi="Times New Roman" w:cs="Times New Roman"/>
                <w:sz w:val="15"/>
                <w:szCs w:val="15"/>
              </w:rPr>
              <w:t>0.000</w:t>
            </w:r>
            <w:r w:rsidR="00E2112C">
              <w:rPr>
                <w:rFonts w:ascii="Times New Roman" w:hAnsi="Times New Roman" w:cs="Times New Roman"/>
                <w:color w:val="000000"/>
                <w:sz w:val="15"/>
                <w:szCs w:val="15"/>
              </w:rPr>
              <w:t>***</w:t>
            </w:r>
          </w:p>
          <w:p w14:paraId="388EC021" w14:textId="2C2FF907" w:rsidR="002D2C52" w:rsidRPr="002D2C52" w:rsidRDefault="002D2C52" w:rsidP="002D2C52">
            <w:pPr>
              <w:rPr>
                <w:rFonts w:ascii="Times New Roman" w:hAnsi="Times New Roman" w:cs="Times New Roman"/>
                <w:sz w:val="15"/>
                <w:szCs w:val="15"/>
              </w:rPr>
            </w:pPr>
            <w:r w:rsidRPr="002D2C52">
              <w:rPr>
                <w:rFonts w:ascii="Times New Roman" w:hAnsi="Times New Roman" w:cs="Times New Roman"/>
                <w:sz w:val="15"/>
                <w:szCs w:val="15"/>
              </w:rPr>
              <w:t>0.001</w:t>
            </w:r>
            <w:r w:rsidR="00E2112C">
              <w:rPr>
                <w:rFonts w:ascii="Times New Roman" w:hAnsi="Times New Roman" w:cs="Times New Roman"/>
                <w:color w:val="000000"/>
                <w:sz w:val="15"/>
                <w:szCs w:val="15"/>
              </w:rPr>
              <w:t>**</w:t>
            </w:r>
          </w:p>
          <w:p w14:paraId="432C2E26" w14:textId="77777777" w:rsidR="00FE2AA9" w:rsidRPr="00FE2AA9" w:rsidRDefault="00FE2AA9" w:rsidP="00FE2AA9">
            <w:pPr>
              <w:rPr>
                <w:rFonts w:ascii="Times New Roman" w:hAnsi="Times New Roman" w:cs="Times New Roman"/>
                <w:sz w:val="15"/>
                <w:szCs w:val="15"/>
              </w:rPr>
            </w:pPr>
          </w:p>
        </w:tc>
        <w:tc>
          <w:tcPr>
            <w:tcW w:w="2158" w:type="dxa"/>
          </w:tcPr>
          <w:p w14:paraId="3341E7A4" w14:textId="77777777" w:rsidR="009E6F4D" w:rsidRPr="009E6F4D" w:rsidRDefault="009E6F4D" w:rsidP="009E6F4D">
            <w:pPr>
              <w:rPr>
                <w:rFonts w:ascii="Times New Roman" w:hAnsi="Times New Roman" w:cs="Times New Roman"/>
                <w:color w:val="000000"/>
                <w:sz w:val="15"/>
                <w:szCs w:val="15"/>
              </w:rPr>
            </w:pPr>
            <w:r w:rsidRPr="009E6F4D">
              <w:rPr>
                <w:rFonts w:ascii="Times New Roman" w:hAnsi="Times New Roman" w:cs="Times New Roman"/>
                <w:color w:val="000000"/>
                <w:sz w:val="15"/>
                <w:szCs w:val="15"/>
              </w:rPr>
              <w:t>0.452</w:t>
            </w:r>
          </w:p>
          <w:p w14:paraId="31C1C54A" w14:textId="77777777" w:rsidR="009E6F4D" w:rsidRPr="009E6F4D" w:rsidRDefault="009E6F4D" w:rsidP="009E6F4D">
            <w:pPr>
              <w:rPr>
                <w:rFonts w:ascii="Times New Roman" w:hAnsi="Times New Roman" w:cs="Times New Roman"/>
                <w:color w:val="000000"/>
                <w:sz w:val="15"/>
                <w:szCs w:val="15"/>
              </w:rPr>
            </w:pPr>
            <w:r w:rsidRPr="009E6F4D">
              <w:rPr>
                <w:rFonts w:ascii="Times New Roman" w:hAnsi="Times New Roman" w:cs="Times New Roman"/>
                <w:color w:val="000000"/>
                <w:sz w:val="15"/>
                <w:szCs w:val="15"/>
              </w:rPr>
              <w:t>0.365</w:t>
            </w:r>
          </w:p>
          <w:p w14:paraId="454F2C83" w14:textId="77777777" w:rsidR="009E6F4D" w:rsidRPr="009E6F4D" w:rsidRDefault="009E6F4D" w:rsidP="009E6F4D">
            <w:pPr>
              <w:rPr>
                <w:rFonts w:ascii="Times New Roman" w:hAnsi="Times New Roman" w:cs="Times New Roman"/>
                <w:color w:val="000000"/>
                <w:sz w:val="15"/>
                <w:szCs w:val="15"/>
              </w:rPr>
            </w:pPr>
            <w:r w:rsidRPr="009E6F4D">
              <w:rPr>
                <w:rFonts w:ascii="Times New Roman" w:hAnsi="Times New Roman" w:cs="Times New Roman"/>
                <w:color w:val="000000"/>
                <w:sz w:val="15"/>
                <w:szCs w:val="15"/>
              </w:rPr>
              <w:t>0.322</w:t>
            </w:r>
          </w:p>
          <w:p w14:paraId="2EE60CB2" w14:textId="77777777" w:rsidR="009E6F4D" w:rsidRPr="009E6F4D" w:rsidRDefault="009E6F4D" w:rsidP="009E6F4D">
            <w:pPr>
              <w:rPr>
                <w:rFonts w:ascii="Times New Roman" w:hAnsi="Times New Roman" w:cs="Times New Roman"/>
                <w:color w:val="000000"/>
                <w:sz w:val="15"/>
                <w:szCs w:val="15"/>
              </w:rPr>
            </w:pPr>
            <w:r w:rsidRPr="009E6F4D">
              <w:rPr>
                <w:rFonts w:ascii="Times New Roman" w:hAnsi="Times New Roman" w:cs="Times New Roman"/>
                <w:color w:val="000000"/>
                <w:sz w:val="15"/>
                <w:szCs w:val="15"/>
              </w:rPr>
              <w:t>0.306</w:t>
            </w:r>
          </w:p>
          <w:p w14:paraId="350FB658" w14:textId="6170B2CF" w:rsidR="00FE2AA9" w:rsidRPr="00FE2AA9" w:rsidRDefault="009E6F4D" w:rsidP="00FE2AA9">
            <w:pPr>
              <w:rPr>
                <w:rFonts w:ascii="Times New Roman" w:hAnsi="Times New Roman" w:cs="Times New Roman"/>
                <w:color w:val="000000"/>
                <w:sz w:val="15"/>
                <w:szCs w:val="15"/>
              </w:rPr>
            </w:pPr>
            <w:r w:rsidRPr="009E6F4D">
              <w:rPr>
                <w:rFonts w:ascii="Times New Roman" w:hAnsi="Times New Roman" w:cs="Times New Roman"/>
                <w:color w:val="000000"/>
                <w:sz w:val="15"/>
                <w:szCs w:val="15"/>
              </w:rPr>
              <w:t>0.781</w:t>
            </w:r>
          </w:p>
        </w:tc>
      </w:tr>
      <w:tr w:rsidR="00FE2AA9" w14:paraId="52144893" w14:textId="77777777" w:rsidTr="005A295F">
        <w:tc>
          <w:tcPr>
            <w:tcW w:w="2157" w:type="dxa"/>
          </w:tcPr>
          <w:p w14:paraId="5D96F129"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&lt; 1 Year Credentials </w:t>
            </w:r>
          </w:p>
        </w:tc>
        <w:tc>
          <w:tcPr>
            <w:tcW w:w="1888" w:type="dxa"/>
          </w:tcPr>
          <w:p w14:paraId="6D42AB88" w14:textId="77777777" w:rsidR="002D2C52" w:rsidRPr="002D2C52" w:rsidRDefault="002D2C52" w:rsidP="002D2C52">
            <w:pPr>
              <w:rPr>
                <w:rFonts w:ascii="Times New Roman" w:hAnsi="Times New Roman" w:cs="Times New Roman"/>
                <w:color w:val="000000"/>
                <w:sz w:val="15"/>
                <w:szCs w:val="15"/>
              </w:rPr>
            </w:pPr>
            <w:r w:rsidRPr="002D2C52">
              <w:rPr>
                <w:rFonts w:ascii="Times New Roman" w:hAnsi="Times New Roman" w:cs="Times New Roman"/>
                <w:color w:val="000000"/>
                <w:sz w:val="15"/>
                <w:szCs w:val="15"/>
              </w:rPr>
              <w:t>0.491</w:t>
            </w:r>
          </w:p>
          <w:p w14:paraId="25720D4A" w14:textId="77777777" w:rsidR="002D2C52" w:rsidRPr="002D2C52" w:rsidRDefault="002D2C52" w:rsidP="002D2C52">
            <w:pPr>
              <w:rPr>
                <w:rFonts w:ascii="Times New Roman" w:hAnsi="Times New Roman" w:cs="Times New Roman"/>
                <w:color w:val="000000"/>
                <w:sz w:val="15"/>
                <w:szCs w:val="15"/>
              </w:rPr>
            </w:pPr>
            <w:r w:rsidRPr="002D2C52">
              <w:rPr>
                <w:rFonts w:ascii="Times New Roman" w:hAnsi="Times New Roman" w:cs="Times New Roman"/>
                <w:color w:val="000000"/>
                <w:sz w:val="15"/>
                <w:szCs w:val="15"/>
              </w:rPr>
              <w:t>0.155</w:t>
            </w:r>
          </w:p>
          <w:p w14:paraId="09C6DAEF" w14:textId="77777777" w:rsidR="002D2C52" w:rsidRPr="002D2C52" w:rsidRDefault="002D2C52" w:rsidP="002D2C52">
            <w:pPr>
              <w:rPr>
                <w:rFonts w:ascii="Times New Roman" w:hAnsi="Times New Roman" w:cs="Times New Roman"/>
                <w:color w:val="000000"/>
                <w:sz w:val="15"/>
                <w:szCs w:val="15"/>
              </w:rPr>
            </w:pPr>
            <w:r w:rsidRPr="002D2C52">
              <w:rPr>
                <w:rFonts w:ascii="Times New Roman" w:hAnsi="Times New Roman" w:cs="Times New Roman"/>
                <w:color w:val="000000"/>
                <w:sz w:val="15"/>
                <w:szCs w:val="15"/>
              </w:rPr>
              <w:t>0.055</w:t>
            </w:r>
          </w:p>
          <w:p w14:paraId="2A5EAEEC" w14:textId="77777777" w:rsidR="002D2C52" w:rsidRPr="002D2C52" w:rsidRDefault="002D2C52" w:rsidP="002D2C52">
            <w:pPr>
              <w:rPr>
                <w:rFonts w:ascii="Times New Roman" w:hAnsi="Times New Roman" w:cs="Times New Roman"/>
                <w:color w:val="000000"/>
                <w:sz w:val="15"/>
                <w:szCs w:val="15"/>
              </w:rPr>
            </w:pPr>
            <w:r w:rsidRPr="002D2C52">
              <w:rPr>
                <w:rFonts w:ascii="Times New Roman" w:hAnsi="Times New Roman" w:cs="Times New Roman"/>
                <w:color w:val="000000"/>
                <w:sz w:val="15"/>
                <w:szCs w:val="15"/>
              </w:rPr>
              <w:t>0.335</w:t>
            </w:r>
          </w:p>
          <w:p w14:paraId="2BE8472B" w14:textId="262832F1" w:rsidR="00FE2AA9" w:rsidRPr="00FE2AA9" w:rsidRDefault="002D2C52" w:rsidP="00FE2AA9">
            <w:pPr>
              <w:rPr>
                <w:rFonts w:ascii="Times New Roman" w:hAnsi="Times New Roman" w:cs="Times New Roman"/>
                <w:color w:val="000000"/>
                <w:sz w:val="15"/>
                <w:szCs w:val="15"/>
              </w:rPr>
            </w:pPr>
            <w:r w:rsidRPr="002D2C52">
              <w:rPr>
                <w:rFonts w:ascii="Times New Roman" w:hAnsi="Times New Roman" w:cs="Times New Roman"/>
                <w:color w:val="000000"/>
                <w:sz w:val="15"/>
                <w:szCs w:val="15"/>
              </w:rPr>
              <w:t>0.063</w:t>
            </w:r>
          </w:p>
        </w:tc>
        <w:tc>
          <w:tcPr>
            <w:tcW w:w="2427" w:type="dxa"/>
          </w:tcPr>
          <w:p w14:paraId="181E26BA" w14:textId="77777777" w:rsidR="00344841" w:rsidRPr="00344841" w:rsidRDefault="00344841" w:rsidP="00344841">
            <w:pPr>
              <w:rPr>
                <w:rFonts w:ascii="Times New Roman" w:hAnsi="Times New Roman" w:cs="Times New Roman"/>
                <w:sz w:val="15"/>
                <w:szCs w:val="15"/>
              </w:rPr>
            </w:pPr>
            <w:r w:rsidRPr="00344841">
              <w:rPr>
                <w:rFonts w:ascii="Times New Roman" w:hAnsi="Times New Roman" w:cs="Times New Roman"/>
                <w:sz w:val="15"/>
                <w:szCs w:val="15"/>
              </w:rPr>
              <w:t>0.351</w:t>
            </w:r>
          </w:p>
          <w:p w14:paraId="74EBBE1E" w14:textId="77777777" w:rsidR="00344841" w:rsidRPr="00344841" w:rsidRDefault="00344841" w:rsidP="00344841">
            <w:pPr>
              <w:rPr>
                <w:rFonts w:ascii="Times New Roman" w:hAnsi="Times New Roman" w:cs="Times New Roman"/>
                <w:sz w:val="15"/>
                <w:szCs w:val="15"/>
              </w:rPr>
            </w:pPr>
            <w:r w:rsidRPr="00344841">
              <w:rPr>
                <w:rFonts w:ascii="Times New Roman" w:hAnsi="Times New Roman" w:cs="Times New Roman"/>
                <w:sz w:val="15"/>
                <w:szCs w:val="15"/>
              </w:rPr>
              <w:t>0.082</w:t>
            </w:r>
          </w:p>
          <w:p w14:paraId="6C78C7DE" w14:textId="3858A367" w:rsidR="00344841" w:rsidRPr="00344841" w:rsidRDefault="00344841" w:rsidP="00344841">
            <w:pPr>
              <w:rPr>
                <w:rFonts w:ascii="Times New Roman" w:hAnsi="Times New Roman" w:cs="Times New Roman"/>
                <w:sz w:val="15"/>
                <w:szCs w:val="15"/>
              </w:rPr>
            </w:pPr>
            <w:r w:rsidRPr="00344841">
              <w:rPr>
                <w:rFonts w:ascii="Times New Roman" w:hAnsi="Times New Roman" w:cs="Times New Roman"/>
                <w:sz w:val="15"/>
                <w:szCs w:val="15"/>
              </w:rPr>
              <w:t>0.005</w:t>
            </w:r>
            <w:r w:rsidR="00E2112C">
              <w:rPr>
                <w:rFonts w:ascii="Times New Roman" w:hAnsi="Times New Roman" w:cs="Times New Roman"/>
                <w:color w:val="000000"/>
                <w:sz w:val="15"/>
                <w:szCs w:val="15"/>
              </w:rPr>
              <w:t>**</w:t>
            </w:r>
          </w:p>
          <w:p w14:paraId="09AAA2D2" w14:textId="77777777" w:rsidR="00344841" w:rsidRPr="00344841" w:rsidRDefault="00344841" w:rsidP="00344841">
            <w:pPr>
              <w:rPr>
                <w:rFonts w:ascii="Times New Roman" w:hAnsi="Times New Roman" w:cs="Times New Roman"/>
                <w:sz w:val="15"/>
                <w:szCs w:val="15"/>
              </w:rPr>
            </w:pPr>
            <w:r w:rsidRPr="00344841">
              <w:rPr>
                <w:rFonts w:ascii="Times New Roman" w:hAnsi="Times New Roman" w:cs="Times New Roman"/>
                <w:sz w:val="15"/>
                <w:szCs w:val="15"/>
              </w:rPr>
              <w:t>0.057</w:t>
            </w:r>
          </w:p>
          <w:p w14:paraId="50F28080" w14:textId="77777777" w:rsidR="00FE2AA9" w:rsidRPr="00FE2AA9" w:rsidRDefault="00FE2AA9" w:rsidP="00FE2AA9">
            <w:pPr>
              <w:rPr>
                <w:rFonts w:ascii="Times New Roman" w:hAnsi="Times New Roman" w:cs="Times New Roman"/>
                <w:sz w:val="15"/>
                <w:szCs w:val="15"/>
              </w:rPr>
            </w:pPr>
          </w:p>
        </w:tc>
        <w:tc>
          <w:tcPr>
            <w:tcW w:w="2158" w:type="dxa"/>
          </w:tcPr>
          <w:p w14:paraId="2A4735BF" w14:textId="77777777" w:rsidR="00344841" w:rsidRPr="00344841" w:rsidRDefault="00344841" w:rsidP="00344841">
            <w:pPr>
              <w:rPr>
                <w:rFonts w:ascii="Times New Roman" w:hAnsi="Times New Roman" w:cs="Times New Roman"/>
                <w:sz w:val="15"/>
                <w:szCs w:val="15"/>
              </w:rPr>
            </w:pPr>
            <w:r w:rsidRPr="00344841">
              <w:rPr>
                <w:rFonts w:ascii="Times New Roman" w:hAnsi="Times New Roman" w:cs="Times New Roman"/>
                <w:sz w:val="15"/>
                <w:szCs w:val="15"/>
              </w:rPr>
              <w:t>0.680</w:t>
            </w:r>
          </w:p>
          <w:p w14:paraId="1B6FB7B7" w14:textId="77777777" w:rsidR="00344841" w:rsidRPr="00344841" w:rsidRDefault="00344841" w:rsidP="00344841">
            <w:pPr>
              <w:rPr>
                <w:rFonts w:ascii="Times New Roman" w:hAnsi="Times New Roman" w:cs="Times New Roman"/>
                <w:sz w:val="15"/>
                <w:szCs w:val="15"/>
              </w:rPr>
            </w:pPr>
            <w:r w:rsidRPr="00344841">
              <w:rPr>
                <w:rFonts w:ascii="Times New Roman" w:hAnsi="Times New Roman" w:cs="Times New Roman"/>
                <w:sz w:val="15"/>
                <w:szCs w:val="15"/>
              </w:rPr>
              <w:t>0.926</w:t>
            </w:r>
          </w:p>
          <w:p w14:paraId="2BA5D934" w14:textId="77777777" w:rsidR="00344841" w:rsidRPr="00344841" w:rsidRDefault="00344841" w:rsidP="00344841">
            <w:pPr>
              <w:rPr>
                <w:rFonts w:ascii="Times New Roman" w:hAnsi="Times New Roman" w:cs="Times New Roman"/>
                <w:sz w:val="15"/>
                <w:szCs w:val="15"/>
              </w:rPr>
            </w:pPr>
            <w:r w:rsidRPr="00344841">
              <w:rPr>
                <w:rFonts w:ascii="Times New Roman" w:hAnsi="Times New Roman" w:cs="Times New Roman"/>
                <w:sz w:val="15"/>
                <w:szCs w:val="15"/>
              </w:rPr>
              <w:t>0.721</w:t>
            </w:r>
          </w:p>
          <w:p w14:paraId="54BD5B15" w14:textId="77777777" w:rsidR="00344841" w:rsidRPr="00344841" w:rsidRDefault="00344841" w:rsidP="00344841">
            <w:pPr>
              <w:rPr>
                <w:rFonts w:ascii="Times New Roman" w:hAnsi="Times New Roman" w:cs="Times New Roman"/>
                <w:sz w:val="15"/>
                <w:szCs w:val="15"/>
              </w:rPr>
            </w:pPr>
            <w:r w:rsidRPr="00344841">
              <w:rPr>
                <w:rFonts w:ascii="Times New Roman" w:hAnsi="Times New Roman" w:cs="Times New Roman"/>
                <w:sz w:val="15"/>
                <w:szCs w:val="15"/>
              </w:rPr>
              <w:t>0.944</w:t>
            </w:r>
          </w:p>
          <w:p w14:paraId="0725D976" w14:textId="751DB3F1" w:rsidR="00FE2AA9" w:rsidRPr="00FE2AA9" w:rsidRDefault="00344841" w:rsidP="00FE2AA9">
            <w:pPr>
              <w:rPr>
                <w:rFonts w:ascii="Times New Roman" w:hAnsi="Times New Roman" w:cs="Times New Roman"/>
                <w:sz w:val="15"/>
                <w:szCs w:val="15"/>
              </w:rPr>
            </w:pPr>
            <w:r w:rsidRPr="00344841">
              <w:rPr>
                <w:rFonts w:ascii="Times New Roman" w:hAnsi="Times New Roman" w:cs="Times New Roman"/>
                <w:sz w:val="15"/>
                <w:szCs w:val="15"/>
              </w:rPr>
              <w:t>0.620</w:t>
            </w:r>
          </w:p>
        </w:tc>
      </w:tr>
      <w:tr w:rsidR="00FE2AA9" w14:paraId="23E93CF1" w14:textId="77777777" w:rsidTr="005A295F">
        <w:tc>
          <w:tcPr>
            <w:tcW w:w="2157" w:type="dxa"/>
          </w:tcPr>
          <w:p w14:paraId="6F311EE5"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STEM</w:t>
            </w:r>
          </w:p>
        </w:tc>
        <w:tc>
          <w:tcPr>
            <w:tcW w:w="1888" w:type="dxa"/>
          </w:tcPr>
          <w:p w14:paraId="3217D5AA" w14:textId="77777777"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0.603</w:t>
            </w:r>
          </w:p>
          <w:p w14:paraId="74050C2D" w14:textId="77777777"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0.457</w:t>
            </w:r>
          </w:p>
          <w:p w14:paraId="7A619186" w14:textId="77777777"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0.771</w:t>
            </w:r>
          </w:p>
          <w:p w14:paraId="22F2D140" w14:textId="77777777"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0.715</w:t>
            </w:r>
          </w:p>
          <w:p w14:paraId="156CE392" w14:textId="3136A168" w:rsidR="00FE2AA9" w:rsidRPr="00FE2AA9" w:rsidRDefault="00DF2DFF" w:rsidP="00FE2AA9">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0.486</w:t>
            </w:r>
          </w:p>
        </w:tc>
        <w:tc>
          <w:tcPr>
            <w:tcW w:w="2427" w:type="dxa"/>
          </w:tcPr>
          <w:p w14:paraId="7905AB28" w14:textId="77777777"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0.611</w:t>
            </w:r>
          </w:p>
          <w:p w14:paraId="5F7C7A39" w14:textId="79DB4272"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0.028</w:t>
            </w:r>
            <w:r w:rsidR="00E2112C">
              <w:rPr>
                <w:rFonts w:ascii="Times New Roman" w:hAnsi="Times New Roman" w:cs="Times New Roman"/>
                <w:color w:val="000000"/>
                <w:sz w:val="15"/>
                <w:szCs w:val="15"/>
              </w:rPr>
              <w:t>*</w:t>
            </w:r>
          </w:p>
          <w:p w14:paraId="785980FD" w14:textId="127DA979"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0.043</w:t>
            </w:r>
            <w:r w:rsidR="00E2112C">
              <w:rPr>
                <w:rFonts w:ascii="Times New Roman" w:hAnsi="Times New Roman" w:cs="Times New Roman"/>
                <w:color w:val="000000"/>
                <w:sz w:val="15"/>
                <w:szCs w:val="15"/>
              </w:rPr>
              <w:t>*</w:t>
            </w:r>
          </w:p>
          <w:p w14:paraId="3ED0D4FD" w14:textId="77777777"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0.193</w:t>
            </w:r>
          </w:p>
          <w:p w14:paraId="7EE82A43" w14:textId="540B8870" w:rsidR="00FE2AA9" w:rsidRPr="00FE2AA9" w:rsidRDefault="00FE2AA9" w:rsidP="00FE2AA9">
            <w:pPr>
              <w:rPr>
                <w:rFonts w:ascii="Times New Roman" w:hAnsi="Times New Roman" w:cs="Times New Roman"/>
                <w:color w:val="000000"/>
                <w:sz w:val="15"/>
                <w:szCs w:val="15"/>
              </w:rPr>
            </w:pPr>
          </w:p>
        </w:tc>
        <w:tc>
          <w:tcPr>
            <w:tcW w:w="2158" w:type="dxa"/>
          </w:tcPr>
          <w:p w14:paraId="4F50DFFA" w14:textId="77777777"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0.424</w:t>
            </w:r>
          </w:p>
          <w:p w14:paraId="20374CB0" w14:textId="77777777"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0.507</w:t>
            </w:r>
          </w:p>
          <w:p w14:paraId="59BDB2E0" w14:textId="77777777"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0.356</w:t>
            </w:r>
          </w:p>
          <w:p w14:paraId="6704AC02" w14:textId="77777777" w:rsidR="00DF2DFF" w:rsidRPr="00DF2DFF" w:rsidRDefault="00DF2DFF" w:rsidP="00DF2DFF">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0.302</w:t>
            </w:r>
          </w:p>
          <w:p w14:paraId="50FA0D9E" w14:textId="4BAEEF36" w:rsidR="00FE2AA9" w:rsidRPr="00FE2AA9" w:rsidRDefault="00DF2DFF" w:rsidP="00FE2AA9">
            <w:pPr>
              <w:rPr>
                <w:rFonts w:ascii="Times New Roman" w:hAnsi="Times New Roman" w:cs="Times New Roman"/>
                <w:color w:val="000000"/>
                <w:sz w:val="15"/>
                <w:szCs w:val="15"/>
              </w:rPr>
            </w:pPr>
            <w:r w:rsidRPr="00DF2DFF">
              <w:rPr>
                <w:rFonts w:ascii="Times New Roman" w:hAnsi="Times New Roman" w:cs="Times New Roman"/>
                <w:color w:val="000000"/>
                <w:sz w:val="15"/>
                <w:szCs w:val="15"/>
              </w:rPr>
              <w:t>0.826</w:t>
            </w:r>
          </w:p>
        </w:tc>
      </w:tr>
      <w:tr w:rsidR="00FE2AA9" w14:paraId="711E3D54" w14:textId="77777777" w:rsidTr="005A295F">
        <w:tc>
          <w:tcPr>
            <w:tcW w:w="2157" w:type="dxa"/>
          </w:tcPr>
          <w:p w14:paraId="45D3BB86"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Trades</w:t>
            </w:r>
          </w:p>
        </w:tc>
        <w:tc>
          <w:tcPr>
            <w:tcW w:w="1888" w:type="dxa"/>
          </w:tcPr>
          <w:p w14:paraId="7D008217" w14:textId="77777777" w:rsidR="00C51F05" w:rsidRPr="00C51F05" w:rsidRDefault="00C51F05" w:rsidP="00C51F05">
            <w:pPr>
              <w:rPr>
                <w:rFonts w:ascii="Times New Roman" w:hAnsi="Times New Roman" w:cs="Times New Roman"/>
                <w:color w:val="000000"/>
                <w:sz w:val="15"/>
                <w:szCs w:val="15"/>
              </w:rPr>
            </w:pPr>
            <w:r w:rsidRPr="00C51F05">
              <w:rPr>
                <w:rFonts w:ascii="Times New Roman" w:hAnsi="Times New Roman" w:cs="Times New Roman"/>
                <w:color w:val="000000"/>
                <w:sz w:val="15"/>
                <w:szCs w:val="15"/>
              </w:rPr>
              <w:t>0.693</w:t>
            </w:r>
          </w:p>
          <w:p w14:paraId="44131EEA" w14:textId="77777777" w:rsidR="00C51F05" w:rsidRPr="00C51F05" w:rsidRDefault="00C51F05" w:rsidP="00C51F05">
            <w:pPr>
              <w:rPr>
                <w:rFonts w:ascii="Times New Roman" w:hAnsi="Times New Roman" w:cs="Times New Roman"/>
                <w:color w:val="000000"/>
                <w:sz w:val="15"/>
                <w:szCs w:val="15"/>
              </w:rPr>
            </w:pPr>
            <w:r w:rsidRPr="00C51F05">
              <w:rPr>
                <w:rFonts w:ascii="Times New Roman" w:hAnsi="Times New Roman" w:cs="Times New Roman"/>
                <w:color w:val="000000"/>
                <w:sz w:val="15"/>
                <w:szCs w:val="15"/>
              </w:rPr>
              <w:t>0.394</w:t>
            </w:r>
          </w:p>
          <w:p w14:paraId="0714192F" w14:textId="77777777" w:rsidR="00C51F05" w:rsidRPr="00C51F05" w:rsidRDefault="00C51F05" w:rsidP="00C51F05">
            <w:pPr>
              <w:rPr>
                <w:rFonts w:ascii="Times New Roman" w:hAnsi="Times New Roman" w:cs="Times New Roman"/>
                <w:color w:val="000000"/>
                <w:sz w:val="15"/>
                <w:szCs w:val="15"/>
              </w:rPr>
            </w:pPr>
            <w:r w:rsidRPr="00C51F05">
              <w:rPr>
                <w:rFonts w:ascii="Times New Roman" w:hAnsi="Times New Roman" w:cs="Times New Roman"/>
                <w:color w:val="000000"/>
                <w:sz w:val="15"/>
                <w:szCs w:val="15"/>
              </w:rPr>
              <w:t>0.323</w:t>
            </w:r>
          </w:p>
          <w:p w14:paraId="43487A2A" w14:textId="77777777" w:rsidR="00C51F05" w:rsidRPr="00C51F05" w:rsidRDefault="00C51F05" w:rsidP="00C51F05">
            <w:pPr>
              <w:rPr>
                <w:rFonts w:ascii="Times New Roman" w:hAnsi="Times New Roman" w:cs="Times New Roman"/>
                <w:color w:val="000000"/>
                <w:sz w:val="15"/>
                <w:szCs w:val="15"/>
              </w:rPr>
            </w:pPr>
            <w:r w:rsidRPr="00C51F05">
              <w:rPr>
                <w:rFonts w:ascii="Times New Roman" w:hAnsi="Times New Roman" w:cs="Times New Roman"/>
                <w:color w:val="000000"/>
                <w:sz w:val="15"/>
                <w:szCs w:val="15"/>
              </w:rPr>
              <w:t>0.926</w:t>
            </w:r>
          </w:p>
          <w:p w14:paraId="05EBE2E9" w14:textId="5B2D1326" w:rsidR="00FE2AA9" w:rsidRPr="00FE2AA9" w:rsidRDefault="00C51F05" w:rsidP="00FE2AA9">
            <w:pPr>
              <w:rPr>
                <w:rFonts w:ascii="Times New Roman" w:hAnsi="Times New Roman" w:cs="Times New Roman"/>
                <w:color w:val="000000"/>
                <w:sz w:val="15"/>
                <w:szCs w:val="15"/>
              </w:rPr>
            </w:pPr>
            <w:r w:rsidRPr="00C51F05">
              <w:rPr>
                <w:rFonts w:ascii="Times New Roman" w:hAnsi="Times New Roman" w:cs="Times New Roman"/>
                <w:color w:val="000000"/>
                <w:sz w:val="15"/>
                <w:szCs w:val="15"/>
              </w:rPr>
              <w:t>0.612</w:t>
            </w:r>
          </w:p>
        </w:tc>
        <w:tc>
          <w:tcPr>
            <w:tcW w:w="2427" w:type="dxa"/>
          </w:tcPr>
          <w:p w14:paraId="252E8E33" w14:textId="77777777" w:rsidR="00C51F05" w:rsidRPr="00C51F05" w:rsidRDefault="00C51F05" w:rsidP="00C51F05">
            <w:pPr>
              <w:rPr>
                <w:rFonts w:ascii="Times New Roman" w:hAnsi="Times New Roman" w:cs="Times New Roman"/>
                <w:sz w:val="15"/>
                <w:szCs w:val="15"/>
              </w:rPr>
            </w:pPr>
            <w:r w:rsidRPr="00C51F05">
              <w:rPr>
                <w:rFonts w:ascii="Times New Roman" w:hAnsi="Times New Roman" w:cs="Times New Roman"/>
                <w:sz w:val="15"/>
                <w:szCs w:val="15"/>
              </w:rPr>
              <w:t>0.439</w:t>
            </w:r>
          </w:p>
          <w:p w14:paraId="420660D1" w14:textId="77777777" w:rsidR="00C51F05" w:rsidRPr="00C51F05" w:rsidRDefault="00C51F05" w:rsidP="00C51F05">
            <w:pPr>
              <w:rPr>
                <w:rFonts w:ascii="Times New Roman" w:hAnsi="Times New Roman" w:cs="Times New Roman"/>
                <w:sz w:val="15"/>
                <w:szCs w:val="15"/>
              </w:rPr>
            </w:pPr>
            <w:r w:rsidRPr="00C51F05">
              <w:rPr>
                <w:rFonts w:ascii="Times New Roman" w:hAnsi="Times New Roman" w:cs="Times New Roman"/>
                <w:sz w:val="15"/>
                <w:szCs w:val="15"/>
              </w:rPr>
              <w:t>0.188</w:t>
            </w:r>
          </w:p>
          <w:p w14:paraId="694CAC9C" w14:textId="77777777" w:rsidR="00C51F05" w:rsidRPr="00C51F05" w:rsidRDefault="00C51F05" w:rsidP="00C51F05">
            <w:pPr>
              <w:rPr>
                <w:rFonts w:ascii="Times New Roman" w:hAnsi="Times New Roman" w:cs="Times New Roman"/>
                <w:sz w:val="15"/>
                <w:szCs w:val="15"/>
              </w:rPr>
            </w:pPr>
            <w:r w:rsidRPr="00C51F05">
              <w:rPr>
                <w:rFonts w:ascii="Times New Roman" w:hAnsi="Times New Roman" w:cs="Times New Roman"/>
                <w:sz w:val="15"/>
                <w:szCs w:val="15"/>
              </w:rPr>
              <w:t>0.195</w:t>
            </w:r>
          </w:p>
          <w:p w14:paraId="2E8905CE" w14:textId="77777777" w:rsidR="00C51F05" w:rsidRPr="00C51F05" w:rsidRDefault="00C51F05" w:rsidP="00C51F05">
            <w:pPr>
              <w:rPr>
                <w:rFonts w:ascii="Times New Roman" w:hAnsi="Times New Roman" w:cs="Times New Roman"/>
                <w:sz w:val="15"/>
                <w:szCs w:val="15"/>
              </w:rPr>
            </w:pPr>
            <w:r w:rsidRPr="00C51F05">
              <w:rPr>
                <w:rFonts w:ascii="Times New Roman" w:hAnsi="Times New Roman" w:cs="Times New Roman"/>
                <w:sz w:val="15"/>
                <w:szCs w:val="15"/>
              </w:rPr>
              <w:t>0.829</w:t>
            </w:r>
          </w:p>
          <w:p w14:paraId="0EBB2C4B" w14:textId="77777777" w:rsidR="00FE2AA9" w:rsidRPr="00FE2AA9" w:rsidRDefault="00FE2AA9" w:rsidP="00FE2AA9">
            <w:pPr>
              <w:rPr>
                <w:rFonts w:ascii="Times New Roman" w:hAnsi="Times New Roman" w:cs="Times New Roman"/>
                <w:sz w:val="15"/>
                <w:szCs w:val="15"/>
              </w:rPr>
            </w:pPr>
          </w:p>
        </w:tc>
        <w:tc>
          <w:tcPr>
            <w:tcW w:w="2158" w:type="dxa"/>
          </w:tcPr>
          <w:p w14:paraId="49F0B903" w14:textId="77777777" w:rsidR="00C51F05" w:rsidRPr="00C51F05" w:rsidRDefault="00C51F05" w:rsidP="00C51F05">
            <w:pPr>
              <w:rPr>
                <w:rFonts w:ascii="Times New Roman" w:hAnsi="Times New Roman" w:cs="Times New Roman"/>
                <w:color w:val="000000"/>
                <w:sz w:val="15"/>
                <w:szCs w:val="15"/>
              </w:rPr>
            </w:pPr>
            <w:r w:rsidRPr="00C51F05">
              <w:rPr>
                <w:rFonts w:ascii="Times New Roman" w:hAnsi="Times New Roman" w:cs="Times New Roman"/>
                <w:color w:val="000000"/>
                <w:sz w:val="15"/>
                <w:szCs w:val="15"/>
              </w:rPr>
              <w:t>0.088</w:t>
            </w:r>
          </w:p>
          <w:p w14:paraId="1C5B23DA" w14:textId="66B9919C" w:rsidR="00C51F05" w:rsidRPr="00C51F05" w:rsidRDefault="00C51F05" w:rsidP="00C51F05">
            <w:pPr>
              <w:rPr>
                <w:rFonts w:ascii="Times New Roman" w:hAnsi="Times New Roman" w:cs="Times New Roman"/>
                <w:color w:val="000000"/>
                <w:sz w:val="15"/>
                <w:szCs w:val="15"/>
              </w:rPr>
            </w:pPr>
            <w:r w:rsidRPr="00C51F05">
              <w:rPr>
                <w:rFonts w:ascii="Times New Roman" w:hAnsi="Times New Roman" w:cs="Times New Roman"/>
                <w:color w:val="000000"/>
                <w:sz w:val="15"/>
                <w:szCs w:val="15"/>
              </w:rPr>
              <w:t>0.031</w:t>
            </w:r>
            <w:r w:rsidR="00E2112C">
              <w:rPr>
                <w:rFonts w:ascii="Times New Roman" w:hAnsi="Times New Roman" w:cs="Times New Roman"/>
                <w:color w:val="000000"/>
                <w:sz w:val="15"/>
                <w:szCs w:val="15"/>
              </w:rPr>
              <w:t>*</w:t>
            </w:r>
          </w:p>
          <w:p w14:paraId="3B2E20B1" w14:textId="77777777" w:rsidR="00C51F05" w:rsidRPr="00C51F05" w:rsidRDefault="00C51F05" w:rsidP="00C51F05">
            <w:pPr>
              <w:rPr>
                <w:rFonts w:ascii="Times New Roman" w:hAnsi="Times New Roman" w:cs="Times New Roman"/>
                <w:color w:val="000000"/>
                <w:sz w:val="15"/>
                <w:szCs w:val="15"/>
              </w:rPr>
            </w:pPr>
            <w:r w:rsidRPr="00C51F05">
              <w:rPr>
                <w:rFonts w:ascii="Times New Roman" w:hAnsi="Times New Roman" w:cs="Times New Roman"/>
                <w:color w:val="000000"/>
                <w:sz w:val="15"/>
                <w:szCs w:val="15"/>
              </w:rPr>
              <w:t>0.122</w:t>
            </w:r>
          </w:p>
          <w:p w14:paraId="0617A1A1" w14:textId="77777777" w:rsidR="00C51F05" w:rsidRPr="00C51F05" w:rsidRDefault="00C51F05" w:rsidP="00C51F05">
            <w:pPr>
              <w:rPr>
                <w:rFonts w:ascii="Times New Roman" w:hAnsi="Times New Roman" w:cs="Times New Roman"/>
                <w:color w:val="000000"/>
                <w:sz w:val="15"/>
                <w:szCs w:val="15"/>
              </w:rPr>
            </w:pPr>
            <w:r w:rsidRPr="00C51F05">
              <w:rPr>
                <w:rFonts w:ascii="Times New Roman" w:hAnsi="Times New Roman" w:cs="Times New Roman"/>
                <w:color w:val="000000"/>
                <w:sz w:val="15"/>
                <w:szCs w:val="15"/>
              </w:rPr>
              <w:t>0.110</w:t>
            </w:r>
          </w:p>
          <w:p w14:paraId="20E44B02" w14:textId="0B50B266" w:rsidR="00FE2AA9" w:rsidRPr="00FE2AA9" w:rsidRDefault="00C51F05" w:rsidP="00FE2AA9">
            <w:pPr>
              <w:rPr>
                <w:rFonts w:ascii="Times New Roman" w:hAnsi="Times New Roman" w:cs="Times New Roman"/>
                <w:color w:val="000000"/>
                <w:sz w:val="15"/>
                <w:szCs w:val="15"/>
              </w:rPr>
            </w:pPr>
            <w:r w:rsidRPr="00C51F05">
              <w:rPr>
                <w:rFonts w:ascii="Times New Roman" w:hAnsi="Times New Roman" w:cs="Times New Roman"/>
                <w:color w:val="000000"/>
                <w:sz w:val="15"/>
                <w:szCs w:val="15"/>
              </w:rPr>
              <w:t>0.031</w:t>
            </w:r>
          </w:p>
        </w:tc>
      </w:tr>
      <w:tr w:rsidR="00FE2AA9" w14:paraId="1F0C4B42" w14:textId="77777777" w:rsidTr="005A295F">
        <w:tc>
          <w:tcPr>
            <w:tcW w:w="2157" w:type="dxa"/>
          </w:tcPr>
          <w:p w14:paraId="3023A2CC"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Lib Arts</w:t>
            </w:r>
          </w:p>
        </w:tc>
        <w:tc>
          <w:tcPr>
            <w:tcW w:w="1888" w:type="dxa"/>
          </w:tcPr>
          <w:p w14:paraId="057A2DB0" w14:textId="7665AB2A" w:rsidR="00625973" w:rsidRPr="00625973" w:rsidRDefault="00625973" w:rsidP="00625973">
            <w:pPr>
              <w:rPr>
                <w:rFonts w:ascii="Times New Roman" w:hAnsi="Times New Roman" w:cs="Times New Roman"/>
                <w:color w:val="000000"/>
                <w:sz w:val="15"/>
                <w:szCs w:val="15"/>
              </w:rPr>
            </w:pPr>
            <w:r w:rsidRPr="00625973">
              <w:rPr>
                <w:rFonts w:ascii="Times New Roman" w:hAnsi="Times New Roman" w:cs="Times New Roman"/>
                <w:color w:val="000000"/>
                <w:sz w:val="15"/>
                <w:szCs w:val="15"/>
              </w:rPr>
              <w:t>0.008</w:t>
            </w:r>
            <w:r w:rsidR="00497001">
              <w:rPr>
                <w:rFonts w:ascii="Times New Roman" w:hAnsi="Times New Roman" w:cs="Times New Roman"/>
                <w:color w:val="000000"/>
                <w:sz w:val="15"/>
                <w:szCs w:val="15"/>
              </w:rPr>
              <w:t>**</w:t>
            </w:r>
          </w:p>
          <w:p w14:paraId="0F8270ED" w14:textId="6985B4E7" w:rsidR="00625973" w:rsidRPr="00625973" w:rsidRDefault="00625973" w:rsidP="00625973">
            <w:pPr>
              <w:rPr>
                <w:rFonts w:ascii="Times New Roman" w:hAnsi="Times New Roman" w:cs="Times New Roman"/>
                <w:color w:val="000000"/>
                <w:sz w:val="15"/>
                <w:szCs w:val="15"/>
              </w:rPr>
            </w:pPr>
            <w:r w:rsidRPr="00625973">
              <w:rPr>
                <w:rFonts w:ascii="Times New Roman" w:hAnsi="Times New Roman" w:cs="Times New Roman"/>
                <w:color w:val="000000"/>
                <w:sz w:val="15"/>
                <w:szCs w:val="15"/>
              </w:rPr>
              <w:t>0.009</w:t>
            </w:r>
            <w:r w:rsidR="00497001">
              <w:rPr>
                <w:rFonts w:ascii="Times New Roman" w:hAnsi="Times New Roman" w:cs="Times New Roman"/>
                <w:color w:val="000000"/>
                <w:sz w:val="15"/>
                <w:szCs w:val="15"/>
              </w:rPr>
              <w:t>**</w:t>
            </w:r>
          </w:p>
          <w:p w14:paraId="454A109E" w14:textId="67711F49" w:rsidR="00625973" w:rsidRPr="00625973" w:rsidRDefault="00625973" w:rsidP="00625973">
            <w:pPr>
              <w:rPr>
                <w:rFonts w:ascii="Times New Roman" w:hAnsi="Times New Roman" w:cs="Times New Roman"/>
                <w:color w:val="000000"/>
                <w:sz w:val="15"/>
                <w:szCs w:val="15"/>
              </w:rPr>
            </w:pPr>
            <w:r w:rsidRPr="00625973">
              <w:rPr>
                <w:rFonts w:ascii="Times New Roman" w:hAnsi="Times New Roman" w:cs="Times New Roman"/>
                <w:color w:val="000000"/>
                <w:sz w:val="15"/>
                <w:szCs w:val="15"/>
              </w:rPr>
              <w:t>0.009</w:t>
            </w:r>
            <w:r w:rsidR="00497001">
              <w:rPr>
                <w:rFonts w:ascii="Times New Roman" w:hAnsi="Times New Roman" w:cs="Times New Roman"/>
                <w:color w:val="000000"/>
                <w:sz w:val="15"/>
                <w:szCs w:val="15"/>
              </w:rPr>
              <w:t>**</w:t>
            </w:r>
          </w:p>
          <w:p w14:paraId="69B4D080" w14:textId="5CADB7B2" w:rsidR="00625973" w:rsidRPr="00625973" w:rsidRDefault="00625973" w:rsidP="00625973">
            <w:pPr>
              <w:rPr>
                <w:rFonts w:ascii="Times New Roman" w:hAnsi="Times New Roman" w:cs="Times New Roman"/>
                <w:color w:val="000000"/>
                <w:sz w:val="15"/>
                <w:szCs w:val="15"/>
              </w:rPr>
            </w:pPr>
            <w:r w:rsidRPr="00625973">
              <w:rPr>
                <w:rFonts w:ascii="Times New Roman" w:hAnsi="Times New Roman" w:cs="Times New Roman"/>
                <w:color w:val="000000"/>
                <w:sz w:val="15"/>
                <w:szCs w:val="15"/>
              </w:rPr>
              <w:t>0.002</w:t>
            </w:r>
            <w:r w:rsidR="00497001">
              <w:rPr>
                <w:rFonts w:ascii="Times New Roman" w:hAnsi="Times New Roman" w:cs="Times New Roman"/>
                <w:color w:val="000000"/>
                <w:sz w:val="15"/>
                <w:szCs w:val="15"/>
              </w:rPr>
              <w:t>**</w:t>
            </w:r>
          </w:p>
          <w:p w14:paraId="12BF87D6" w14:textId="58D88605" w:rsidR="00FE2AA9" w:rsidRPr="00FE2AA9" w:rsidRDefault="00625973" w:rsidP="00FE2AA9">
            <w:pPr>
              <w:rPr>
                <w:rFonts w:ascii="Times New Roman" w:hAnsi="Times New Roman" w:cs="Times New Roman"/>
                <w:color w:val="000000"/>
                <w:sz w:val="15"/>
                <w:szCs w:val="15"/>
              </w:rPr>
            </w:pPr>
            <w:r w:rsidRPr="00625973">
              <w:rPr>
                <w:rFonts w:ascii="Times New Roman" w:hAnsi="Times New Roman" w:cs="Times New Roman"/>
                <w:color w:val="000000"/>
                <w:sz w:val="15"/>
                <w:szCs w:val="15"/>
              </w:rPr>
              <w:t>0.000</w:t>
            </w:r>
            <w:r w:rsidR="00497001">
              <w:rPr>
                <w:rFonts w:ascii="Times New Roman" w:hAnsi="Times New Roman" w:cs="Times New Roman"/>
                <w:color w:val="000000"/>
                <w:sz w:val="15"/>
                <w:szCs w:val="15"/>
              </w:rPr>
              <w:t>***</w:t>
            </w:r>
          </w:p>
        </w:tc>
        <w:tc>
          <w:tcPr>
            <w:tcW w:w="2427" w:type="dxa"/>
          </w:tcPr>
          <w:p w14:paraId="76F40468" w14:textId="12E84A34" w:rsidR="008601FA" w:rsidRPr="008601FA" w:rsidRDefault="008601FA" w:rsidP="008601FA">
            <w:pPr>
              <w:rPr>
                <w:rFonts w:ascii="Times New Roman" w:hAnsi="Times New Roman" w:cs="Times New Roman"/>
                <w:color w:val="000000"/>
                <w:sz w:val="15"/>
                <w:szCs w:val="15"/>
              </w:rPr>
            </w:pPr>
            <w:r w:rsidRPr="008601FA">
              <w:rPr>
                <w:rFonts w:ascii="Times New Roman" w:hAnsi="Times New Roman" w:cs="Times New Roman"/>
                <w:color w:val="000000"/>
                <w:sz w:val="15"/>
                <w:szCs w:val="15"/>
              </w:rPr>
              <w:t>0.036</w:t>
            </w:r>
            <w:r w:rsidR="00E2112C">
              <w:rPr>
                <w:rFonts w:ascii="Times New Roman" w:hAnsi="Times New Roman" w:cs="Times New Roman"/>
                <w:color w:val="000000"/>
                <w:sz w:val="15"/>
                <w:szCs w:val="15"/>
              </w:rPr>
              <w:t>*</w:t>
            </w:r>
          </w:p>
          <w:p w14:paraId="3FBB3DE8" w14:textId="09977821" w:rsidR="008601FA" w:rsidRPr="008601FA" w:rsidRDefault="008601FA" w:rsidP="008601FA">
            <w:pPr>
              <w:rPr>
                <w:rFonts w:ascii="Times New Roman" w:hAnsi="Times New Roman" w:cs="Times New Roman"/>
                <w:color w:val="000000"/>
                <w:sz w:val="15"/>
                <w:szCs w:val="15"/>
              </w:rPr>
            </w:pPr>
            <w:r w:rsidRPr="008601FA">
              <w:rPr>
                <w:rFonts w:ascii="Times New Roman" w:hAnsi="Times New Roman" w:cs="Times New Roman"/>
                <w:color w:val="000000"/>
                <w:sz w:val="15"/>
                <w:szCs w:val="15"/>
              </w:rPr>
              <w:t>0.032</w:t>
            </w:r>
            <w:r w:rsidR="00E2112C">
              <w:rPr>
                <w:rFonts w:ascii="Times New Roman" w:hAnsi="Times New Roman" w:cs="Times New Roman"/>
                <w:color w:val="000000"/>
                <w:sz w:val="15"/>
                <w:szCs w:val="15"/>
              </w:rPr>
              <w:t>*</w:t>
            </w:r>
          </w:p>
          <w:p w14:paraId="048F4EC6" w14:textId="77777777" w:rsidR="008601FA" w:rsidRPr="008601FA" w:rsidRDefault="008601FA" w:rsidP="008601FA">
            <w:pPr>
              <w:rPr>
                <w:rFonts w:ascii="Times New Roman" w:hAnsi="Times New Roman" w:cs="Times New Roman"/>
                <w:color w:val="000000"/>
                <w:sz w:val="15"/>
                <w:szCs w:val="15"/>
              </w:rPr>
            </w:pPr>
            <w:r w:rsidRPr="008601FA">
              <w:rPr>
                <w:rFonts w:ascii="Times New Roman" w:hAnsi="Times New Roman" w:cs="Times New Roman"/>
                <w:color w:val="000000"/>
                <w:sz w:val="15"/>
                <w:szCs w:val="15"/>
              </w:rPr>
              <w:t>0.129</w:t>
            </w:r>
          </w:p>
          <w:p w14:paraId="6CA8B3BE" w14:textId="273CAC55" w:rsidR="008601FA" w:rsidRPr="008601FA" w:rsidRDefault="008601FA" w:rsidP="008601FA">
            <w:pPr>
              <w:rPr>
                <w:rFonts w:ascii="Times New Roman" w:hAnsi="Times New Roman" w:cs="Times New Roman"/>
                <w:color w:val="000000"/>
                <w:sz w:val="15"/>
                <w:szCs w:val="15"/>
              </w:rPr>
            </w:pPr>
            <w:r w:rsidRPr="008601FA">
              <w:rPr>
                <w:rFonts w:ascii="Times New Roman" w:hAnsi="Times New Roman" w:cs="Times New Roman"/>
                <w:color w:val="000000"/>
                <w:sz w:val="15"/>
                <w:szCs w:val="15"/>
              </w:rPr>
              <w:t>0.018</w:t>
            </w:r>
            <w:r w:rsidR="00497001">
              <w:rPr>
                <w:rFonts w:ascii="Times New Roman" w:hAnsi="Times New Roman" w:cs="Times New Roman"/>
                <w:color w:val="000000"/>
                <w:sz w:val="15"/>
                <w:szCs w:val="15"/>
              </w:rPr>
              <w:t>*</w:t>
            </w:r>
          </w:p>
          <w:p w14:paraId="6F42C7CE" w14:textId="1734C1C4" w:rsidR="00FE2AA9" w:rsidRPr="00FE2AA9" w:rsidRDefault="00FE2AA9" w:rsidP="00FE2AA9">
            <w:pPr>
              <w:rPr>
                <w:rFonts w:ascii="Times New Roman" w:hAnsi="Times New Roman" w:cs="Times New Roman"/>
                <w:color w:val="000000"/>
                <w:sz w:val="15"/>
                <w:szCs w:val="15"/>
              </w:rPr>
            </w:pPr>
          </w:p>
        </w:tc>
        <w:tc>
          <w:tcPr>
            <w:tcW w:w="2158" w:type="dxa"/>
          </w:tcPr>
          <w:p w14:paraId="43ADAFA6" w14:textId="02BCDFBF" w:rsidR="008601FA" w:rsidRPr="008601FA" w:rsidRDefault="008601FA" w:rsidP="008601FA">
            <w:pPr>
              <w:rPr>
                <w:rFonts w:ascii="Times New Roman" w:hAnsi="Times New Roman" w:cs="Times New Roman"/>
                <w:sz w:val="15"/>
                <w:szCs w:val="15"/>
              </w:rPr>
            </w:pPr>
            <w:r w:rsidRPr="008601FA">
              <w:rPr>
                <w:rFonts w:ascii="Times New Roman" w:hAnsi="Times New Roman" w:cs="Times New Roman"/>
                <w:sz w:val="15"/>
                <w:szCs w:val="15"/>
              </w:rPr>
              <w:t>0.000</w:t>
            </w:r>
            <w:r w:rsidR="00E2112C">
              <w:rPr>
                <w:rFonts w:ascii="Times New Roman" w:hAnsi="Times New Roman" w:cs="Times New Roman"/>
                <w:color w:val="000000"/>
                <w:sz w:val="15"/>
                <w:szCs w:val="15"/>
              </w:rPr>
              <w:t>***</w:t>
            </w:r>
          </w:p>
          <w:p w14:paraId="38FD6839" w14:textId="5D3BF05B" w:rsidR="008601FA" w:rsidRPr="008601FA" w:rsidRDefault="008601FA" w:rsidP="008601FA">
            <w:pPr>
              <w:rPr>
                <w:rFonts w:ascii="Times New Roman" w:hAnsi="Times New Roman" w:cs="Times New Roman"/>
                <w:sz w:val="15"/>
                <w:szCs w:val="15"/>
              </w:rPr>
            </w:pPr>
            <w:r w:rsidRPr="008601FA">
              <w:rPr>
                <w:rFonts w:ascii="Times New Roman" w:hAnsi="Times New Roman" w:cs="Times New Roman"/>
                <w:sz w:val="15"/>
                <w:szCs w:val="15"/>
              </w:rPr>
              <w:t>0.000</w:t>
            </w:r>
            <w:r w:rsidR="00E2112C">
              <w:rPr>
                <w:rFonts w:ascii="Times New Roman" w:hAnsi="Times New Roman" w:cs="Times New Roman"/>
                <w:color w:val="000000"/>
                <w:sz w:val="15"/>
                <w:szCs w:val="15"/>
              </w:rPr>
              <w:t>***</w:t>
            </w:r>
          </w:p>
          <w:p w14:paraId="6A19393D" w14:textId="174DC66E" w:rsidR="008601FA" w:rsidRPr="008601FA" w:rsidRDefault="008601FA" w:rsidP="008601FA">
            <w:pPr>
              <w:rPr>
                <w:rFonts w:ascii="Times New Roman" w:hAnsi="Times New Roman" w:cs="Times New Roman"/>
                <w:sz w:val="15"/>
                <w:szCs w:val="15"/>
              </w:rPr>
            </w:pPr>
            <w:r w:rsidRPr="008601FA">
              <w:rPr>
                <w:rFonts w:ascii="Times New Roman" w:hAnsi="Times New Roman" w:cs="Times New Roman"/>
                <w:sz w:val="15"/>
                <w:szCs w:val="15"/>
              </w:rPr>
              <w:t>0.000</w:t>
            </w:r>
            <w:r w:rsidR="00E2112C">
              <w:rPr>
                <w:rFonts w:ascii="Times New Roman" w:hAnsi="Times New Roman" w:cs="Times New Roman"/>
                <w:color w:val="000000"/>
                <w:sz w:val="15"/>
                <w:szCs w:val="15"/>
              </w:rPr>
              <w:t>***</w:t>
            </w:r>
          </w:p>
          <w:p w14:paraId="4DC7A24B" w14:textId="27643B89" w:rsidR="008601FA" w:rsidRPr="008601FA" w:rsidRDefault="008601FA" w:rsidP="008601FA">
            <w:pPr>
              <w:rPr>
                <w:rFonts w:ascii="Times New Roman" w:hAnsi="Times New Roman" w:cs="Times New Roman"/>
                <w:sz w:val="15"/>
                <w:szCs w:val="15"/>
              </w:rPr>
            </w:pPr>
            <w:r w:rsidRPr="008601FA">
              <w:rPr>
                <w:rFonts w:ascii="Times New Roman" w:hAnsi="Times New Roman" w:cs="Times New Roman"/>
                <w:sz w:val="15"/>
                <w:szCs w:val="15"/>
              </w:rPr>
              <w:t>0.000</w:t>
            </w:r>
            <w:r w:rsidR="00E2112C">
              <w:rPr>
                <w:rFonts w:ascii="Times New Roman" w:hAnsi="Times New Roman" w:cs="Times New Roman"/>
                <w:color w:val="000000"/>
                <w:sz w:val="15"/>
                <w:szCs w:val="15"/>
              </w:rPr>
              <w:t>***</w:t>
            </w:r>
          </w:p>
          <w:p w14:paraId="31A4EC5C" w14:textId="5AB57BD2" w:rsidR="00FE2AA9" w:rsidRPr="00FE2AA9" w:rsidRDefault="008601FA" w:rsidP="00FE2AA9">
            <w:pPr>
              <w:rPr>
                <w:rFonts w:ascii="Times New Roman" w:hAnsi="Times New Roman" w:cs="Times New Roman"/>
                <w:sz w:val="15"/>
                <w:szCs w:val="15"/>
              </w:rPr>
            </w:pPr>
            <w:r w:rsidRPr="008601FA">
              <w:rPr>
                <w:rFonts w:ascii="Times New Roman" w:hAnsi="Times New Roman" w:cs="Times New Roman"/>
                <w:sz w:val="15"/>
                <w:szCs w:val="15"/>
              </w:rPr>
              <w:t>0.000</w:t>
            </w:r>
            <w:r w:rsidR="00E2112C">
              <w:rPr>
                <w:rFonts w:ascii="Times New Roman" w:hAnsi="Times New Roman" w:cs="Times New Roman"/>
                <w:color w:val="000000"/>
                <w:sz w:val="15"/>
                <w:szCs w:val="15"/>
              </w:rPr>
              <w:t>**</w:t>
            </w:r>
          </w:p>
        </w:tc>
      </w:tr>
      <w:tr w:rsidR="00FE2AA9" w14:paraId="300EC08C" w14:textId="77777777" w:rsidTr="005A295F">
        <w:tc>
          <w:tcPr>
            <w:tcW w:w="2157" w:type="dxa"/>
          </w:tcPr>
          <w:p w14:paraId="35AFE18B"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Pro. Services </w:t>
            </w:r>
          </w:p>
        </w:tc>
        <w:tc>
          <w:tcPr>
            <w:tcW w:w="1888" w:type="dxa"/>
          </w:tcPr>
          <w:p w14:paraId="00C63087" w14:textId="77777777" w:rsidR="007033F1" w:rsidRPr="007033F1" w:rsidRDefault="007033F1" w:rsidP="007033F1">
            <w:pPr>
              <w:rPr>
                <w:rFonts w:ascii="Times New Roman" w:hAnsi="Times New Roman" w:cs="Times New Roman"/>
                <w:color w:val="000000"/>
                <w:sz w:val="15"/>
                <w:szCs w:val="15"/>
              </w:rPr>
            </w:pPr>
            <w:r w:rsidRPr="007033F1">
              <w:rPr>
                <w:rFonts w:ascii="Times New Roman" w:hAnsi="Times New Roman" w:cs="Times New Roman"/>
                <w:color w:val="000000"/>
                <w:sz w:val="15"/>
                <w:szCs w:val="15"/>
              </w:rPr>
              <w:t>0.889</w:t>
            </w:r>
          </w:p>
          <w:p w14:paraId="36E96B6B" w14:textId="77777777" w:rsidR="007033F1" w:rsidRPr="007033F1" w:rsidRDefault="007033F1" w:rsidP="007033F1">
            <w:pPr>
              <w:rPr>
                <w:rFonts w:ascii="Times New Roman" w:hAnsi="Times New Roman" w:cs="Times New Roman"/>
                <w:color w:val="000000"/>
                <w:sz w:val="15"/>
                <w:szCs w:val="15"/>
              </w:rPr>
            </w:pPr>
            <w:r w:rsidRPr="007033F1">
              <w:rPr>
                <w:rFonts w:ascii="Times New Roman" w:hAnsi="Times New Roman" w:cs="Times New Roman"/>
                <w:color w:val="000000"/>
                <w:sz w:val="15"/>
                <w:szCs w:val="15"/>
              </w:rPr>
              <w:t>0.708</w:t>
            </w:r>
          </w:p>
          <w:p w14:paraId="014506FB" w14:textId="77777777" w:rsidR="007033F1" w:rsidRPr="007033F1" w:rsidRDefault="007033F1" w:rsidP="007033F1">
            <w:pPr>
              <w:rPr>
                <w:rFonts w:ascii="Times New Roman" w:hAnsi="Times New Roman" w:cs="Times New Roman"/>
                <w:color w:val="000000"/>
                <w:sz w:val="15"/>
                <w:szCs w:val="15"/>
              </w:rPr>
            </w:pPr>
            <w:r w:rsidRPr="007033F1">
              <w:rPr>
                <w:rFonts w:ascii="Times New Roman" w:hAnsi="Times New Roman" w:cs="Times New Roman"/>
                <w:color w:val="000000"/>
                <w:sz w:val="15"/>
                <w:szCs w:val="15"/>
              </w:rPr>
              <w:t>0.299</w:t>
            </w:r>
          </w:p>
          <w:p w14:paraId="61CCF608" w14:textId="77777777" w:rsidR="007033F1" w:rsidRPr="007033F1" w:rsidRDefault="007033F1" w:rsidP="007033F1">
            <w:pPr>
              <w:rPr>
                <w:rFonts w:ascii="Times New Roman" w:hAnsi="Times New Roman" w:cs="Times New Roman"/>
                <w:color w:val="000000"/>
                <w:sz w:val="15"/>
                <w:szCs w:val="15"/>
              </w:rPr>
            </w:pPr>
            <w:r w:rsidRPr="007033F1">
              <w:rPr>
                <w:rFonts w:ascii="Times New Roman" w:hAnsi="Times New Roman" w:cs="Times New Roman"/>
                <w:color w:val="000000"/>
                <w:sz w:val="15"/>
                <w:szCs w:val="15"/>
              </w:rPr>
              <w:t>0.468</w:t>
            </w:r>
          </w:p>
          <w:p w14:paraId="44995C8C" w14:textId="29097553" w:rsidR="00FE2AA9" w:rsidRPr="00FE2AA9" w:rsidRDefault="007033F1" w:rsidP="00FE2AA9">
            <w:pPr>
              <w:rPr>
                <w:rFonts w:ascii="Times New Roman" w:hAnsi="Times New Roman" w:cs="Times New Roman"/>
                <w:color w:val="000000"/>
                <w:sz w:val="15"/>
                <w:szCs w:val="15"/>
              </w:rPr>
            </w:pPr>
            <w:r w:rsidRPr="007033F1">
              <w:rPr>
                <w:rFonts w:ascii="Times New Roman" w:hAnsi="Times New Roman" w:cs="Times New Roman"/>
                <w:color w:val="000000"/>
                <w:sz w:val="15"/>
                <w:szCs w:val="15"/>
              </w:rPr>
              <w:t>0.283</w:t>
            </w:r>
          </w:p>
        </w:tc>
        <w:tc>
          <w:tcPr>
            <w:tcW w:w="2427" w:type="dxa"/>
          </w:tcPr>
          <w:p w14:paraId="3E160E0B" w14:textId="77777777" w:rsidR="007033F1" w:rsidRPr="007033F1" w:rsidRDefault="007033F1" w:rsidP="007033F1">
            <w:pPr>
              <w:rPr>
                <w:rFonts w:ascii="Times New Roman" w:hAnsi="Times New Roman" w:cs="Times New Roman"/>
                <w:sz w:val="15"/>
                <w:szCs w:val="15"/>
              </w:rPr>
            </w:pPr>
            <w:r w:rsidRPr="007033F1">
              <w:rPr>
                <w:rFonts w:ascii="Times New Roman" w:hAnsi="Times New Roman" w:cs="Times New Roman"/>
                <w:sz w:val="15"/>
                <w:szCs w:val="15"/>
              </w:rPr>
              <w:t>0.922</w:t>
            </w:r>
          </w:p>
          <w:p w14:paraId="1EB0DEBF" w14:textId="77777777" w:rsidR="007033F1" w:rsidRPr="007033F1" w:rsidRDefault="007033F1" w:rsidP="007033F1">
            <w:pPr>
              <w:rPr>
                <w:rFonts w:ascii="Times New Roman" w:hAnsi="Times New Roman" w:cs="Times New Roman"/>
                <w:sz w:val="15"/>
                <w:szCs w:val="15"/>
              </w:rPr>
            </w:pPr>
            <w:r w:rsidRPr="007033F1">
              <w:rPr>
                <w:rFonts w:ascii="Times New Roman" w:hAnsi="Times New Roman" w:cs="Times New Roman"/>
                <w:sz w:val="15"/>
                <w:szCs w:val="15"/>
              </w:rPr>
              <w:t>0.869</w:t>
            </w:r>
          </w:p>
          <w:p w14:paraId="462C0233" w14:textId="77777777" w:rsidR="007033F1" w:rsidRPr="007033F1" w:rsidRDefault="007033F1" w:rsidP="007033F1">
            <w:pPr>
              <w:rPr>
                <w:rFonts w:ascii="Times New Roman" w:hAnsi="Times New Roman" w:cs="Times New Roman"/>
                <w:sz w:val="15"/>
                <w:szCs w:val="15"/>
              </w:rPr>
            </w:pPr>
            <w:r w:rsidRPr="007033F1">
              <w:rPr>
                <w:rFonts w:ascii="Times New Roman" w:hAnsi="Times New Roman" w:cs="Times New Roman"/>
                <w:sz w:val="15"/>
                <w:szCs w:val="15"/>
              </w:rPr>
              <w:t>0.213</w:t>
            </w:r>
          </w:p>
          <w:p w14:paraId="1D8A260D" w14:textId="77777777" w:rsidR="007033F1" w:rsidRPr="007033F1" w:rsidRDefault="007033F1" w:rsidP="007033F1">
            <w:pPr>
              <w:rPr>
                <w:rFonts w:ascii="Times New Roman" w:hAnsi="Times New Roman" w:cs="Times New Roman"/>
                <w:sz w:val="15"/>
                <w:szCs w:val="15"/>
              </w:rPr>
            </w:pPr>
            <w:r w:rsidRPr="007033F1">
              <w:rPr>
                <w:rFonts w:ascii="Times New Roman" w:hAnsi="Times New Roman" w:cs="Times New Roman"/>
                <w:sz w:val="15"/>
                <w:szCs w:val="15"/>
              </w:rPr>
              <w:t>0.259</w:t>
            </w:r>
          </w:p>
          <w:p w14:paraId="34E1D153" w14:textId="77777777" w:rsidR="00FE2AA9" w:rsidRPr="00FE2AA9" w:rsidRDefault="00FE2AA9" w:rsidP="00FE2AA9">
            <w:pPr>
              <w:rPr>
                <w:rFonts w:ascii="Times New Roman" w:hAnsi="Times New Roman" w:cs="Times New Roman"/>
                <w:sz w:val="15"/>
                <w:szCs w:val="15"/>
              </w:rPr>
            </w:pPr>
          </w:p>
        </w:tc>
        <w:tc>
          <w:tcPr>
            <w:tcW w:w="2158" w:type="dxa"/>
          </w:tcPr>
          <w:p w14:paraId="35A97447" w14:textId="77777777" w:rsidR="007033F1" w:rsidRPr="007033F1" w:rsidRDefault="007033F1" w:rsidP="007033F1">
            <w:pPr>
              <w:rPr>
                <w:rFonts w:ascii="Times New Roman" w:hAnsi="Times New Roman" w:cs="Times New Roman"/>
                <w:sz w:val="15"/>
                <w:szCs w:val="15"/>
              </w:rPr>
            </w:pPr>
            <w:r w:rsidRPr="007033F1">
              <w:rPr>
                <w:rFonts w:ascii="Times New Roman" w:hAnsi="Times New Roman" w:cs="Times New Roman"/>
                <w:sz w:val="15"/>
                <w:szCs w:val="15"/>
              </w:rPr>
              <w:t>0.793</w:t>
            </w:r>
          </w:p>
          <w:p w14:paraId="5081F00E" w14:textId="77777777" w:rsidR="007033F1" w:rsidRPr="007033F1" w:rsidRDefault="007033F1" w:rsidP="007033F1">
            <w:pPr>
              <w:rPr>
                <w:rFonts w:ascii="Times New Roman" w:hAnsi="Times New Roman" w:cs="Times New Roman"/>
                <w:sz w:val="15"/>
                <w:szCs w:val="15"/>
              </w:rPr>
            </w:pPr>
            <w:r w:rsidRPr="007033F1">
              <w:rPr>
                <w:rFonts w:ascii="Times New Roman" w:hAnsi="Times New Roman" w:cs="Times New Roman"/>
                <w:sz w:val="15"/>
                <w:szCs w:val="15"/>
              </w:rPr>
              <w:t>0.884</w:t>
            </w:r>
          </w:p>
          <w:p w14:paraId="590B0323" w14:textId="77777777" w:rsidR="007033F1" w:rsidRPr="007033F1" w:rsidRDefault="007033F1" w:rsidP="007033F1">
            <w:pPr>
              <w:rPr>
                <w:rFonts w:ascii="Times New Roman" w:hAnsi="Times New Roman" w:cs="Times New Roman"/>
                <w:sz w:val="15"/>
                <w:szCs w:val="15"/>
              </w:rPr>
            </w:pPr>
            <w:r w:rsidRPr="007033F1">
              <w:rPr>
                <w:rFonts w:ascii="Times New Roman" w:hAnsi="Times New Roman" w:cs="Times New Roman"/>
                <w:sz w:val="15"/>
                <w:szCs w:val="15"/>
              </w:rPr>
              <w:t>0.974</w:t>
            </w:r>
          </w:p>
          <w:p w14:paraId="227270C4" w14:textId="77777777" w:rsidR="007033F1" w:rsidRPr="007033F1" w:rsidRDefault="007033F1" w:rsidP="007033F1">
            <w:pPr>
              <w:rPr>
                <w:rFonts w:ascii="Times New Roman" w:hAnsi="Times New Roman" w:cs="Times New Roman"/>
                <w:sz w:val="15"/>
                <w:szCs w:val="15"/>
              </w:rPr>
            </w:pPr>
            <w:r w:rsidRPr="007033F1">
              <w:rPr>
                <w:rFonts w:ascii="Times New Roman" w:hAnsi="Times New Roman" w:cs="Times New Roman"/>
                <w:sz w:val="15"/>
                <w:szCs w:val="15"/>
              </w:rPr>
              <w:t>0.703</w:t>
            </w:r>
          </w:p>
          <w:p w14:paraId="4866EFEA" w14:textId="4C29EA20" w:rsidR="00FE2AA9" w:rsidRPr="00FE2AA9" w:rsidRDefault="007033F1" w:rsidP="00FE2AA9">
            <w:pPr>
              <w:rPr>
                <w:rFonts w:ascii="Times New Roman" w:hAnsi="Times New Roman" w:cs="Times New Roman"/>
                <w:sz w:val="15"/>
                <w:szCs w:val="15"/>
              </w:rPr>
            </w:pPr>
            <w:r w:rsidRPr="007033F1">
              <w:rPr>
                <w:rFonts w:ascii="Times New Roman" w:hAnsi="Times New Roman" w:cs="Times New Roman"/>
                <w:sz w:val="15"/>
                <w:szCs w:val="15"/>
              </w:rPr>
              <w:t>0.376</w:t>
            </w:r>
          </w:p>
        </w:tc>
      </w:tr>
      <w:tr w:rsidR="00FE2AA9" w14:paraId="22E06157" w14:textId="77777777" w:rsidTr="005A295F">
        <w:trPr>
          <w:trHeight w:val="50"/>
        </w:trPr>
        <w:tc>
          <w:tcPr>
            <w:tcW w:w="2157" w:type="dxa"/>
          </w:tcPr>
          <w:p w14:paraId="40FD7AD9"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Human Services </w:t>
            </w:r>
          </w:p>
        </w:tc>
        <w:tc>
          <w:tcPr>
            <w:tcW w:w="1888" w:type="dxa"/>
          </w:tcPr>
          <w:p w14:paraId="2DFE247D" w14:textId="77777777" w:rsidR="007033F1" w:rsidRPr="007033F1" w:rsidRDefault="007033F1" w:rsidP="007033F1">
            <w:pPr>
              <w:rPr>
                <w:rFonts w:ascii="Times New Roman" w:hAnsi="Times New Roman" w:cs="Times New Roman"/>
                <w:color w:val="000000"/>
                <w:sz w:val="15"/>
                <w:szCs w:val="15"/>
              </w:rPr>
            </w:pPr>
            <w:r w:rsidRPr="007033F1">
              <w:rPr>
                <w:rFonts w:ascii="Times New Roman" w:hAnsi="Times New Roman" w:cs="Times New Roman"/>
                <w:color w:val="000000"/>
                <w:sz w:val="15"/>
                <w:szCs w:val="15"/>
              </w:rPr>
              <w:t>0.104</w:t>
            </w:r>
          </w:p>
          <w:p w14:paraId="0AF85D5F" w14:textId="09B075BC" w:rsidR="00924A3C" w:rsidRPr="00924A3C" w:rsidRDefault="00924A3C" w:rsidP="00924A3C">
            <w:pPr>
              <w:rPr>
                <w:rFonts w:ascii="Times New Roman" w:hAnsi="Times New Roman" w:cs="Times New Roman"/>
                <w:color w:val="000000"/>
                <w:sz w:val="15"/>
                <w:szCs w:val="15"/>
              </w:rPr>
            </w:pPr>
            <w:r w:rsidRPr="00924A3C">
              <w:rPr>
                <w:rFonts w:ascii="Times New Roman" w:hAnsi="Times New Roman" w:cs="Times New Roman"/>
                <w:color w:val="000000"/>
                <w:sz w:val="15"/>
                <w:szCs w:val="15"/>
              </w:rPr>
              <w:t>0.008</w:t>
            </w:r>
            <w:r w:rsidR="00497001">
              <w:rPr>
                <w:rFonts w:ascii="Times New Roman" w:hAnsi="Times New Roman" w:cs="Times New Roman"/>
                <w:color w:val="000000"/>
                <w:sz w:val="15"/>
                <w:szCs w:val="15"/>
              </w:rPr>
              <w:t>**</w:t>
            </w:r>
          </w:p>
          <w:p w14:paraId="6BF624EC" w14:textId="51A15FF3" w:rsidR="00924A3C" w:rsidRPr="00924A3C" w:rsidRDefault="00924A3C" w:rsidP="00924A3C">
            <w:pPr>
              <w:rPr>
                <w:rFonts w:ascii="Times New Roman" w:hAnsi="Times New Roman" w:cs="Times New Roman"/>
                <w:color w:val="000000"/>
                <w:sz w:val="15"/>
                <w:szCs w:val="15"/>
              </w:rPr>
            </w:pPr>
            <w:r w:rsidRPr="00924A3C">
              <w:rPr>
                <w:rFonts w:ascii="Times New Roman" w:hAnsi="Times New Roman" w:cs="Times New Roman"/>
                <w:color w:val="000000"/>
                <w:sz w:val="15"/>
                <w:szCs w:val="15"/>
              </w:rPr>
              <w:t>0.016</w:t>
            </w:r>
            <w:r w:rsidR="00497001">
              <w:rPr>
                <w:rFonts w:ascii="Times New Roman" w:hAnsi="Times New Roman" w:cs="Times New Roman"/>
                <w:color w:val="000000"/>
                <w:sz w:val="15"/>
                <w:szCs w:val="15"/>
              </w:rPr>
              <w:t>*</w:t>
            </w:r>
          </w:p>
          <w:p w14:paraId="3CB0BBF8" w14:textId="77777777" w:rsidR="00924A3C" w:rsidRPr="00924A3C" w:rsidRDefault="00924A3C" w:rsidP="00924A3C">
            <w:pPr>
              <w:rPr>
                <w:rFonts w:ascii="Times New Roman" w:hAnsi="Times New Roman" w:cs="Times New Roman"/>
                <w:color w:val="000000"/>
                <w:sz w:val="15"/>
                <w:szCs w:val="15"/>
              </w:rPr>
            </w:pPr>
            <w:r w:rsidRPr="00924A3C">
              <w:rPr>
                <w:rFonts w:ascii="Times New Roman" w:hAnsi="Times New Roman" w:cs="Times New Roman"/>
                <w:color w:val="000000"/>
                <w:sz w:val="15"/>
                <w:szCs w:val="15"/>
              </w:rPr>
              <w:t>0.104</w:t>
            </w:r>
          </w:p>
          <w:p w14:paraId="342BE800" w14:textId="2E8F81F7" w:rsidR="00FE2AA9" w:rsidRPr="00FE2AA9" w:rsidRDefault="00924A3C" w:rsidP="00FE2AA9">
            <w:pPr>
              <w:rPr>
                <w:rFonts w:ascii="Times New Roman" w:hAnsi="Times New Roman" w:cs="Times New Roman"/>
                <w:color w:val="000000"/>
                <w:sz w:val="15"/>
                <w:szCs w:val="15"/>
              </w:rPr>
            </w:pPr>
            <w:r w:rsidRPr="00924A3C">
              <w:rPr>
                <w:rFonts w:ascii="Times New Roman" w:hAnsi="Times New Roman" w:cs="Times New Roman"/>
                <w:color w:val="000000"/>
                <w:sz w:val="15"/>
                <w:szCs w:val="15"/>
              </w:rPr>
              <w:t>0.202</w:t>
            </w:r>
          </w:p>
        </w:tc>
        <w:tc>
          <w:tcPr>
            <w:tcW w:w="2427" w:type="dxa"/>
          </w:tcPr>
          <w:p w14:paraId="08C11AEE" w14:textId="77777777" w:rsidR="00924A3C" w:rsidRPr="00924A3C" w:rsidRDefault="00924A3C" w:rsidP="00924A3C">
            <w:pPr>
              <w:rPr>
                <w:rFonts w:ascii="Times New Roman" w:hAnsi="Times New Roman" w:cs="Times New Roman"/>
                <w:color w:val="000000"/>
                <w:sz w:val="15"/>
                <w:szCs w:val="15"/>
              </w:rPr>
            </w:pPr>
            <w:r w:rsidRPr="00924A3C">
              <w:rPr>
                <w:rFonts w:ascii="Times New Roman" w:hAnsi="Times New Roman" w:cs="Times New Roman"/>
                <w:color w:val="000000"/>
                <w:sz w:val="15"/>
                <w:szCs w:val="15"/>
              </w:rPr>
              <w:t>0.074</w:t>
            </w:r>
          </w:p>
          <w:p w14:paraId="4980764B" w14:textId="6F4E3B0F" w:rsidR="006A32BC" w:rsidRPr="006A32BC" w:rsidRDefault="006A32BC" w:rsidP="006A32BC">
            <w:pPr>
              <w:rPr>
                <w:rFonts w:ascii="Times New Roman" w:hAnsi="Times New Roman" w:cs="Times New Roman"/>
                <w:color w:val="000000"/>
                <w:sz w:val="15"/>
                <w:szCs w:val="15"/>
              </w:rPr>
            </w:pPr>
            <w:r w:rsidRPr="006A32BC">
              <w:rPr>
                <w:rFonts w:ascii="Times New Roman" w:hAnsi="Times New Roman" w:cs="Times New Roman"/>
                <w:color w:val="000000"/>
                <w:sz w:val="15"/>
                <w:szCs w:val="15"/>
              </w:rPr>
              <w:t>0.000</w:t>
            </w:r>
            <w:r w:rsidR="00497001">
              <w:rPr>
                <w:rFonts w:ascii="Times New Roman" w:hAnsi="Times New Roman" w:cs="Times New Roman"/>
                <w:color w:val="000000"/>
                <w:sz w:val="15"/>
                <w:szCs w:val="15"/>
              </w:rPr>
              <w:t>***</w:t>
            </w:r>
          </w:p>
          <w:p w14:paraId="595DF67A" w14:textId="63031456" w:rsidR="006A32BC" w:rsidRPr="006A32BC" w:rsidRDefault="006A32BC" w:rsidP="006A32BC">
            <w:pPr>
              <w:rPr>
                <w:rFonts w:ascii="Times New Roman" w:hAnsi="Times New Roman" w:cs="Times New Roman"/>
                <w:color w:val="000000"/>
                <w:sz w:val="15"/>
                <w:szCs w:val="15"/>
              </w:rPr>
            </w:pPr>
            <w:r w:rsidRPr="006A32BC">
              <w:rPr>
                <w:rFonts w:ascii="Times New Roman" w:hAnsi="Times New Roman" w:cs="Times New Roman"/>
                <w:color w:val="000000"/>
                <w:sz w:val="15"/>
                <w:szCs w:val="15"/>
              </w:rPr>
              <w:t>0.000</w:t>
            </w:r>
            <w:r w:rsidR="00497001">
              <w:rPr>
                <w:rFonts w:ascii="Times New Roman" w:hAnsi="Times New Roman" w:cs="Times New Roman"/>
                <w:color w:val="000000"/>
                <w:sz w:val="15"/>
                <w:szCs w:val="15"/>
              </w:rPr>
              <w:t>***</w:t>
            </w:r>
          </w:p>
          <w:p w14:paraId="37B4B1C1" w14:textId="66AF2989" w:rsidR="006A32BC" w:rsidRPr="006A32BC" w:rsidRDefault="006A32BC" w:rsidP="006A32BC">
            <w:pPr>
              <w:rPr>
                <w:rFonts w:ascii="Times New Roman" w:hAnsi="Times New Roman" w:cs="Times New Roman"/>
                <w:color w:val="000000"/>
                <w:sz w:val="15"/>
                <w:szCs w:val="15"/>
              </w:rPr>
            </w:pPr>
            <w:r w:rsidRPr="006A32BC">
              <w:rPr>
                <w:rFonts w:ascii="Times New Roman" w:hAnsi="Times New Roman" w:cs="Times New Roman"/>
                <w:color w:val="000000"/>
                <w:sz w:val="15"/>
                <w:szCs w:val="15"/>
              </w:rPr>
              <w:t>0.006</w:t>
            </w:r>
            <w:r w:rsidR="00497001">
              <w:rPr>
                <w:rFonts w:ascii="Times New Roman" w:hAnsi="Times New Roman" w:cs="Times New Roman"/>
                <w:color w:val="000000"/>
                <w:sz w:val="15"/>
                <w:szCs w:val="15"/>
              </w:rPr>
              <w:t>**</w:t>
            </w:r>
          </w:p>
          <w:p w14:paraId="6F40F843" w14:textId="0E22870A" w:rsidR="00FE2AA9" w:rsidRPr="00FE2AA9" w:rsidRDefault="00FE2AA9" w:rsidP="00FE2AA9">
            <w:pPr>
              <w:rPr>
                <w:rFonts w:ascii="Times New Roman" w:hAnsi="Times New Roman" w:cs="Times New Roman"/>
                <w:color w:val="000000"/>
                <w:sz w:val="15"/>
                <w:szCs w:val="15"/>
              </w:rPr>
            </w:pPr>
          </w:p>
        </w:tc>
        <w:tc>
          <w:tcPr>
            <w:tcW w:w="2158" w:type="dxa"/>
          </w:tcPr>
          <w:p w14:paraId="4971A1F6" w14:textId="77777777" w:rsidR="00924A3C" w:rsidRPr="00924A3C" w:rsidRDefault="00924A3C" w:rsidP="00924A3C">
            <w:pPr>
              <w:rPr>
                <w:rFonts w:ascii="Times New Roman" w:hAnsi="Times New Roman" w:cs="Times New Roman"/>
                <w:color w:val="000000"/>
                <w:sz w:val="15"/>
                <w:szCs w:val="15"/>
              </w:rPr>
            </w:pPr>
            <w:r w:rsidRPr="00924A3C">
              <w:rPr>
                <w:rFonts w:ascii="Times New Roman" w:hAnsi="Times New Roman" w:cs="Times New Roman"/>
                <w:color w:val="000000"/>
                <w:sz w:val="15"/>
                <w:szCs w:val="15"/>
              </w:rPr>
              <w:t>0.071</w:t>
            </w:r>
          </w:p>
          <w:p w14:paraId="1BF0CBEF" w14:textId="77777777" w:rsidR="00924A3C" w:rsidRPr="00924A3C" w:rsidRDefault="00924A3C" w:rsidP="00924A3C">
            <w:pPr>
              <w:rPr>
                <w:rFonts w:ascii="Times New Roman" w:hAnsi="Times New Roman" w:cs="Times New Roman"/>
                <w:color w:val="000000"/>
                <w:sz w:val="15"/>
                <w:szCs w:val="15"/>
              </w:rPr>
            </w:pPr>
            <w:r w:rsidRPr="00924A3C">
              <w:rPr>
                <w:rFonts w:ascii="Times New Roman" w:hAnsi="Times New Roman" w:cs="Times New Roman"/>
                <w:color w:val="000000"/>
                <w:sz w:val="15"/>
                <w:szCs w:val="15"/>
              </w:rPr>
              <w:t>0.098</w:t>
            </w:r>
          </w:p>
          <w:p w14:paraId="6A7A88DC" w14:textId="77777777" w:rsidR="00924A3C" w:rsidRPr="00924A3C" w:rsidRDefault="00924A3C" w:rsidP="00924A3C">
            <w:pPr>
              <w:rPr>
                <w:rFonts w:ascii="Times New Roman" w:hAnsi="Times New Roman" w:cs="Times New Roman"/>
                <w:color w:val="000000"/>
                <w:sz w:val="15"/>
                <w:szCs w:val="15"/>
              </w:rPr>
            </w:pPr>
            <w:r w:rsidRPr="00924A3C">
              <w:rPr>
                <w:rFonts w:ascii="Times New Roman" w:hAnsi="Times New Roman" w:cs="Times New Roman"/>
                <w:color w:val="000000"/>
                <w:sz w:val="15"/>
                <w:szCs w:val="15"/>
              </w:rPr>
              <w:t>0.045</w:t>
            </w:r>
          </w:p>
          <w:p w14:paraId="066B2CF1" w14:textId="77777777" w:rsidR="00924A3C" w:rsidRPr="00924A3C" w:rsidRDefault="00924A3C" w:rsidP="00924A3C">
            <w:pPr>
              <w:rPr>
                <w:rFonts w:ascii="Times New Roman" w:hAnsi="Times New Roman" w:cs="Times New Roman"/>
                <w:color w:val="000000"/>
                <w:sz w:val="15"/>
                <w:szCs w:val="15"/>
              </w:rPr>
            </w:pPr>
            <w:r w:rsidRPr="00924A3C">
              <w:rPr>
                <w:rFonts w:ascii="Times New Roman" w:hAnsi="Times New Roman" w:cs="Times New Roman"/>
                <w:color w:val="000000"/>
                <w:sz w:val="15"/>
                <w:szCs w:val="15"/>
              </w:rPr>
              <w:t>0.071</w:t>
            </w:r>
          </w:p>
          <w:p w14:paraId="69815D2C" w14:textId="6E511527" w:rsidR="00FE2AA9" w:rsidRPr="00FE2AA9" w:rsidRDefault="00924A3C" w:rsidP="00FE2AA9">
            <w:pPr>
              <w:rPr>
                <w:rFonts w:ascii="Times New Roman" w:hAnsi="Times New Roman" w:cs="Times New Roman"/>
                <w:color w:val="000000"/>
                <w:sz w:val="15"/>
                <w:szCs w:val="15"/>
              </w:rPr>
            </w:pPr>
            <w:r w:rsidRPr="00924A3C">
              <w:rPr>
                <w:rFonts w:ascii="Times New Roman" w:hAnsi="Times New Roman" w:cs="Times New Roman"/>
                <w:color w:val="000000"/>
                <w:sz w:val="15"/>
                <w:szCs w:val="15"/>
              </w:rPr>
              <w:t>0.308</w:t>
            </w:r>
          </w:p>
        </w:tc>
      </w:tr>
    </w:tbl>
    <w:p w14:paraId="1502FFDB" w14:textId="77777777" w:rsidR="005D155E" w:rsidRDefault="005D155E" w:rsidP="005D155E">
      <w:pPr>
        <w:spacing w:line="480" w:lineRule="auto"/>
        <w:rPr>
          <w:rFonts w:ascii="Times New Roman" w:hAnsi="Times New Roman" w:cs="Times New Roman"/>
        </w:rPr>
      </w:pPr>
      <w:r>
        <w:rPr>
          <w:rFonts w:ascii="Times New Roman" w:hAnsi="Times New Roman" w:cs="Times New Roman"/>
        </w:rPr>
        <w:t>* p&lt;0.05, **p&lt;0.01, ***p&lt;0.001</w:t>
      </w:r>
    </w:p>
    <w:p w14:paraId="208C0BD4" w14:textId="59FB86B0" w:rsidR="006E100A" w:rsidRPr="00245787" w:rsidRDefault="006E100A" w:rsidP="00334A8E">
      <w:pPr>
        <w:pStyle w:val="Caption"/>
        <w:spacing w:before="0" w:after="0" w:line="240" w:lineRule="auto"/>
      </w:pPr>
      <w:bookmarkStart w:id="193" w:name="_Toc179888488"/>
      <w:bookmarkStart w:id="194" w:name="_Toc181297769"/>
      <w:bookmarkStart w:id="195" w:name="_Toc180144576"/>
      <w:r w:rsidRPr="00245787">
        <w:lastRenderedPageBreak/>
        <w:t xml:space="preserve">Table </w:t>
      </w:r>
      <w:r>
        <w:t>1</w:t>
      </w:r>
      <w:r w:rsidR="00FE2AA9">
        <w:t>4</w:t>
      </w:r>
      <w:bookmarkEnd w:id="193"/>
      <w:bookmarkEnd w:id="194"/>
      <w:bookmarkEnd w:id="195"/>
    </w:p>
    <w:p w14:paraId="37AE7937" w14:textId="2ABF6E10" w:rsidR="006E100A" w:rsidRDefault="006E100A" w:rsidP="00334A8E">
      <w:pPr>
        <w:rPr>
          <w:rFonts w:ascii="Times New Roman" w:hAnsi="Times New Roman" w:cs="Times New Roman"/>
          <w:i/>
          <w:iCs/>
        </w:rPr>
      </w:pPr>
      <w:r>
        <w:rPr>
          <w:rFonts w:ascii="Times New Roman" w:hAnsi="Times New Roman" w:cs="Times New Roman"/>
          <w:i/>
          <w:iCs/>
        </w:rPr>
        <w:t xml:space="preserve">Significance Pre-treatment Parallel Trends – Individual Period Test at Non-Profit Institutions Only </w:t>
      </w:r>
    </w:p>
    <w:p w14:paraId="3B6D0B79" w14:textId="77777777" w:rsidR="006E100A" w:rsidRDefault="006E100A" w:rsidP="006E100A">
      <w:pPr>
        <w:rPr>
          <w:rFonts w:ascii="Times New Roman" w:hAnsi="Times New Roman" w:cs="Times New Roman"/>
          <w:i/>
          <w:iCs/>
        </w:rPr>
      </w:pPr>
    </w:p>
    <w:tbl>
      <w:tblPr>
        <w:tblStyle w:val="TableGrid"/>
        <w:tblW w:w="0" w:type="auto"/>
        <w:tblLook w:val="04A0" w:firstRow="1" w:lastRow="0" w:firstColumn="1" w:lastColumn="0" w:noHBand="0" w:noVBand="1"/>
      </w:tblPr>
      <w:tblGrid>
        <w:gridCol w:w="2157"/>
        <w:gridCol w:w="1888"/>
        <w:gridCol w:w="2427"/>
        <w:gridCol w:w="2158"/>
      </w:tblGrid>
      <w:tr w:rsidR="006E100A" w14:paraId="6846571A" w14:textId="77777777" w:rsidTr="005A295F">
        <w:tc>
          <w:tcPr>
            <w:tcW w:w="2157" w:type="dxa"/>
          </w:tcPr>
          <w:p w14:paraId="615DE849" w14:textId="77777777" w:rsidR="006E100A" w:rsidRPr="00D2786A" w:rsidRDefault="006E100A" w:rsidP="006B7087">
            <w:pPr>
              <w:rPr>
                <w:rFonts w:ascii="Times New Roman" w:hAnsi="Times New Roman" w:cs="Times New Roman"/>
              </w:rPr>
            </w:pPr>
          </w:p>
        </w:tc>
        <w:tc>
          <w:tcPr>
            <w:tcW w:w="1888" w:type="dxa"/>
          </w:tcPr>
          <w:p w14:paraId="6AA535B9" w14:textId="77777777" w:rsidR="006E100A" w:rsidRPr="00D2786A" w:rsidRDefault="006E100A" w:rsidP="006B7087">
            <w:pPr>
              <w:rPr>
                <w:rFonts w:ascii="Times New Roman" w:hAnsi="Times New Roman" w:cs="Times New Roman"/>
              </w:rPr>
            </w:pPr>
            <w:r w:rsidRPr="00D2786A">
              <w:rPr>
                <w:rFonts w:ascii="Times New Roman" w:hAnsi="Times New Roman" w:cs="Times New Roman"/>
              </w:rPr>
              <w:t>Ordinary Least Squares</w:t>
            </w:r>
          </w:p>
        </w:tc>
        <w:tc>
          <w:tcPr>
            <w:tcW w:w="2427" w:type="dxa"/>
          </w:tcPr>
          <w:p w14:paraId="5F0AE80D" w14:textId="77777777" w:rsidR="006E100A" w:rsidRPr="00D2786A" w:rsidRDefault="006E100A" w:rsidP="006B7087">
            <w:pPr>
              <w:rPr>
                <w:rFonts w:ascii="Times New Roman" w:hAnsi="Times New Roman" w:cs="Times New Roman"/>
              </w:rPr>
            </w:pPr>
            <w:r w:rsidRPr="00D2786A">
              <w:rPr>
                <w:rFonts w:ascii="Times New Roman" w:hAnsi="Times New Roman" w:cs="Times New Roman"/>
              </w:rPr>
              <w:t>Sun &amp; Abraham (Event Study Interact)</w:t>
            </w:r>
          </w:p>
        </w:tc>
        <w:tc>
          <w:tcPr>
            <w:tcW w:w="2158" w:type="dxa"/>
          </w:tcPr>
          <w:p w14:paraId="40751F80" w14:textId="77777777" w:rsidR="006E100A" w:rsidRPr="00D2786A" w:rsidRDefault="006E100A" w:rsidP="006B7087">
            <w:pPr>
              <w:rPr>
                <w:rFonts w:ascii="Times New Roman" w:hAnsi="Times New Roman" w:cs="Times New Roman"/>
              </w:rPr>
            </w:pPr>
            <w:r w:rsidRPr="00D2786A">
              <w:rPr>
                <w:rFonts w:ascii="Times New Roman" w:hAnsi="Times New Roman" w:cs="Times New Roman"/>
              </w:rPr>
              <w:t>Borusyak et al (DID Imputation)</w:t>
            </w:r>
          </w:p>
        </w:tc>
      </w:tr>
      <w:tr w:rsidR="00FE2AA9" w14:paraId="4C26F00C" w14:textId="77777777" w:rsidTr="005A295F">
        <w:tc>
          <w:tcPr>
            <w:tcW w:w="2157" w:type="dxa"/>
          </w:tcPr>
          <w:p w14:paraId="6D8865F8"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All Awards</w:t>
            </w:r>
          </w:p>
        </w:tc>
        <w:tc>
          <w:tcPr>
            <w:tcW w:w="1888" w:type="dxa"/>
          </w:tcPr>
          <w:p w14:paraId="5140E16C" w14:textId="77777777" w:rsidR="00E56DCB" w:rsidRPr="00E56DCB" w:rsidRDefault="00E56DCB" w:rsidP="00E56DCB">
            <w:pPr>
              <w:rPr>
                <w:rFonts w:ascii="Times New Roman" w:hAnsi="Times New Roman" w:cs="Times New Roman"/>
                <w:color w:val="000000"/>
                <w:sz w:val="15"/>
                <w:szCs w:val="15"/>
              </w:rPr>
            </w:pPr>
            <w:r w:rsidRPr="00E56DCB">
              <w:rPr>
                <w:rFonts w:ascii="Times New Roman" w:hAnsi="Times New Roman" w:cs="Times New Roman"/>
                <w:color w:val="000000"/>
                <w:sz w:val="15"/>
                <w:szCs w:val="15"/>
              </w:rPr>
              <w:t>0.396</w:t>
            </w:r>
          </w:p>
          <w:p w14:paraId="1C06D373" w14:textId="77777777" w:rsidR="00E56DCB" w:rsidRPr="00E56DCB" w:rsidRDefault="00E56DCB" w:rsidP="00E56DCB">
            <w:pPr>
              <w:rPr>
                <w:rFonts w:ascii="Times New Roman" w:hAnsi="Times New Roman" w:cs="Times New Roman"/>
                <w:color w:val="000000"/>
                <w:sz w:val="15"/>
                <w:szCs w:val="15"/>
              </w:rPr>
            </w:pPr>
            <w:r w:rsidRPr="00E56DCB">
              <w:rPr>
                <w:rFonts w:ascii="Times New Roman" w:hAnsi="Times New Roman" w:cs="Times New Roman"/>
                <w:color w:val="000000"/>
                <w:sz w:val="15"/>
                <w:szCs w:val="15"/>
              </w:rPr>
              <w:t>0.983</w:t>
            </w:r>
          </w:p>
          <w:p w14:paraId="3B35893E" w14:textId="77777777" w:rsidR="00E56DCB" w:rsidRPr="00E56DCB" w:rsidRDefault="00E56DCB" w:rsidP="00E56DCB">
            <w:pPr>
              <w:rPr>
                <w:rFonts w:ascii="Times New Roman" w:hAnsi="Times New Roman" w:cs="Times New Roman"/>
                <w:color w:val="000000"/>
                <w:sz w:val="15"/>
                <w:szCs w:val="15"/>
              </w:rPr>
            </w:pPr>
            <w:r w:rsidRPr="00E56DCB">
              <w:rPr>
                <w:rFonts w:ascii="Times New Roman" w:hAnsi="Times New Roman" w:cs="Times New Roman"/>
                <w:color w:val="000000"/>
                <w:sz w:val="15"/>
                <w:szCs w:val="15"/>
              </w:rPr>
              <w:t>0.945</w:t>
            </w:r>
          </w:p>
          <w:p w14:paraId="21E1416D" w14:textId="77777777" w:rsidR="00E56DCB" w:rsidRPr="00E56DCB" w:rsidRDefault="00E56DCB" w:rsidP="00E56DCB">
            <w:pPr>
              <w:rPr>
                <w:rFonts w:ascii="Times New Roman" w:hAnsi="Times New Roman" w:cs="Times New Roman"/>
                <w:color w:val="000000"/>
                <w:sz w:val="15"/>
                <w:szCs w:val="15"/>
              </w:rPr>
            </w:pPr>
            <w:r w:rsidRPr="00E56DCB">
              <w:rPr>
                <w:rFonts w:ascii="Times New Roman" w:hAnsi="Times New Roman" w:cs="Times New Roman"/>
                <w:color w:val="000000"/>
                <w:sz w:val="15"/>
                <w:szCs w:val="15"/>
              </w:rPr>
              <w:t>0.606</w:t>
            </w:r>
          </w:p>
          <w:p w14:paraId="6BD3EBFD" w14:textId="7E86868F" w:rsidR="00FE2AA9" w:rsidRPr="00FE2AA9" w:rsidRDefault="00E56DCB" w:rsidP="00FE2AA9">
            <w:pPr>
              <w:rPr>
                <w:rFonts w:ascii="Times New Roman" w:hAnsi="Times New Roman" w:cs="Times New Roman"/>
                <w:color w:val="000000"/>
                <w:sz w:val="15"/>
                <w:szCs w:val="15"/>
              </w:rPr>
            </w:pPr>
            <w:r w:rsidRPr="00E56DCB">
              <w:rPr>
                <w:rFonts w:ascii="Times New Roman" w:hAnsi="Times New Roman" w:cs="Times New Roman"/>
                <w:color w:val="000000"/>
                <w:sz w:val="15"/>
                <w:szCs w:val="15"/>
              </w:rPr>
              <w:t>0.970</w:t>
            </w:r>
          </w:p>
        </w:tc>
        <w:tc>
          <w:tcPr>
            <w:tcW w:w="2427" w:type="dxa"/>
          </w:tcPr>
          <w:p w14:paraId="787222F2" w14:textId="77777777" w:rsidR="00CC2846" w:rsidRPr="00CC2846" w:rsidRDefault="00CC2846" w:rsidP="00CC2846">
            <w:pPr>
              <w:rPr>
                <w:rFonts w:ascii="Times New Roman" w:hAnsi="Times New Roman" w:cs="Times New Roman"/>
                <w:color w:val="000000"/>
                <w:sz w:val="15"/>
                <w:szCs w:val="15"/>
              </w:rPr>
            </w:pPr>
            <w:r w:rsidRPr="00CC2846">
              <w:rPr>
                <w:rFonts w:ascii="Times New Roman" w:hAnsi="Times New Roman" w:cs="Times New Roman"/>
                <w:color w:val="000000"/>
                <w:sz w:val="15"/>
                <w:szCs w:val="15"/>
              </w:rPr>
              <w:t>0.719</w:t>
            </w:r>
          </w:p>
          <w:p w14:paraId="2619E916" w14:textId="77777777" w:rsidR="00CC2846" w:rsidRPr="00CC2846" w:rsidRDefault="00CC2846" w:rsidP="00CC2846">
            <w:pPr>
              <w:rPr>
                <w:rFonts w:ascii="Times New Roman" w:hAnsi="Times New Roman" w:cs="Times New Roman"/>
                <w:color w:val="000000"/>
                <w:sz w:val="15"/>
                <w:szCs w:val="15"/>
              </w:rPr>
            </w:pPr>
            <w:r w:rsidRPr="00CC2846">
              <w:rPr>
                <w:rFonts w:ascii="Times New Roman" w:hAnsi="Times New Roman" w:cs="Times New Roman"/>
                <w:color w:val="000000"/>
                <w:sz w:val="15"/>
                <w:szCs w:val="15"/>
              </w:rPr>
              <w:t>0.288</w:t>
            </w:r>
          </w:p>
          <w:p w14:paraId="7430ACCD" w14:textId="77777777" w:rsidR="00CC2846" w:rsidRPr="00CC2846" w:rsidRDefault="00CC2846" w:rsidP="00CC2846">
            <w:pPr>
              <w:rPr>
                <w:rFonts w:ascii="Times New Roman" w:hAnsi="Times New Roman" w:cs="Times New Roman"/>
                <w:color w:val="000000"/>
                <w:sz w:val="15"/>
                <w:szCs w:val="15"/>
              </w:rPr>
            </w:pPr>
            <w:r w:rsidRPr="00CC2846">
              <w:rPr>
                <w:rFonts w:ascii="Times New Roman" w:hAnsi="Times New Roman" w:cs="Times New Roman"/>
                <w:color w:val="000000"/>
                <w:sz w:val="15"/>
                <w:szCs w:val="15"/>
              </w:rPr>
              <w:t>0.059</w:t>
            </w:r>
          </w:p>
          <w:p w14:paraId="5AC5DD89" w14:textId="77777777" w:rsidR="007A7C4A" w:rsidRPr="007A7C4A" w:rsidRDefault="007A7C4A" w:rsidP="007A7C4A">
            <w:pPr>
              <w:rPr>
                <w:rFonts w:ascii="Times New Roman" w:hAnsi="Times New Roman" w:cs="Times New Roman"/>
                <w:color w:val="000000"/>
                <w:sz w:val="15"/>
                <w:szCs w:val="15"/>
              </w:rPr>
            </w:pPr>
            <w:r w:rsidRPr="007A7C4A">
              <w:rPr>
                <w:rFonts w:ascii="Times New Roman" w:hAnsi="Times New Roman" w:cs="Times New Roman"/>
                <w:color w:val="000000"/>
                <w:sz w:val="15"/>
                <w:szCs w:val="15"/>
              </w:rPr>
              <w:t>0.224</w:t>
            </w:r>
          </w:p>
          <w:p w14:paraId="4067C660" w14:textId="07B9BCF8" w:rsidR="00FE2AA9" w:rsidRPr="00FE2AA9" w:rsidRDefault="00FE2AA9" w:rsidP="00FE2AA9">
            <w:pPr>
              <w:rPr>
                <w:rFonts w:ascii="Times New Roman" w:hAnsi="Times New Roman" w:cs="Times New Roman"/>
                <w:color w:val="000000"/>
                <w:sz w:val="15"/>
                <w:szCs w:val="15"/>
              </w:rPr>
            </w:pPr>
          </w:p>
        </w:tc>
        <w:tc>
          <w:tcPr>
            <w:tcW w:w="2158" w:type="dxa"/>
          </w:tcPr>
          <w:p w14:paraId="7BD9D04A" w14:textId="77777777" w:rsidR="00CC2846" w:rsidRPr="00CC2846" w:rsidRDefault="00CC2846" w:rsidP="00CC2846">
            <w:pPr>
              <w:rPr>
                <w:rFonts w:ascii="Times New Roman" w:hAnsi="Times New Roman" w:cs="Times New Roman"/>
                <w:color w:val="000000"/>
                <w:sz w:val="15"/>
                <w:szCs w:val="15"/>
              </w:rPr>
            </w:pPr>
            <w:r w:rsidRPr="00CC2846">
              <w:rPr>
                <w:rFonts w:ascii="Times New Roman" w:hAnsi="Times New Roman" w:cs="Times New Roman"/>
                <w:color w:val="000000"/>
                <w:sz w:val="15"/>
                <w:szCs w:val="15"/>
              </w:rPr>
              <w:t>0.537</w:t>
            </w:r>
          </w:p>
          <w:p w14:paraId="5ED4B44F" w14:textId="77777777" w:rsidR="00CC2846" w:rsidRPr="00CC2846" w:rsidRDefault="00CC2846" w:rsidP="00CC2846">
            <w:pPr>
              <w:rPr>
                <w:rFonts w:ascii="Times New Roman" w:hAnsi="Times New Roman" w:cs="Times New Roman"/>
                <w:color w:val="000000"/>
                <w:sz w:val="15"/>
                <w:szCs w:val="15"/>
              </w:rPr>
            </w:pPr>
            <w:r w:rsidRPr="00CC2846">
              <w:rPr>
                <w:rFonts w:ascii="Times New Roman" w:hAnsi="Times New Roman" w:cs="Times New Roman"/>
                <w:color w:val="000000"/>
                <w:sz w:val="15"/>
                <w:szCs w:val="15"/>
              </w:rPr>
              <w:t>0.327</w:t>
            </w:r>
          </w:p>
          <w:p w14:paraId="181255ED" w14:textId="77777777" w:rsidR="00CC2846" w:rsidRPr="00CC2846" w:rsidRDefault="00CC2846" w:rsidP="00CC2846">
            <w:pPr>
              <w:rPr>
                <w:rFonts w:ascii="Times New Roman" w:hAnsi="Times New Roman" w:cs="Times New Roman"/>
                <w:color w:val="000000"/>
                <w:sz w:val="15"/>
                <w:szCs w:val="15"/>
              </w:rPr>
            </w:pPr>
            <w:r w:rsidRPr="00CC2846">
              <w:rPr>
                <w:rFonts w:ascii="Times New Roman" w:hAnsi="Times New Roman" w:cs="Times New Roman"/>
                <w:color w:val="000000"/>
                <w:sz w:val="15"/>
                <w:szCs w:val="15"/>
              </w:rPr>
              <w:t>0.372</w:t>
            </w:r>
          </w:p>
          <w:p w14:paraId="428F70D1" w14:textId="77777777" w:rsidR="00CC2846" w:rsidRPr="00CC2846" w:rsidRDefault="00CC2846" w:rsidP="00CC2846">
            <w:pPr>
              <w:rPr>
                <w:rFonts w:ascii="Times New Roman" w:hAnsi="Times New Roman" w:cs="Times New Roman"/>
                <w:color w:val="000000"/>
                <w:sz w:val="15"/>
                <w:szCs w:val="15"/>
              </w:rPr>
            </w:pPr>
            <w:r w:rsidRPr="00CC2846">
              <w:rPr>
                <w:rFonts w:ascii="Times New Roman" w:hAnsi="Times New Roman" w:cs="Times New Roman"/>
                <w:color w:val="000000"/>
                <w:sz w:val="15"/>
                <w:szCs w:val="15"/>
              </w:rPr>
              <w:t>0.339</w:t>
            </w:r>
          </w:p>
          <w:p w14:paraId="555C2C93" w14:textId="695F91D9" w:rsidR="00FE2AA9" w:rsidRPr="00465DFF" w:rsidRDefault="00CC2846" w:rsidP="00FE2AA9">
            <w:pPr>
              <w:rPr>
                <w:rFonts w:ascii="Times New Roman" w:hAnsi="Times New Roman" w:cs="Times New Roman"/>
                <w:color w:val="000000"/>
                <w:sz w:val="15"/>
                <w:szCs w:val="15"/>
              </w:rPr>
            </w:pPr>
            <w:r w:rsidRPr="00CC2846">
              <w:rPr>
                <w:rFonts w:ascii="Times New Roman" w:hAnsi="Times New Roman" w:cs="Times New Roman"/>
                <w:color w:val="000000"/>
                <w:sz w:val="15"/>
                <w:szCs w:val="15"/>
              </w:rPr>
              <w:t>0.088</w:t>
            </w:r>
          </w:p>
        </w:tc>
      </w:tr>
      <w:tr w:rsidR="00FE2AA9" w14:paraId="3C993784" w14:textId="77777777" w:rsidTr="005A295F">
        <w:trPr>
          <w:trHeight w:val="872"/>
        </w:trPr>
        <w:tc>
          <w:tcPr>
            <w:tcW w:w="2157" w:type="dxa"/>
          </w:tcPr>
          <w:p w14:paraId="0CD3E4BD"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Associates Only</w:t>
            </w:r>
          </w:p>
        </w:tc>
        <w:tc>
          <w:tcPr>
            <w:tcW w:w="1888" w:type="dxa"/>
          </w:tcPr>
          <w:p w14:paraId="14400763" w14:textId="77777777" w:rsidR="007A7C4A" w:rsidRPr="007A7C4A" w:rsidRDefault="007A7C4A" w:rsidP="007A7C4A">
            <w:pPr>
              <w:rPr>
                <w:rFonts w:ascii="Times New Roman" w:hAnsi="Times New Roman" w:cs="Times New Roman"/>
                <w:color w:val="000000"/>
                <w:sz w:val="15"/>
                <w:szCs w:val="15"/>
              </w:rPr>
            </w:pPr>
            <w:r w:rsidRPr="007A7C4A">
              <w:rPr>
                <w:rFonts w:ascii="Times New Roman" w:hAnsi="Times New Roman" w:cs="Times New Roman"/>
                <w:color w:val="000000"/>
                <w:sz w:val="15"/>
                <w:szCs w:val="15"/>
              </w:rPr>
              <w:t>0.055</w:t>
            </w:r>
          </w:p>
          <w:p w14:paraId="3C9518FA" w14:textId="77777777" w:rsidR="007A7C4A" w:rsidRPr="007A7C4A" w:rsidRDefault="007A7C4A" w:rsidP="007A7C4A">
            <w:pPr>
              <w:rPr>
                <w:rFonts w:ascii="Times New Roman" w:hAnsi="Times New Roman" w:cs="Times New Roman"/>
                <w:color w:val="000000"/>
                <w:sz w:val="15"/>
                <w:szCs w:val="15"/>
              </w:rPr>
            </w:pPr>
            <w:r w:rsidRPr="007A7C4A">
              <w:rPr>
                <w:rFonts w:ascii="Times New Roman" w:hAnsi="Times New Roman" w:cs="Times New Roman"/>
                <w:color w:val="000000"/>
                <w:sz w:val="15"/>
                <w:szCs w:val="15"/>
              </w:rPr>
              <w:t>0.223</w:t>
            </w:r>
          </w:p>
          <w:p w14:paraId="76B7225B" w14:textId="77777777" w:rsidR="007A7C4A" w:rsidRPr="007A7C4A" w:rsidRDefault="007A7C4A" w:rsidP="007A7C4A">
            <w:pPr>
              <w:rPr>
                <w:rFonts w:ascii="Times New Roman" w:hAnsi="Times New Roman" w:cs="Times New Roman"/>
                <w:color w:val="000000"/>
                <w:sz w:val="15"/>
                <w:szCs w:val="15"/>
              </w:rPr>
            </w:pPr>
            <w:r w:rsidRPr="007A7C4A">
              <w:rPr>
                <w:rFonts w:ascii="Times New Roman" w:hAnsi="Times New Roman" w:cs="Times New Roman"/>
                <w:color w:val="000000"/>
                <w:sz w:val="15"/>
                <w:szCs w:val="15"/>
              </w:rPr>
              <w:t>0.269</w:t>
            </w:r>
          </w:p>
          <w:p w14:paraId="2164EA5F" w14:textId="77777777" w:rsidR="007A7C4A" w:rsidRPr="007A7C4A" w:rsidRDefault="007A7C4A" w:rsidP="007A7C4A">
            <w:pPr>
              <w:rPr>
                <w:rFonts w:ascii="Times New Roman" w:hAnsi="Times New Roman" w:cs="Times New Roman"/>
                <w:color w:val="000000"/>
                <w:sz w:val="15"/>
                <w:szCs w:val="15"/>
              </w:rPr>
            </w:pPr>
            <w:r w:rsidRPr="007A7C4A">
              <w:rPr>
                <w:rFonts w:ascii="Times New Roman" w:hAnsi="Times New Roman" w:cs="Times New Roman"/>
                <w:color w:val="000000"/>
                <w:sz w:val="15"/>
                <w:szCs w:val="15"/>
              </w:rPr>
              <w:t>0.255</w:t>
            </w:r>
          </w:p>
          <w:p w14:paraId="35EF6A12" w14:textId="42D8CD63" w:rsidR="00FE2AA9" w:rsidRPr="00FE2AA9" w:rsidRDefault="007A7C4A" w:rsidP="00FE2AA9">
            <w:pPr>
              <w:rPr>
                <w:rFonts w:ascii="Times New Roman" w:hAnsi="Times New Roman" w:cs="Times New Roman"/>
                <w:color w:val="000000"/>
                <w:sz w:val="15"/>
                <w:szCs w:val="15"/>
              </w:rPr>
            </w:pPr>
            <w:r w:rsidRPr="007A7C4A">
              <w:rPr>
                <w:rFonts w:ascii="Times New Roman" w:hAnsi="Times New Roman" w:cs="Times New Roman"/>
                <w:color w:val="000000"/>
                <w:sz w:val="15"/>
                <w:szCs w:val="15"/>
              </w:rPr>
              <w:t>0.358</w:t>
            </w:r>
          </w:p>
        </w:tc>
        <w:tc>
          <w:tcPr>
            <w:tcW w:w="2427" w:type="dxa"/>
          </w:tcPr>
          <w:p w14:paraId="19B73D28" w14:textId="77777777" w:rsidR="001A77EA" w:rsidRPr="001A77EA" w:rsidRDefault="001A77EA" w:rsidP="001A77EA">
            <w:pPr>
              <w:rPr>
                <w:rFonts w:ascii="Times New Roman" w:hAnsi="Times New Roman" w:cs="Times New Roman"/>
                <w:sz w:val="15"/>
                <w:szCs w:val="15"/>
              </w:rPr>
            </w:pPr>
            <w:r w:rsidRPr="001A77EA">
              <w:rPr>
                <w:rFonts w:ascii="Times New Roman" w:hAnsi="Times New Roman" w:cs="Times New Roman"/>
                <w:sz w:val="15"/>
                <w:szCs w:val="15"/>
              </w:rPr>
              <w:t>0.073</w:t>
            </w:r>
          </w:p>
          <w:p w14:paraId="01DAB12B" w14:textId="77777777" w:rsidR="001A77EA" w:rsidRPr="001A77EA" w:rsidRDefault="001A77EA" w:rsidP="001A77EA">
            <w:pPr>
              <w:rPr>
                <w:rFonts w:ascii="Times New Roman" w:hAnsi="Times New Roman" w:cs="Times New Roman"/>
                <w:sz w:val="15"/>
                <w:szCs w:val="15"/>
              </w:rPr>
            </w:pPr>
            <w:r w:rsidRPr="001A77EA">
              <w:rPr>
                <w:rFonts w:ascii="Times New Roman" w:hAnsi="Times New Roman" w:cs="Times New Roman"/>
                <w:sz w:val="15"/>
                <w:szCs w:val="15"/>
              </w:rPr>
              <w:t>0.318</w:t>
            </w:r>
          </w:p>
          <w:p w14:paraId="02577A14" w14:textId="77777777" w:rsidR="001A77EA" w:rsidRPr="001A77EA" w:rsidRDefault="001A77EA" w:rsidP="001A77EA">
            <w:pPr>
              <w:rPr>
                <w:rFonts w:ascii="Times New Roman" w:hAnsi="Times New Roman" w:cs="Times New Roman"/>
                <w:sz w:val="15"/>
                <w:szCs w:val="15"/>
              </w:rPr>
            </w:pPr>
            <w:r w:rsidRPr="001A77EA">
              <w:rPr>
                <w:rFonts w:ascii="Times New Roman" w:hAnsi="Times New Roman" w:cs="Times New Roman"/>
                <w:sz w:val="15"/>
                <w:szCs w:val="15"/>
              </w:rPr>
              <w:t>0.975</w:t>
            </w:r>
          </w:p>
          <w:p w14:paraId="35423CA6" w14:textId="77777777" w:rsidR="001A77EA" w:rsidRPr="001A77EA" w:rsidRDefault="001A77EA" w:rsidP="001A77EA">
            <w:pPr>
              <w:rPr>
                <w:rFonts w:ascii="Times New Roman" w:hAnsi="Times New Roman" w:cs="Times New Roman"/>
                <w:sz w:val="15"/>
                <w:szCs w:val="15"/>
              </w:rPr>
            </w:pPr>
            <w:r w:rsidRPr="001A77EA">
              <w:rPr>
                <w:rFonts w:ascii="Times New Roman" w:hAnsi="Times New Roman" w:cs="Times New Roman"/>
                <w:sz w:val="15"/>
                <w:szCs w:val="15"/>
              </w:rPr>
              <w:t>0.511</w:t>
            </w:r>
          </w:p>
          <w:p w14:paraId="008E3033" w14:textId="77777777" w:rsidR="00FE2AA9" w:rsidRPr="00FE2AA9" w:rsidRDefault="00FE2AA9" w:rsidP="00FE2AA9">
            <w:pPr>
              <w:rPr>
                <w:rFonts w:ascii="Times New Roman" w:hAnsi="Times New Roman" w:cs="Times New Roman"/>
                <w:sz w:val="15"/>
                <w:szCs w:val="15"/>
              </w:rPr>
            </w:pPr>
          </w:p>
        </w:tc>
        <w:tc>
          <w:tcPr>
            <w:tcW w:w="2158" w:type="dxa"/>
          </w:tcPr>
          <w:p w14:paraId="6E7E863F" w14:textId="77777777" w:rsidR="007A7C4A" w:rsidRPr="007A7C4A" w:rsidRDefault="007A7C4A" w:rsidP="007A7C4A">
            <w:pPr>
              <w:rPr>
                <w:rFonts w:ascii="Times New Roman" w:hAnsi="Times New Roman" w:cs="Times New Roman"/>
                <w:color w:val="000000"/>
                <w:sz w:val="15"/>
                <w:szCs w:val="15"/>
              </w:rPr>
            </w:pPr>
            <w:r w:rsidRPr="007A7C4A">
              <w:rPr>
                <w:rFonts w:ascii="Times New Roman" w:hAnsi="Times New Roman" w:cs="Times New Roman"/>
                <w:color w:val="000000"/>
                <w:sz w:val="15"/>
                <w:szCs w:val="15"/>
              </w:rPr>
              <w:t>0.289</w:t>
            </w:r>
          </w:p>
          <w:p w14:paraId="07737F99" w14:textId="77777777" w:rsidR="007A7C4A" w:rsidRPr="007A7C4A" w:rsidRDefault="007A7C4A" w:rsidP="007A7C4A">
            <w:pPr>
              <w:rPr>
                <w:rFonts w:ascii="Times New Roman" w:hAnsi="Times New Roman" w:cs="Times New Roman"/>
                <w:color w:val="000000"/>
                <w:sz w:val="15"/>
                <w:szCs w:val="15"/>
              </w:rPr>
            </w:pPr>
            <w:r w:rsidRPr="007A7C4A">
              <w:rPr>
                <w:rFonts w:ascii="Times New Roman" w:hAnsi="Times New Roman" w:cs="Times New Roman"/>
                <w:color w:val="000000"/>
                <w:sz w:val="15"/>
                <w:szCs w:val="15"/>
              </w:rPr>
              <w:t>0.186</w:t>
            </w:r>
          </w:p>
          <w:p w14:paraId="1CA6178C" w14:textId="77777777" w:rsidR="007A7C4A" w:rsidRPr="007A7C4A" w:rsidRDefault="007A7C4A" w:rsidP="007A7C4A">
            <w:pPr>
              <w:rPr>
                <w:rFonts w:ascii="Times New Roman" w:hAnsi="Times New Roman" w:cs="Times New Roman"/>
                <w:color w:val="000000"/>
                <w:sz w:val="15"/>
                <w:szCs w:val="15"/>
              </w:rPr>
            </w:pPr>
            <w:r w:rsidRPr="007A7C4A">
              <w:rPr>
                <w:rFonts w:ascii="Times New Roman" w:hAnsi="Times New Roman" w:cs="Times New Roman"/>
                <w:color w:val="000000"/>
                <w:sz w:val="15"/>
                <w:szCs w:val="15"/>
              </w:rPr>
              <w:t>0.127</w:t>
            </w:r>
          </w:p>
          <w:p w14:paraId="11DD62BB" w14:textId="526C7A8B" w:rsidR="001A77EA" w:rsidRPr="001A77EA" w:rsidRDefault="001A77EA" w:rsidP="001A77EA">
            <w:pPr>
              <w:rPr>
                <w:rFonts w:ascii="Times New Roman" w:hAnsi="Times New Roman" w:cs="Times New Roman"/>
                <w:color w:val="000000"/>
                <w:sz w:val="15"/>
                <w:szCs w:val="15"/>
              </w:rPr>
            </w:pPr>
            <w:r w:rsidRPr="001A77EA">
              <w:rPr>
                <w:rFonts w:ascii="Times New Roman" w:hAnsi="Times New Roman" w:cs="Times New Roman"/>
                <w:color w:val="000000"/>
                <w:sz w:val="15"/>
                <w:szCs w:val="15"/>
              </w:rPr>
              <w:t>0.080</w:t>
            </w:r>
          </w:p>
          <w:p w14:paraId="532B3B92" w14:textId="3AC6BC3C" w:rsidR="00FE2AA9" w:rsidRPr="00FE2AA9" w:rsidRDefault="001A77EA" w:rsidP="00FE2AA9">
            <w:pPr>
              <w:rPr>
                <w:rFonts w:ascii="Times New Roman" w:hAnsi="Times New Roman" w:cs="Times New Roman"/>
                <w:color w:val="000000"/>
                <w:sz w:val="15"/>
                <w:szCs w:val="15"/>
              </w:rPr>
            </w:pPr>
            <w:r w:rsidRPr="001A77EA">
              <w:rPr>
                <w:rFonts w:ascii="Times New Roman" w:hAnsi="Times New Roman" w:cs="Times New Roman"/>
                <w:color w:val="000000"/>
                <w:sz w:val="15"/>
                <w:szCs w:val="15"/>
              </w:rPr>
              <w:t>0.006</w:t>
            </w:r>
            <w:r w:rsidR="007D3323">
              <w:rPr>
                <w:rFonts w:ascii="Times New Roman" w:hAnsi="Times New Roman" w:cs="Times New Roman"/>
                <w:color w:val="000000"/>
                <w:sz w:val="15"/>
                <w:szCs w:val="15"/>
              </w:rPr>
              <w:t>**</w:t>
            </w:r>
          </w:p>
        </w:tc>
      </w:tr>
      <w:tr w:rsidR="00FE2AA9" w14:paraId="25B5610C" w14:textId="77777777" w:rsidTr="005A295F">
        <w:tc>
          <w:tcPr>
            <w:tcW w:w="2157" w:type="dxa"/>
          </w:tcPr>
          <w:p w14:paraId="5CF396DF"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All Credentials</w:t>
            </w:r>
          </w:p>
        </w:tc>
        <w:tc>
          <w:tcPr>
            <w:tcW w:w="1888" w:type="dxa"/>
          </w:tcPr>
          <w:p w14:paraId="6EF797D1" w14:textId="77777777" w:rsidR="001A77EA" w:rsidRPr="001A77EA" w:rsidRDefault="001A77EA" w:rsidP="001A77EA">
            <w:pPr>
              <w:rPr>
                <w:rFonts w:ascii="Times New Roman" w:hAnsi="Times New Roman" w:cs="Times New Roman"/>
                <w:color w:val="000000"/>
                <w:sz w:val="15"/>
                <w:szCs w:val="15"/>
              </w:rPr>
            </w:pPr>
            <w:r w:rsidRPr="001A77EA">
              <w:rPr>
                <w:rFonts w:ascii="Times New Roman" w:hAnsi="Times New Roman" w:cs="Times New Roman"/>
                <w:color w:val="000000"/>
                <w:sz w:val="15"/>
                <w:szCs w:val="15"/>
              </w:rPr>
              <w:t>0.231</w:t>
            </w:r>
          </w:p>
          <w:p w14:paraId="2D9D7F3E" w14:textId="235F5162" w:rsidR="001A77EA" w:rsidRPr="001A77EA" w:rsidRDefault="001A77EA" w:rsidP="001A77EA">
            <w:pPr>
              <w:rPr>
                <w:rFonts w:ascii="Times New Roman" w:hAnsi="Times New Roman" w:cs="Times New Roman"/>
                <w:color w:val="000000"/>
                <w:sz w:val="15"/>
                <w:szCs w:val="15"/>
              </w:rPr>
            </w:pPr>
            <w:r w:rsidRPr="001A77EA">
              <w:rPr>
                <w:rFonts w:ascii="Times New Roman" w:hAnsi="Times New Roman" w:cs="Times New Roman"/>
                <w:color w:val="000000"/>
                <w:sz w:val="15"/>
                <w:szCs w:val="15"/>
              </w:rPr>
              <w:t>0.041</w:t>
            </w:r>
            <w:r w:rsidR="005A0177">
              <w:rPr>
                <w:rFonts w:ascii="Times New Roman" w:hAnsi="Times New Roman" w:cs="Times New Roman"/>
                <w:color w:val="000000"/>
                <w:sz w:val="15"/>
                <w:szCs w:val="15"/>
              </w:rPr>
              <w:t>*</w:t>
            </w:r>
          </w:p>
          <w:p w14:paraId="74B17347" w14:textId="77777777" w:rsidR="001A77EA" w:rsidRPr="001A77EA" w:rsidRDefault="001A77EA" w:rsidP="001A77EA">
            <w:pPr>
              <w:rPr>
                <w:rFonts w:ascii="Times New Roman" w:hAnsi="Times New Roman" w:cs="Times New Roman"/>
                <w:color w:val="000000"/>
                <w:sz w:val="15"/>
                <w:szCs w:val="15"/>
              </w:rPr>
            </w:pPr>
            <w:r w:rsidRPr="001A77EA">
              <w:rPr>
                <w:rFonts w:ascii="Times New Roman" w:hAnsi="Times New Roman" w:cs="Times New Roman"/>
                <w:color w:val="000000"/>
                <w:sz w:val="15"/>
                <w:szCs w:val="15"/>
              </w:rPr>
              <w:t>0.092</w:t>
            </w:r>
          </w:p>
          <w:p w14:paraId="106A0A7E" w14:textId="77777777" w:rsidR="001A77EA" w:rsidRPr="001A77EA" w:rsidRDefault="001A77EA" w:rsidP="001A77EA">
            <w:pPr>
              <w:rPr>
                <w:rFonts w:ascii="Times New Roman" w:hAnsi="Times New Roman" w:cs="Times New Roman"/>
                <w:color w:val="000000"/>
                <w:sz w:val="15"/>
                <w:szCs w:val="15"/>
              </w:rPr>
            </w:pPr>
            <w:r w:rsidRPr="001A77EA">
              <w:rPr>
                <w:rFonts w:ascii="Times New Roman" w:hAnsi="Times New Roman" w:cs="Times New Roman"/>
                <w:color w:val="000000"/>
                <w:sz w:val="15"/>
                <w:szCs w:val="15"/>
              </w:rPr>
              <w:t>0.248</w:t>
            </w:r>
          </w:p>
          <w:p w14:paraId="17748B55" w14:textId="0D6DAE6A" w:rsidR="00FE2AA9" w:rsidRPr="00FE2AA9" w:rsidRDefault="00954D57" w:rsidP="00FE2AA9">
            <w:pPr>
              <w:rPr>
                <w:rFonts w:ascii="Times New Roman" w:hAnsi="Times New Roman" w:cs="Times New Roman"/>
                <w:color w:val="000000"/>
                <w:sz w:val="15"/>
                <w:szCs w:val="15"/>
              </w:rPr>
            </w:pPr>
            <w:r w:rsidRPr="00954D57">
              <w:rPr>
                <w:rFonts w:ascii="Times New Roman" w:hAnsi="Times New Roman" w:cs="Times New Roman"/>
                <w:color w:val="000000"/>
                <w:sz w:val="15"/>
                <w:szCs w:val="15"/>
              </w:rPr>
              <w:t>0.359</w:t>
            </w:r>
          </w:p>
        </w:tc>
        <w:tc>
          <w:tcPr>
            <w:tcW w:w="2427" w:type="dxa"/>
          </w:tcPr>
          <w:p w14:paraId="5BF325F6" w14:textId="77777777" w:rsidR="00954D57" w:rsidRPr="00954D57" w:rsidRDefault="00954D57" w:rsidP="00954D57">
            <w:pPr>
              <w:rPr>
                <w:rFonts w:ascii="Times New Roman" w:hAnsi="Times New Roman" w:cs="Times New Roman"/>
                <w:sz w:val="15"/>
                <w:szCs w:val="15"/>
              </w:rPr>
            </w:pPr>
            <w:r w:rsidRPr="00954D57">
              <w:rPr>
                <w:rFonts w:ascii="Times New Roman" w:hAnsi="Times New Roman" w:cs="Times New Roman"/>
                <w:sz w:val="15"/>
                <w:szCs w:val="15"/>
              </w:rPr>
              <w:t>0.201</w:t>
            </w:r>
          </w:p>
          <w:p w14:paraId="7C2C4FB7" w14:textId="26A5FACB" w:rsidR="00954D57" w:rsidRPr="00954D57" w:rsidRDefault="00954D57" w:rsidP="00954D57">
            <w:pPr>
              <w:rPr>
                <w:rFonts w:ascii="Times New Roman" w:hAnsi="Times New Roman" w:cs="Times New Roman"/>
                <w:sz w:val="15"/>
                <w:szCs w:val="15"/>
              </w:rPr>
            </w:pPr>
            <w:r w:rsidRPr="00954D57">
              <w:rPr>
                <w:rFonts w:ascii="Times New Roman" w:hAnsi="Times New Roman" w:cs="Times New Roman"/>
                <w:sz w:val="15"/>
                <w:szCs w:val="15"/>
              </w:rPr>
              <w:t>0.021</w:t>
            </w:r>
            <w:r w:rsidR="007D3323">
              <w:rPr>
                <w:rFonts w:ascii="Times New Roman" w:hAnsi="Times New Roman" w:cs="Times New Roman"/>
                <w:color w:val="000000"/>
                <w:sz w:val="15"/>
                <w:szCs w:val="15"/>
              </w:rPr>
              <w:t>*</w:t>
            </w:r>
          </w:p>
          <w:p w14:paraId="62525E3D" w14:textId="4892FE7C" w:rsidR="00954D57" w:rsidRPr="00954D57" w:rsidRDefault="00954D57" w:rsidP="00954D57">
            <w:pPr>
              <w:rPr>
                <w:rFonts w:ascii="Times New Roman" w:hAnsi="Times New Roman" w:cs="Times New Roman"/>
                <w:sz w:val="15"/>
                <w:szCs w:val="15"/>
              </w:rPr>
            </w:pPr>
            <w:r w:rsidRPr="00954D57">
              <w:rPr>
                <w:rFonts w:ascii="Times New Roman" w:hAnsi="Times New Roman" w:cs="Times New Roman"/>
                <w:sz w:val="15"/>
                <w:szCs w:val="15"/>
              </w:rPr>
              <w:t>0.011</w:t>
            </w:r>
            <w:r w:rsidR="007D3323">
              <w:rPr>
                <w:rFonts w:ascii="Times New Roman" w:hAnsi="Times New Roman" w:cs="Times New Roman"/>
                <w:color w:val="000000"/>
                <w:sz w:val="15"/>
                <w:szCs w:val="15"/>
              </w:rPr>
              <w:t>*</w:t>
            </w:r>
          </w:p>
          <w:p w14:paraId="5CE4D503" w14:textId="77777777" w:rsidR="00954D57" w:rsidRPr="00954D57" w:rsidRDefault="00954D57" w:rsidP="00954D57">
            <w:pPr>
              <w:rPr>
                <w:rFonts w:ascii="Times New Roman" w:hAnsi="Times New Roman" w:cs="Times New Roman"/>
                <w:sz w:val="15"/>
                <w:szCs w:val="15"/>
              </w:rPr>
            </w:pPr>
            <w:r w:rsidRPr="00954D57">
              <w:rPr>
                <w:rFonts w:ascii="Times New Roman" w:hAnsi="Times New Roman" w:cs="Times New Roman"/>
                <w:sz w:val="15"/>
                <w:szCs w:val="15"/>
              </w:rPr>
              <w:t>0.094</w:t>
            </w:r>
          </w:p>
          <w:p w14:paraId="4B9701DD" w14:textId="77777777" w:rsidR="00FE2AA9" w:rsidRPr="00FE2AA9" w:rsidRDefault="00FE2AA9" w:rsidP="00FE2AA9">
            <w:pPr>
              <w:rPr>
                <w:rFonts w:ascii="Times New Roman" w:hAnsi="Times New Roman" w:cs="Times New Roman"/>
                <w:sz w:val="15"/>
                <w:szCs w:val="15"/>
              </w:rPr>
            </w:pPr>
          </w:p>
        </w:tc>
        <w:tc>
          <w:tcPr>
            <w:tcW w:w="2158" w:type="dxa"/>
          </w:tcPr>
          <w:p w14:paraId="4A11306F" w14:textId="77777777" w:rsidR="00954D57" w:rsidRPr="00954D57" w:rsidRDefault="00954D57" w:rsidP="00954D57">
            <w:pPr>
              <w:rPr>
                <w:rFonts w:ascii="Times New Roman" w:hAnsi="Times New Roman" w:cs="Times New Roman"/>
                <w:color w:val="000000"/>
                <w:sz w:val="15"/>
                <w:szCs w:val="15"/>
              </w:rPr>
            </w:pPr>
            <w:r w:rsidRPr="00954D57">
              <w:rPr>
                <w:rFonts w:ascii="Times New Roman" w:hAnsi="Times New Roman" w:cs="Times New Roman"/>
                <w:color w:val="000000"/>
                <w:sz w:val="15"/>
                <w:szCs w:val="15"/>
              </w:rPr>
              <w:t>0.526</w:t>
            </w:r>
          </w:p>
          <w:p w14:paraId="053A77ED" w14:textId="77777777" w:rsidR="00954D57" w:rsidRPr="00954D57" w:rsidRDefault="00954D57" w:rsidP="00954D57">
            <w:pPr>
              <w:rPr>
                <w:rFonts w:ascii="Times New Roman" w:hAnsi="Times New Roman" w:cs="Times New Roman"/>
                <w:color w:val="000000"/>
                <w:sz w:val="15"/>
                <w:szCs w:val="15"/>
              </w:rPr>
            </w:pPr>
            <w:r w:rsidRPr="00954D57">
              <w:rPr>
                <w:rFonts w:ascii="Times New Roman" w:hAnsi="Times New Roman" w:cs="Times New Roman"/>
                <w:color w:val="000000"/>
                <w:sz w:val="15"/>
                <w:szCs w:val="15"/>
              </w:rPr>
              <w:t>0.923</w:t>
            </w:r>
          </w:p>
          <w:p w14:paraId="682D92AA" w14:textId="77777777" w:rsidR="00954D57" w:rsidRPr="00954D57" w:rsidRDefault="00954D57" w:rsidP="00954D57">
            <w:pPr>
              <w:rPr>
                <w:rFonts w:ascii="Times New Roman" w:hAnsi="Times New Roman" w:cs="Times New Roman"/>
                <w:color w:val="000000"/>
                <w:sz w:val="15"/>
                <w:szCs w:val="15"/>
              </w:rPr>
            </w:pPr>
            <w:r w:rsidRPr="00954D57">
              <w:rPr>
                <w:rFonts w:ascii="Times New Roman" w:hAnsi="Times New Roman" w:cs="Times New Roman"/>
                <w:color w:val="000000"/>
                <w:sz w:val="15"/>
                <w:szCs w:val="15"/>
              </w:rPr>
              <w:t>0.549</w:t>
            </w:r>
          </w:p>
          <w:p w14:paraId="1F802BEA" w14:textId="77777777" w:rsidR="00954D57" w:rsidRPr="00954D57" w:rsidRDefault="00954D57" w:rsidP="00954D57">
            <w:pPr>
              <w:rPr>
                <w:rFonts w:ascii="Times New Roman" w:hAnsi="Times New Roman" w:cs="Times New Roman"/>
                <w:color w:val="000000"/>
                <w:sz w:val="15"/>
                <w:szCs w:val="15"/>
              </w:rPr>
            </w:pPr>
            <w:r w:rsidRPr="00954D57">
              <w:rPr>
                <w:rFonts w:ascii="Times New Roman" w:hAnsi="Times New Roman" w:cs="Times New Roman"/>
                <w:color w:val="000000"/>
                <w:sz w:val="15"/>
                <w:szCs w:val="15"/>
              </w:rPr>
              <w:t>0.491</w:t>
            </w:r>
          </w:p>
          <w:p w14:paraId="48920ACE" w14:textId="0644FC38" w:rsidR="00FE2AA9" w:rsidRPr="00FE2AA9" w:rsidRDefault="00954D57" w:rsidP="00FE2AA9">
            <w:pPr>
              <w:rPr>
                <w:rFonts w:ascii="Times New Roman" w:hAnsi="Times New Roman" w:cs="Times New Roman"/>
                <w:color w:val="000000"/>
                <w:sz w:val="15"/>
                <w:szCs w:val="15"/>
              </w:rPr>
            </w:pPr>
            <w:r w:rsidRPr="00954D57">
              <w:rPr>
                <w:rFonts w:ascii="Times New Roman" w:hAnsi="Times New Roman" w:cs="Times New Roman"/>
                <w:color w:val="000000"/>
                <w:sz w:val="15"/>
                <w:szCs w:val="15"/>
              </w:rPr>
              <w:t>0.982</w:t>
            </w:r>
          </w:p>
        </w:tc>
      </w:tr>
      <w:tr w:rsidR="00FE2AA9" w14:paraId="4C8C6A7F" w14:textId="77777777" w:rsidTr="005A295F">
        <w:tc>
          <w:tcPr>
            <w:tcW w:w="2157" w:type="dxa"/>
          </w:tcPr>
          <w:p w14:paraId="3A58C587" w14:textId="367304F7" w:rsidR="00FE2AA9" w:rsidRPr="00D2786A" w:rsidRDefault="00275D9D" w:rsidP="00FE2AA9">
            <w:pPr>
              <w:rPr>
                <w:rFonts w:ascii="Times New Roman" w:hAnsi="Times New Roman" w:cs="Times New Roman"/>
              </w:rPr>
            </w:pPr>
            <w:r>
              <w:rPr>
                <w:rFonts w:ascii="Times New Roman" w:hAnsi="Times New Roman" w:cs="Times New Roman"/>
              </w:rPr>
              <w:t>One</w:t>
            </w:r>
            <w:r w:rsidR="002C3000">
              <w:rPr>
                <w:rFonts w:ascii="Times New Roman" w:hAnsi="Times New Roman" w:cs="Times New Roman"/>
              </w:rPr>
              <w:t>-</w:t>
            </w:r>
            <w:r>
              <w:rPr>
                <w:rFonts w:ascii="Times New Roman" w:hAnsi="Times New Roman" w:cs="Times New Roman"/>
              </w:rPr>
              <w:t>to</w:t>
            </w:r>
            <w:r w:rsidR="002C3000">
              <w:rPr>
                <w:rFonts w:ascii="Times New Roman" w:hAnsi="Times New Roman" w:cs="Times New Roman"/>
              </w:rPr>
              <w:t>-</w:t>
            </w:r>
            <w:r>
              <w:rPr>
                <w:rFonts w:ascii="Times New Roman" w:hAnsi="Times New Roman" w:cs="Times New Roman"/>
              </w:rPr>
              <w:t>Two</w:t>
            </w:r>
            <w:r w:rsidR="00FE2AA9" w:rsidRPr="00D2786A">
              <w:rPr>
                <w:rFonts w:ascii="Times New Roman" w:hAnsi="Times New Roman" w:cs="Times New Roman"/>
              </w:rPr>
              <w:t xml:space="preserve"> Year Credentials</w:t>
            </w:r>
          </w:p>
        </w:tc>
        <w:tc>
          <w:tcPr>
            <w:tcW w:w="1888" w:type="dxa"/>
          </w:tcPr>
          <w:p w14:paraId="052A8447" w14:textId="6523A434" w:rsidR="00645A26" w:rsidRPr="00645A26" w:rsidRDefault="00645A26" w:rsidP="00645A26">
            <w:pPr>
              <w:rPr>
                <w:rFonts w:ascii="Times New Roman" w:hAnsi="Times New Roman" w:cs="Times New Roman"/>
                <w:color w:val="000000"/>
                <w:sz w:val="15"/>
                <w:szCs w:val="15"/>
              </w:rPr>
            </w:pPr>
            <w:r w:rsidRPr="00645A26">
              <w:rPr>
                <w:rFonts w:ascii="Times New Roman" w:hAnsi="Times New Roman" w:cs="Times New Roman"/>
                <w:color w:val="000000"/>
                <w:sz w:val="15"/>
                <w:szCs w:val="15"/>
              </w:rPr>
              <w:t>0.044</w:t>
            </w:r>
            <w:r w:rsidR="005A0177">
              <w:rPr>
                <w:rFonts w:ascii="Times New Roman" w:hAnsi="Times New Roman" w:cs="Times New Roman"/>
                <w:color w:val="000000"/>
                <w:sz w:val="15"/>
                <w:szCs w:val="15"/>
              </w:rPr>
              <w:t>*</w:t>
            </w:r>
          </w:p>
          <w:p w14:paraId="7C353C5A" w14:textId="41012CE2" w:rsidR="00645A26" w:rsidRPr="00645A26" w:rsidRDefault="00645A26" w:rsidP="00645A26">
            <w:pPr>
              <w:rPr>
                <w:rFonts w:ascii="Times New Roman" w:hAnsi="Times New Roman" w:cs="Times New Roman"/>
                <w:color w:val="000000"/>
                <w:sz w:val="15"/>
                <w:szCs w:val="15"/>
              </w:rPr>
            </w:pPr>
            <w:r w:rsidRPr="00645A26">
              <w:rPr>
                <w:rFonts w:ascii="Times New Roman" w:hAnsi="Times New Roman" w:cs="Times New Roman"/>
                <w:color w:val="000000"/>
                <w:sz w:val="15"/>
                <w:szCs w:val="15"/>
              </w:rPr>
              <w:t>0.004</w:t>
            </w:r>
            <w:r w:rsidR="005A0177">
              <w:rPr>
                <w:rFonts w:ascii="Times New Roman" w:hAnsi="Times New Roman" w:cs="Times New Roman"/>
                <w:color w:val="000000"/>
                <w:sz w:val="15"/>
                <w:szCs w:val="15"/>
              </w:rPr>
              <w:t>**</w:t>
            </w:r>
          </w:p>
          <w:p w14:paraId="262510B5" w14:textId="5C6A148A" w:rsidR="00645A26" w:rsidRPr="00645A26" w:rsidRDefault="00645A26" w:rsidP="00645A26">
            <w:pPr>
              <w:rPr>
                <w:rFonts w:ascii="Times New Roman" w:hAnsi="Times New Roman" w:cs="Times New Roman"/>
                <w:color w:val="000000"/>
                <w:sz w:val="15"/>
                <w:szCs w:val="15"/>
              </w:rPr>
            </w:pPr>
            <w:r w:rsidRPr="00645A26">
              <w:rPr>
                <w:rFonts w:ascii="Times New Roman" w:hAnsi="Times New Roman" w:cs="Times New Roman"/>
                <w:color w:val="000000"/>
                <w:sz w:val="15"/>
                <w:szCs w:val="15"/>
              </w:rPr>
              <w:t>0.003</w:t>
            </w:r>
            <w:r w:rsidR="005A0177">
              <w:rPr>
                <w:rFonts w:ascii="Times New Roman" w:hAnsi="Times New Roman" w:cs="Times New Roman"/>
                <w:color w:val="000000"/>
                <w:sz w:val="15"/>
                <w:szCs w:val="15"/>
              </w:rPr>
              <w:t>**</w:t>
            </w:r>
          </w:p>
          <w:p w14:paraId="5A863CE9" w14:textId="2463BC88" w:rsidR="00645A26" w:rsidRPr="00645A26" w:rsidRDefault="00645A26" w:rsidP="00645A26">
            <w:pPr>
              <w:rPr>
                <w:rFonts w:ascii="Times New Roman" w:hAnsi="Times New Roman" w:cs="Times New Roman"/>
                <w:color w:val="000000"/>
                <w:sz w:val="15"/>
                <w:szCs w:val="15"/>
              </w:rPr>
            </w:pPr>
            <w:r w:rsidRPr="00645A26">
              <w:rPr>
                <w:rFonts w:ascii="Times New Roman" w:hAnsi="Times New Roman" w:cs="Times New Roman"/>
                <w:color w:val="000000"/>
                <w:sz w:val="15"/>
                <w:szCs w:val="15"/>
              </w:rPr>
              <w:t>0.031</w:t>
            </w:r>
            <w:r w:rsidR="005A0177">
              <w:rPr>
                <w:rFonts w:ascii="Times New Roman" w:hAnsi="Times New Roman" w:cs="Times New Roman"/>
                <w:color w:val="000000"/>
                <w:sz w:val="15"/>
                <w:szCs w:val="15"/>
              </w:rPr>
              <w:t>*</w:t>
            </w:r>
          </w:p>
          <w:p w14:paraId="7840AA28" w14:textId="206D83BD" w:rsidR="00FE2AA9" w:rsidRPr="00FE2AA9" w:rsidRDefault="00645A26" w:rsidP="00FE2AA9">
            <w:pPr>
              <w:rPr>
                <w:rFonts w:ascii="Times New Roman" w:hAnsi="Times New Roman" w:cs="Times New Roman"/>
                <w:color w:val="000000"/>
                <w:sz w:val="15"/>
                <w:szCs w:val="15"/>
              </w:rPr>
            </w:pPr>
            <w:r w:rsidRPr="00645A26">
              <w:rPr>
                <w:rFonts w:ascii="Times New Roman" w:hAnsi="Times New Roman" w:cs="Times New Roman"/>
                <w:color w:val="000000"/>
                <w:sz w:val="15"/>
                <w:szCs w:val="15"/>
              </w:rPr>
              <w:t>0.045</w:t>
            </w:r>
            <w:r w:rsidR="005A0177">
              <w:rPr>
                <w:rFonts w:ascii="Times New Roman" w:hAnsi="Times New Roman" w:cs="Times New Roman"/>
                <w:color w:val="000000"/>
                <w:sz w:val="15"/>
                <w:szCs w:val="15"/>
              </w:rPr>
              <w:t>*</w:t>
            </w:r>
          </w:p>
        </w:tc>
        <w:tc>
          <w:tcPr>
            <w:tcW w:w="2427" w:type="dxa"/>
          </w:tcPr>
          <w:p w14:paraId="19C65D96" w14:textId="77777777" w:rsidR="00645A26" w:rsidRPr="00645A26" w:rsidRDefault="00645A26" w:rsidP="00645A26">
            <w:pPr>
              <w:rPr>
                <w:rFonts w:ascii="Times New Roman" w:hAnsi="Times New Roman" w:cs="Times New Roman"/>
                <w:sz w:val="15"/>
                <w:szCs w:val="15"/>
              </w:rPr>
            </w:pPr>
            <w:r w:rsidRPr="00645A26">
              <w:rPr>
                <w:rFonts w:ascii="Times New Roman" w:hAnsi="Times New Roman" w:cs="Times New Roman"/>
                <w:sz w:val="15"/>
                <w:szCs w:val="15"/>
              </w:rPr>
              <w:t>0.027</w:t>
            </w:r>
          </w:p>
          <w:p w14:paraId="1665204B" w14:textId="533EED9A" w:rsidR="00645A26" w:rsidRPr="00645A26" w:rsidRDefault="00645A26" w:rsidP="00645A26">
            <w:pPr>
              <w:rPr>
                <w:rFonts w:ascii="Times New Roman" w:hAnsi="Times New Roman" w:cs="Times New Roman"/>
                <w:sz w:val="15"/>
                <w:szCs w:val="15"/>
              </w:rPr>
            </w:pPr>
            <w:r w:rsidRPr="00645A26">
              <w:rPr>
                <w:rFonts w:ascii="Times New Roman" w:hAnsi="Times New Roman" w:cs="Times New Roman"/>
                <w:sz w:val="15"/>
                <w:szCs w:val="15"/>
              </w:rPr>
              <w:t>0.000</w:t>
            </w:r>
            <w:r w:rsidR="007D3323">
              <w:rPr>
                <w:rFonts w:ascii="Times New Roman" w:hAnsi="Times New Roman" w:cs="Times New Roman"/>
                <w:color w:val="000000"/>
                <w:sz w:val="15"/>
                <w:szCs w:val="15"/>
              </w:rPr>
              <w:t>***</w:t>
            </w:r>
          </w:p>
          <w:p w14:paraId="71DA259C" w14:textId="7E20C226" w:rsidR="00645A26" w:rsidRPr="00645A26" w:rsidRDefault="00645A26" w:rsidP="00645A26">
            <w:pPr>
              <w:rPr>
                <w:rFonts w:ascii="Times New Roman" w:hAnsi="Times New Roman" w:cs="Times New Roman"/>
                <w:sz w:val="15"/>
                <w:szCs w:val="15"/>
              </w:rPr>
            </w:pPr>
            <w:r w:rsidRPr="00645A26">
              <w:rPr>
                <w:rFonts w:ascii="Times New Roman" w:hAnsi="Times New Roman" w:cs="Times New Roman"/>
                <w:sz w:val="15"/>
                <w:szCs w:val="15"/>
              </w:rPr>
              <w:t>0.000</w:t>
            </w:r>
            <w:r w:rsidR="007D3323">
              <w:rPr>
                <w:rFonts w:ascii="Times New Roman" w:hAnsi="Times New Roman" w:cs="Times New Roman"/>
                <w:color w:val="000000"/>
                <w:sz w:val="15"/>
                <w:szCs w:val="15"/>
              </w:rPr>
              <w:t>***</w:t>
            </w:r>
          </w:p>
          <w:p w14:paraId="1EDBB4B4" w14:textId="21463587" w:rsidR="00645A26" w:rsidRPr="00645A26" w:rsidRDefault="00645A26" w:rsidP="00645A26">
            <w:pPr>
              <w:rPr>
                <w:rFonts w:ascii="Times New Roman" w:hAnsi="Times New Roman" w:cs="Times New Roman"/>
                <w:sz w:val="15"/>
                <w:szCs w:val="15"/>
              </w:rPr>
            </w:pPr>
            <w:r w:rsidRPr="00645A26">
              <w:rPr>
                <w:rFonts w:ascii="Times New Roman" w:hAnsi="Times New Roman" w:cs="Times New Roman"/>
                <w:sz w:val="15"/>
                <w:szCs w:val="15"/>
              </w:rPr>
              <w:t>0.000</w:t>
            </w:r>
            <w:r w:rsidR="007D3323">
              <w:rPr>
                <w:rFonts w:ascii="Times New Roman" w:hAnsi="Times New Roman" w:cs="Times New Roman"/>
                <w:color w:val="000000"/>
                <w:sz w:val="15"/>
                <w:szCs w:val="15"/>
              </w:rPr>
              <w:t>***</w:t>
            </w:r>
          </w:p>
          <w:p w14:paraId="2DABE23F" w14:textId="77777777" w:rsidR="00FE2AA9" w:rsidRPr="00FE2AA9" w:rsidRDefault="00FE2AA9" w:rsidP="00FE2AA9">
            <w:pPr>
              <w:rPr>
                <w:rFonts w:ascii="Times New Roman" w:hAnsi="Times New Roman" w:cs="Times New Roman"/>
                <w:sz w:val="15"/>
                <w:szCs w:val="15"/>
              </w:rPr>
            </w:pPr>
          </w:p>
        </w:tc>
        <w:tc>
          <w:tcPr>
            <w:tcW w:w="2158" w:type="dxa"/>
          </w:tcPr>
          <w:p w14:paraId="18195772" w14:textId="77777777" w:rsidR="00645A26" w:rsidRPr="00645A26" w:rsidRDefault="00645A26" w:rsidP="00645A26">
            <w:pPr>
              <w:rPr>
                <w:rFonts w:ascii="Times New Roman" w:hAnsi="Times New Roman" w:cs="Times New Roman"/>
                <w:color w:val="000000"/>
                <w:sz w:val="15"/>
                <w:szCs w:val="15"/>
              </w:rPr>
            </w:pPr>
            <w:r w:rsidRPr="00645A26">
              <w:rPr>
                <w:rFonts w:ascii="Times New Roman" w:hAnsi="Times New Roman" w:cs="Times New Roman"/>
                <w:color w:val="000000"/>
                <w:sz w:val="15"/>
                <w:szCs w:val="15"/>
              </w:rPr>
              <w:t>0.468</w:t>
            </w:r>
          </w:p>
          <w:p w14:paraId="39474890" w14:textId="77777777" w:rsidR="00645A26" w:rsidRPr="00645A26" w:rsidRDefault="00645A26" w:rsidP="00645A26">
            <w:pPr>
              <w:rPr>
                <w:rFonts w:ascii="Times New Roman" w:hAnsi="Times New Roman" w:cs="Times New Roman"/>
                <w:color w:val="000000"/>
                <w:sz w:val="15"/>
                <w:szCs w:val="15"/>
              </w:rPr>
            </w:pPr>
            <w:r w:rsidRPr="00645A26">
              <w:rPr>
                <w:rFonts w:ascii="Times New Roman" w:hAnsi="Times New Roman" w:cs="Times New Roman"/>
                <w:color w:val="000000"/>
                <w:sz w:val="15"/>
                <w:szCs w:val="15"/>
              </w:rPr>
              <w:t>0.388</w:t>
            </w:r>
          </w:p>
          <w:p w14:paraId="71DAD330" w14:textId="77777777" w:rsidR="00645A26" w:rsidRPr="00645A26" w:rsidRDefault="00645A26" w:rsidP="00645A26">
            <w:pPr>
              <w:rPr>
                <w:rFonts w:ascii="Times New Roman" w:hAnsi="Times New Roman" w:cs="Times New Roman"/>
                <w:color w:val="000000"/>
                <w:sz w:val="15"/>
                <w:szCs w:val="15"/>
              </w:rPr>
            </w:pPr>
            <w:r w:rsidRPr="00645A26">
              <w:rPr>
                <w:rFonts w:ascii="Times New Roman" w:hAnsi="Times New Roman" w:cs="Times New Roman"/>
                <w:color w:val="000000"/>
                <w:sz w:val="15"/>
                <w:szCs w:val="15"/>
              </w:rPr>
              <w:t>0.374</w:t>
            </w:r>
          </w:p>
          <w:p w14:paraId="4C2BB74A" w14:textId="77777777" w:rsidR="00645A26" w:rsidRPr="00645A26" w:rsidRDefault="00645A26" w:rsidP="00645A26">
            <w:pPr>
              <w:rPr>
                <w:rFonts w:ascii="Times New Roman" w:hAnsi="Times New Roman" w:cs="Times New Roman"/>
                <w:color w:val="000000"/>
                <w:sz w:val="15"/>
                <w:szCs w:val="15"/>
              </w:rPr>
            </w:pPr>
            <w:r w:rsidRPr="00645A26">
              <w:rPr>
                <w:rFonts w:ascii="Times New Roman" w:hAnsi="Times New Roman" w:cs="Times New Roman"/>
                <w:color w:val="000000"/>
                <w:sz w:val="15"/>
                <w:szCs w:val="15"/>
              </w:rPr>
              <w:t>0.349</w:t>
            </w:r>
          </w:p>
          <w:p w14:paraId="72EEC1C4" w14:textId="4995E2F3" w:rsidR="00FE2AA9" w:rsidRPr="00FE2AA9" w:rsidRDefault="00645A26" w:rsidP="00FE2AA9">
            <w:pPr>
              <w:rPr>
                <w:rFonts w:ascii="Times New Roman" w:hAnsi="Times New Roman" w:cs="Times New Roman"/>
                <w:color w:val="000000"/>
                <w:sz w:val="15"/>
                <w:szCs w:val="15"/>
              </w:rPr>
            </w:pPr>
            <w:r w:rsidRPr="00645A26">
              <w:rPr>
                <w:rFonts w:ascii="Times New Roman" w:hAnsi="Times New Roman" w:cs="Times New Roman"/>
                <w:color w:val="000000"/>
                <w:sz w:val="15"/>
                <w:szCs w:val="15"/>
              </w:rPr>
              <w:t>0.811</w:t>
            </w:r>
          </w:p>
        </w:tc>
      </w:tr>
      <w:tr w:rsidR="00FE2AA9" w14:paraId="3019CD04" w14:textId="77777777" w:rsidTr="005A295F">
        <w:tc>
          <w:tcPr>
            <w:tcW w:w="2157" w:type="dxa"/>
          </w:tcPr>
          <w:p w14:paraId="41DE725D"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&lt; 1 Year Credentials </w:t>
            </w:r>
          </w:p>
        </w:tc>
        <w:tc>
          <w:tcPr>
            <w:tcW w:w="1888" w:type="dxa"/>
          </w:tcPr>
          <w:p w14:paraId="0A47446E" w14:textId="77777777" w:rsidR="00914F2A" w:rsidRPr="00914F2A" w:rsidRDefault="00914F2A" w:rsidP="00914F2A">
            <w:pPr>
              <w:rPr>
                <w:rFonts w:ascii="Times New Roman" w:hAnsi="Times New Roman" w:cs="Times New Roman"/>
                <w:color w:val="000000"/>
                <w:sz w:val="15"/>
                <w:szCs w:val="15"/>
              </w:rPr>
            </w:pPr>
            <w:r w:rsidRPr="00914F2A">
              <w:rPr>
                <w:rFonts w:ascii="Times New Roman" w:hAnsi="Times New Roman" w:cs="Times New Roman"/>
                <w:color w:val="000000"/>
                <w:sz w:val="15"/>
                <w:szCs w:val="15"/>
              </w:rPr>
              <w:t>0.269</w:t>
            </w:r>
          </w:p>
          <w:p w14:paraId="18141C8C" w14:textId="77777777" w:rsidR="00914F2A" w:rsidRPr="00914F2A" w:rsidRDefault="00914F2A" w:rsidP="00914F2A">
            <w:pPr>
              <w:rPr>
                <w:rFonts w:ascii="Times New Roman" w:hAnsi="Times New Roman" w:cs="Times New Roman"/>
                <w:color w:val="000000"/>
                <w:sz w:val="15"/>
                <w:szCs w:val="15"/>
              </w:rPr>
            </w:pPr>
            <w:r w:rsidRPr="00914F2A">
              <w:rPr>
                <w:rFonts w:ascii="Times New Roman" w:hAnsi="Times New Roman" w:cs="Times New Roman"/>
                <w:color w:val="000000"/>
                <w:sz w:val="15"/>
                <w:szCs w:val="15"/>
              </w:rPr>
              <w:t>0.110</w:t>
            </w:r>
          </w:p>
          <w:p w14:paraId="58AFD57F" w14:textId="2FF3360E" w:rsidR="00914F2A" w:rsidRPr="00914F2A" w:rsidRDefault="00914F2A" w:rsidP="00914F2A">
            <w:pPr>
              <w:rPr>
                <w:rFonts w:ascii="Times New Roman" w:hAnsi="Times New Roman" w:cs="Times New Roman"/>
                <w:color w:val="000000"/>
                <w:sz w:val="15"/>
                <w:szCs w:val="15"/>
              </w:rPr>
            </w:pPr>
            <w:r w:rsidRPr="00914F2A">
              <w:rPr>
                <w:rFonts w:ascii="Times New Roman" w:hAnsi="Times New Roman" w:cs="Times New Roman"/>
                <w:color w:val="000000"/>
                <w:sz w:val="15"/>
                <w:szCs w:val="15"/>
              </w:rPr>
              <w:t>0.029</w:t>
            </w:r>
            <w:r w:rsidR="005A0177">
              <w:rPr>
                <w:rFonts w:ascii="Times New Roman" w:hAnsi="Times New Roman" w:cs="Times New Roman"/>
                <w:color w:val="000000"/>
                <w:sz w:val="15"/>
                <w:szCs w:val="15"/>
              </w:rPr>
              <w:t>*</w:t>
            </w:r>
          </w:p>
          <w:p w14:paraId="78BB0D16" w14:textId="77777777" w:rsidR="00914F2A" w:rsidRPr="00914F2A" w:rsidRDefault="00914F2A" w:rsidP="00914F2A">
            <w:pPr>
              <w:rPr>
                <w:rFonts w:ascii="Times New Roman" w:hAnsi="Times New Roman" w:cs="Times New Roman"/>
                <w:color w:val="000000"/>
                <w:sz w:val="15"/>
                <w:szCs w:val="15"/>
              </w:rPr>
            </w:pPr>
            <w:r w:rsidRPr="00914F2A">
              <w:rPr>
                <w:rFonts w:ascii="Times New Roman" w:hAnsi="Times New Roman" w:cs="Times New Roman"/>
                <w:color w:val="000000"/>
                <w:sz w:val="15"/>
                <w:szCs w:val="15"/>
              </w:rPr>
              <w:t>0.175</w:t>
            </w:r>
          </w:p>
          <w:p w14:paraId="6448498F" w14:textId="0B6EAD18" w:rsidR="00FE2AA9" w:rsidRPr="00FE2AA9" w:rsidRDefault="00914F2A" w:rsidP="00FE2AA9">
            <w:pPr>
              <w:rPr>
                <w:rFonts w:ascii="Times New Roman" w:hAnsi="Times New Roman" w:cs="Times New Roman"/>
                <w:color w:val="000000"/>
                <w:sz w:val="15"/>
                <w:szCs w:val="15"/>
              </w:rPr>
            </w:pPr>
            <w:r w:rsidRPr="00914F2A">
              <w:rPr>
                <w:rFonts w:ascii="Times New Roman" w:hAnsi="Times New Roman" w:cs="Times New Roman"/>
                <w:color w:val="000000"/>
                <w:sz w:val="15"/>
                <w:szCs w:val="15"/>
              </w:rPr>
              <w:t>0.024</w:t>
            </w:r>
            <w:r w:rsidR="005A0177">
              <w:rPr>
                <w:rFonts w:ascii="Times New Roman" w:hAnsi="Times New Roman" w:cs="Times New Roman"/>
                <w:color w:val="000000"/>
                <w:sz w:val="15"/>
                <w:szCs w:val="15"/>
              </w:rPr>
              <w:t>*</w:t>
            </w:r>
          </w:p>
        </w:tc>
        <w:tc>
          <w:tcPr>
            <w:tcW w:w="2427" w:type="dxa"/>
          </w:tcPr>
          <w:p w14:paraId="3EE2E5F5" w14:textId="77777777" w:rsidR="009F6E13" w:rsidRPr="009F6E13" w:rsidRDefault="009F6E13" w:rsidP="009F6E13">
            <w:pPr>
              <w:rPr>
                <w:rFonts w:ascii="Times New Roman" w:hAnsi="Times New Roman" w:cs="Times New Roman"/>
                <w:sz w:val="15"/>
                <w:szCs w:val="15"/>
              </w:rPr>
            </w:pPr>
            <w:r w:rsidRPr="009F6E13">
              <w:rPr>
                <w:rFonts w:ascii="Times New Roman" w:hAnsi="Times New Roman" w:cs="Times New Roman"/>
                <w:sz w:val="15"/>
                <w:szCs w:val="15"/>
              </w:rPr>
              <w:t>0.271</w:t>
            </w:r>
          </w:p>
          <w:p w14:paraId="1F74ADAD" w14:textId="77777777" w:rsidR="009F6E13" w:rsidRPr="009F6E13" w:rsidRDefault="009F6E13" w:rsidP="009F6E13">
            <w:pPr>
              <w:rPr>
                <w:rFonts w:ascii="Times New Roman" w:hAnsi="Times New Roman" w:cs="Times New Roman"/>
                <w:sz w:val="15"/>
                <w:szCs w:val="15"/>
              </w:rPr>
            </w:pPr>
            <w:r w:rsidRPr="009F6E13">
              <w:rPr>
                <w:rFonts w:ascii="Times New Roman" w:hAnsi="Times New Roman" w:cs="Times New Roman"/>
                <w:sz w:val="15"/>
                <w:szCs w:val="15"/>
              </w:rPr>
              <w:t>0.064</w:t>
            </w:r>
          </w:p>
          <w:p w14:paraId="0B5D95FD" w14:textId="5DAB24F2" w:rsidR="009F6E13" w:rsidRPr="009F6E13" w:rsidRDefault="009F6E13" w:rsidP="009F6E13">
            <w:pPr>
              <w:rPr>
                <w:rFonts w:ascii="Times New Roman" w:hAnsi="Times New Roman" w:cs="Times New Roman"/>
                <w:sz w:val="15"/>
                <w:szCs w:val="15"/>
              </w:rPr>
            </w:pPr>
            <w:r w:rsidRPr="009F6E13">
              <w:rPr>
                <w:rFonts w:ascii="Times New Roman" w:hAnsi="Times New Roman" w:cs="Times New Roman"/>
                <w:sz w:val="15"/>
                <w:szCs w:val="15"/>
              </w:rPr>
              <w:t>0.001</w:t>
            </w:r>
            <w:r w:rsidR="007D3323">
              <w:rPr>
                <w:rFonts w:ascii="Times New Roman" w:hAnsi="Times New Roman" w:cs="Times New Roman"/>
                <w:color w:val="000000"/>
                <w:sz w:val="15"/>
                <w:szCs w:val="15"/>
              </w:rPr>
              <w:t>**</w:t>
            </w:r>
          </w:p>
          <w:p w14:paraId="6F8482AF" w14:textId="09B54E61" w:rsidR="009F6E13" w:rsidRPr="009F6E13" w:rsidRDefault="009F6E13" w:rsidP="009F6E13">
            <w:pPr>
              <w:rPr>
                <w:rFonts w:ascii="Times New Roman" w:hAnsi="Times New Roman" w:cs="Times New Roman"/>
                <w:sz w:val="15"/>
                <w:szCs w:val="15"/>
              </w:rPr>
            </w:pPr>
            <w:r w:rsidRPr="009F6E13">
              <w:rPr>
                <w:rFonts w:ascii="Times New Roman" w:hAnsi="Times New Roman" w:cs="Times New Roman"/>
                <w:sz w:val="15"/>
                <w:szCs w:val="15"/>
              </w:rPr>
              <w:t>0.011</w:t>
            </w:r>
            <w:r w:rsidR="007D3323">
              <w:rPr>
                <w:rFonts w:ascii="Times New Roman" w:hAnsi="Times New Roman" w:cs="Times New Roman"/>
                <w:color w:val="000000"/>
                <w:sz w:val="15"/>
                <w:szCs w:val="15"/>
              </w:rPr>
              <w:t>*</w:t>
            </w:r>
          </w:p>
          <w:p w14:paraId="3B199E76" w14:textId="77777777" w:rsidR="00FE2AA9" w:rsidRPr="00FE2AA9" w:rsidRDefault="00FE2AA9" w:rsidP="00FE2AA9">
            <w:pPr>
              <w:rPr>
                <w:rFonts w:ascii="Times New Roman" w:hAnsi="Times New Roman" w:cs="Times New Roman"/>
                <w:sz w:val="15"/>
                <w:szCs w:val="15"/>
              </w:rPr>
            </w:pPr>
          </w:p>
        </w:tc>
        <w:tc>
          <w:tcPr>
            <w:tcW w:w="2158" w:type="dxa"/>
          </w:tcPr>
          <w:p w14:paraId="6F7ADD0C" w14:textId="77777777" w:rsidR="00914F2A" w:rsidRPr="00914F2A" w:rsidRDefault="00914F2A" w:rsidP="00914F2A">
            <w:pPr>
              <w:rPr>
                <w:rFonts w:ascii="Times New Roman" w:hAnsi="Times New Roman" w:cs="Times New Roman"/>
                <w:sz w:val="15"/>
                <w:szCs w:val="15"/>
              </w:rPr>
            </w:pPr>
            <w:r w:rsidRPr="00914F2A">
              <w:rPr>
                <w:rFonts w:ascii="Times New Roman" w:hAnsi="Times New Roman" w:cs="Times New Roman"/>
                <w:sz w:val="15"/>
                <w:szCs w:val="15"/>
              </w:rPr>
              <w:t>0.682</w:t>
            </w:r>
          </w:p>
          <w:p w14:paraId="7D788011" w14:textId="77777777" w:rsidR="00914F2A" w:rsidRPr="00914F2A" w:rsidRDefault="00914F2A" w:rsidP="00914F2A">
            <w:pPr>
              <w:rPr>
                <w:rFonts w:ascii="Times New Roman" w:hAnsi="Times New Roman" w:cs="Times New Roman"/>
                <w:sz w:val="15"/>
                <w:szCs w:val="15"/>
              </w:rPr>
            </w:pPr>
            <w:r w:rsidRPr="00914F2A">
              <w:rPr>
                <w:rFonts w:ascii="Times New Roman" w:hAnsi="Times New Roman" w:cs="Times New Roman"/>
                <w:sz w:val="15"/>
                <w:szCs w:val="15"/>
              </w:rPr>
              <w:t>0.873</w:t>
            </w:r>
          </w:p>
          <w:p w14:paraId="488C0BE5" w14:textId="77777777" w:rsidR="00914F2A" w:rsidRPr="00914F2A" w:rsidRDefault="00914F2A" w:rsidP="00914F2A">
            <w:pPr>
              <w:rPr>
                <w:rFonts w:ascii="Times New Roman" w:hAnsi="Times New Roman" w:cs="Times New Roman"/>
                <w:sz w:val="15"/>
                <w:szCs w:val="15"/>
              </w:rPr>
            </w:pPr>
            <w:r w:rsidRPr="00914F2A">
              <w:rPr>
                <w:rFonts w:ascii="Times New Roman" w:hAnsi="Times New Roman" w:cs="Times New Roman"/>
                <w:sz w:val="15"/>
                <w:szCs w:val="15"/>
              </w:rPr>
              <w:t>0.837</w:t>
            </w:r>
          </w:p>
          <w:p w14:paraId="7769DA48" w14:textId="77777777" w:rsidR="00914F2A" w:rsidRPr="00914F2A" w:rsidRDefault="00914F2A" w:rsidP="00914F2A">
            <w:pPr>
              <w:rPr>
                <w:rFonts w:ascii="Times New Roman" w:hAnsi="Times New Roman" w:cs="Times New Roman"/>
                <w:sz w:val="15"/>
                <w:szCs w:val="15"/>
              </w:rPr>
            </w:pPr>
            <w:r w:rsidRPr="00914F2A">
              <w:rPr>
                <w:rFonts w:ascii="Times New Roman" w:hAnsi="Times New Roman" w:cs="Times New Roman"/>
                <w:sz w:val="15"/>
                <w:szCs w:val="15"/>
              </w:rPr>
              <w:t>0.954</w:t>
            </w:r>
          </w:p>
          <w:p w14:paraId="5D01FB7D" w14:textId="7F047A34" w:rsidR="00FE2AA9" w:rsidRPr="00FE2AA9" w:rsidRDefault="00914F2A" w:rsidP="00FE2AA9">
            <w:pPr>
              <w:rPr>
                <w:rFonts w:ascii="Times New Roman" w:hAnsi="Times New Roman" w:cs="Times New Roman"/>
                <w:sz w:val="15"/>
                <w:szCs w:val="15"/>
              </w:rPr>
            </w:pPr>
            <w:r w:rsidRPr="00914F2A">
              <w:rPr>
                <w:rFonts w:ascii="Times New Roman" w:hAnsi="Times New Roman" w:cs="Times New Roman"/>
                <w:sz w:val="15"/>
                <w:szCs w:val="15"/>
              </w:rPr>
              <w:t>0.701</w:t>
            </w:r>
          </w:p>
        </w:tc>
      </w:tr>
      <w:tr w:rsidR="00FE2AA9" w14:paraId="03CA0212" w14:textId="77777777" w:rsidTr="005A295F">
        <w:tc>
          <w:tcPr>
            <w:tcW w:w="2157" w:type="dxa"/>
          </w:tcPr>
          <w:p w14:paraId="68DAEDCA"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STEM</w:t>
            </w:r>
          </w:p>
        </w:tc>
        <w:tc>
          <w:tcPr>
            <w:tcW w:w="1888" w:type="dxa"/>
          </w:tcPr>
          <w:p w14:paraId="2EEBAF18" w14:textId="77777777"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0.876</w:t>
            </w:r>
          </w:p>
          <w:p w14:paraId="4B2534D1" w14:textId="77777777"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0.316</w:t>
            </w:r>
          </w:p>
          <w:p w14:paraId="6BEF5A56" w14:textId="77777777"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0.595</w:t>
            </w:r>
          </w:p>
          <w:p w14:paraId="125F31DF" w14:textId="77777777"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0.978</w:t>
            </w:r>
          </w:p>
          <w:p w14:paraId="038704A5" w14:textId="17E6047E" w:rsidR="00FE2AA9" w:rsidRPr="00FE2AA9" w:rsidRDefault="009F6E13" w:rsidP="00FE2AA9">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0.782</w:t>
            </w:r>
          </w:p>
        </w:tc>
        <w:tc>
          <w:tcPr>
            <w:tcW w:w="2427" w:type="dxa"/>
          </w:tcPr>
          <w:p w14:paraId="6A32CB1C" w14:textId="77777777"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0.340</w:t>
            </w:r>
          </w:p>
          <w:p w14:paraId="4C51F101" w14:textId="0B8C9963"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0.014</w:t>
            </w:r>
            <w:r w:rsidR="007D3323">
              <w:rPr>
                <w:rFonts w:ascii="Times New Roman" w:hAnsi="Times New Roman" w:cs="Times New Roman"/>
                <w:color w:val="000000"/>
                <w:sz w:val="15"/>
                <w:szCs w:val="15"/>
              </w:rPr>
              <w:t>*</w:t>
            </w:r>
          </w:p>
          <w:p w14:paraId="09C50965" w14:textId="2BE51CA5"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0.025</w:t>
            </w:r>
            <w:r w:rsidR="007D3323">
              <w:rPr>
                <w:rFonts w:ascii="Times New Roman" w:hAnsi="Times New Roman" w:cs="Times New Roman"/>
                <w:color w:val="000000"/>
                <w:sz w:val="15"/>
                <w:szCs w:val="15"/>
              </w:rPr>
              <w:t>*</w:t>
            </w:r>
          </w:p>
          <w:p w14:paraId="4C374B9C" w14:textId="77777777"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0.075</w:t>
            </w:r>
          </w:p>
          <w:p w14:paraId="4398EE1F" w14:textId="1AE30320" w:rsidR="00FE2AA9" w:rsidRPr="00FE2AA9" w:rsidRDefault="00FE2AA9" w:rsidP="00FE2AA9">
            <w:pPr>
              <w:rPr>
                <w:rFonts w:ascii="Times New Roman" w:hAnsi="Times New Roman" w:cs="Times New Roman"/>
                <w:color w:val="000000"/>
                <w:sz w:val="15"/>
                <w:szCs w:val="15"/>
              </w:rPr>
            </w:pPr>
          </w:p>
        </w:tc>
        <w:tc>
          <w:tcPr>
            <w:tcW w:w="2158" w:type="dxa"/>
          </w:tcPr>
          <w:p w14:paraId="5A263257" w14:textId="77777777"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0.527</w:t>
            </w:r>
          </w:p>
          <w:p w14:paraId="7355D8BA" w14:textId="77777777"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0.643</w:t>
            </w:r>
          </w:p>
          <w:p w14:paraId="16F8E056" w14:textId="77777777"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0.568</w:t>
            </w:r>
          </w:p>
          <w:p w14:paraId="0AC95643" w14:textId="77777777" w:rsidR="009F6E13" w:rsidRPr="009F6E13" w:rsidRDefault="009F6E13" w:rsidP="009F6E13">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0.532</w:t>
            </w:r>
          </w:p>
          <w:p w14:paraId="0E62EA7A" w14:textId="61503091" w:rsidR="00FE2AA9" w:rsidRPr="00FE2AA9" w:rsidRDefault="009F6E13" w:rsidP="00FE2AA9">
            <w:pPr>
              <w:rPr>
                <w:rFonts w:ascii="Times New Roman" w:hAnsi="Times New Roman" w:cs="Times New Roman"/>
                <w:color w:val="000000"/>
                <w:sz w:val="15"/>
                <w:szCs w:val="15"/>
              </w:rPr>
            </w:pPr>
            <w:r w:rsidRPr="009F6E13">
              <w:rPr>
                <w:rFonts w:ascii="Times New Roman" w:hAnsi="Times New Roman" w:cs="Times New Roman"/>
                <w:color w:val="000000"/>
                <w:sz w:val="15"/>
                <w:szCs w:val="15"/>
              </w:rPr>
              <w:t>0.761</w:t>
            </w:r>
          </w:p>
        </w:tc>
      </w:tr>
      <w:tr w:rsidR="00FE2AA9" w14:paraId="70FDE689" w14:textId="77777777" w:rsidTr="005A295F">
        <w:tc>
          <w:tcPr>
            <w:tcW w:w="2157" w:type="dxa"/>
          </w:tcPr>
          <w:p w14:paraId="77BE2568"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Trades</w:t>
            </w:r>
          </w:p>
        </w:tc>
        <w:tc>
          <w:tcPr>
            <w:tcW w:w="1888" w:type="dxa"/>
          </w:tcPr>
          <w:p w14:paraId="58F20B9D" w14:textId="77777777" w:rsidR="00AF0696" w:rsidRPr="00AF0696" w:rsidRDefault="00AF0696" w:rsidP="00AF0696">
            <w:pPr>
              <w:rPr>
                <w:rFonts w:ascii="Times New Roman" w:hAnsi="Times New Roman" w:cs="Times New Roman"/>
                <w:color w:val="000000"/>
                <w:sz w:val="15"/>
                <w:szCs w:val="15"/>
              </w:rPr>
            </w:pPr>
            <w:r w:rsidRPr="00AF0696">
              <w:rPr>
                <w:rFonts w:ascii="Times New Roman" w:hAnsi="Times New Roman" w:cs="Times New Roman"/>
                <w:color w:val="000000"/>
                <w:sz w:val="15"/>
                <w:szCs w:val="15"/>
              </w:rPr>
              <w:t>0.180</w:t>
            </w:r>
          </w:p>
          <w:p w14:paraId="08F576DB" w14:textId="77777777" w:rsidR="00AF0696" w:rsidRPr="00AF0696" w:rsidRDefault="00AF0696" w:rsidP="00AF0696">
            <w:pPr>
              <w:rPr>
                <w:rFonts w:ascii="Times New Roman" w:hAnsi="Times New Roman" w:cs="Times New Roman"/>
                <w:color w:val="000000"/>
                <w:sz w:val="15"/>
                <w:szCs w:val="15"/>
              </w:rPr>
            </w:pPr>
            <w:r w:rsidRPr="00AF0696">
              <w:rPr>
                <w:rFonts w:ascii="Times New Roman" w:hAnsi="Times New Roman" w:cs="Times New Roman"/>
                <w:color w:val="000000"/>
                <w:sz w:val="15"/>
                <w:szCs w:val="15"/>
              </w:rPr>
              <w:t>0.089</w:t>
            </w:r>
          </w:p>
          <w:p w14:paraId="456EE167" w14:textId="77777777" w:rsidR="00AF0696" w:rsidRPr="00AF0696" w:rsidRDefault="00AF0696" w:rsidP="00AF0696">
            <w:pPr>
              <w:rPr>
                <w:rFonts w:ascii="Times New Roman" w:hAnsi="Times New Roman" w:cs="Times New Roman"/>
                <w:color w:val="000000"/>
                <w:sz w:val="15"/>
                <w:szCs w:val="15"/>
              </w:rPr>
            </w:pPr>
            <w:r w:rsidRPr="00AF0696">
              <w:rPr>
                <w:rFonts w:ascii="Times New Roman" w:hAnsi="Times New Roman" w:cs="Times New Roman"/>
                <w:color w:val="000000"/>
                <w:sz w:val="15"/>
                <w:szCs w:val="15"/>
              </w:rPr>
              <w:t>0.051</w:t>
            </w:r>
          </w:p>
          <w:p w14:paraId="2E57B8A9" w14:textId="77777777" w:rsidR="00AF0696" w:rsidRPr="00AF0696" w:rsidRDefault="00AF0696" w:rsidP="00AF0696">
            <w:pPr>
              <w:rPr>
                <w:rFonts w:ascii="Times New Roman" w:hAnsi="Times New Roman" w:cs="Times New Roman"/>
                <w:color w:val="000000"/>
                <w:sz w:val="15"/>
                <w:szCs w:val="15"/>
              </w:rPr>
            </w:pPr>
            <w:r w:rsidRPr="00AF0696">
              <w:rPr>
                <w:rFonts w:ascii="Times New Roman" w:hAnsi="Times New Roman" w:cs="Times New Roman"/>
                <w:color w:val="000000"/>
                <w:sz w:val="15"/>
                <w:szCs w:val="15"/>
              </w:rPr>
              <w:t>0.462</w:t>
            </w:r>
          </w:p>
          <w:p w14:paraId="7B5D59F8" w14:textId="2F19851A" w:rsidR="00FE2AA9" w:rsidRPr="00FE2AA9" w:rsidRDefault="00AF0696" w:rsidP="00FE2AA9">
            <w:pPr>
              <w:rPr>
                <w:rFonts w:ascii="Times New Roman" w:hAnsi="Times New Roman" w:cs="Times New Roman"/>
                <w:color w:val="000000"/>
                <w:sz w:val="15"/>
                <w:szCs w:val="15"/>
              </w:rPr>
            </w:pPr>
            <w:r w:rsidRPr="00AF0696">
              <w:rPr>
                <w:rFonts w:ascii="Times New Roman" w:hAnsi="Times New Roman" w:cs="Times New Roman"/>
                <w:color w:val="000000"/>
                <w:sz w:val="15"/>
                <w:szCs w:val="15"/>
              </w:rPr>
              <w:t>0.289</w:t>
            </w:r>
          </w:p>
        </w:tc>
        <w:tc>
          <w:tcPr>
            <w:tcW w:w="2427" w:type="dxa"/>
          </w:tcPr>
          <w:p w14:paraId="26DC7C82" w14:textId="77777777" w:rsidR="00B44B90" w:rsidRPr="00B44B90" w:rsidRDefault="00B44B90" w:rsidP="00B44B90">
            <w:pPr>
              <w:rPr>
                <w:rFonts w:ascii="Times New Roman" w:hAnsi="Times New Roman" w:cs="Times New Roman"/>
                <w:sz w:val="15"/>
                <w:szCs w:val="15"/>
              </w:rPr>
            </w:pPr>
            <w:r w:rsidRPr="00B44B90">
              <w:rPr>
                <w:rFonts w:ascii="Times New Roman" w:hAnsi="Times New Roman" w:cs="Times New Roman"/>
                <w:sz w:val="15"/>
                <w:szCs w:val="15"/>
              </w:rPr>
              <w:t>0.143</w:t>
            </w:r>
          </w:p>
          <w:p w14:paraId="78328984" w14:textId="0F88A9D4" w:rsidR="00B44B90" w:rsidRPr="00B44B90" w:rsidRDefault="00B44B90" w:rsidP="00B44B90">
            <w:pPr>
              <w:rPr>
                <w:rFonts w:ascii="Times New Roman" w:hAnsi="Times New Roman" w:cs="Times New Roman"/>
                <w:sz w:val="15"/>
                <w:szCs w:val="15"/>
              </w:rPr>
            </w:pPr>
            <w:r w:rsidRPr="00B44B90">
              <w:rPr>
                <w:rFonts w:ascii="Times New Roman" w:hAnsi="Times New Roman" w:cs="Times New Roman"/>
                <w:sz w:val="15"/>
                <w:szCs w:val="15"/>
              </w:rPr>
              <w:t>0.049</w:t>
            </w:r>
            <w:r w:rsidR="007D3323">
              <w:rPr>
                <w:rFonts w:ascii="Times New Roman" w:hAnsi="Times New Roman" w:cs="Times New Roman"/>
                <w:color w:val="000000"/>
                <w:sz w:val="15"/>
                <w:szCs w:val="15"/>
              </w:rPr>
              <w:t>*</w:t>
            </w:r>
          </w:p>
          <w:p w14:paraId="4989D1AB" w14:textId="08E7F339" w:rsidR="00B44B90" w:rsidRPr="00B44B90" w:rsidRDefault="00B44B90" w:rsidP="00B44B90">
            <w:pPr>
              <w:rPr>
                <w:rFonts w:ascii="Times New Roman" w:hAnsi="Times New Roman" w:cs="Times New Roman"/>
                <w:sz w:val="15"/>
                <w:szCs w:val="15"/>
              </w:rPr>
            </w:pPr>
            <w:r w:rsidRPr="00B44B90">
              <w:rPr>
                <w:rFonts w:ascii="Times New Roman" w:hAnsi="Times New Roman" w:cs="Times New Roman"/>
                <w:sz w:val="15"/>
                <w:szCs w:val="15"/>
              </w:rPr>
              <w:t>0.024</w:t>
            </w:r>
            <w:r w:rsidR="007D3323">
              <w:rPr>
                <w:rFonts w:ascii="Times New Roman" w:hAnsi="Times New Roman" w:cs="Times New Roman"/>
                <w:color w:val="000000"/>
                <w:sz w:val="15"/>
                <w:szCs w:val="15"/>
              </w:rPr>
              <w:t>*</w:t>
            </w:r>
          </w:p>
          <w:p w14:paraId="126E7504" w14:textId="77777777" w:rsidR="00B44B90" w:rsidRPr="00B44B90" w:rsidRDefault="00B44B90" w:rsidP="00B44B90">
            <w:pPr>
              <w:rPr>
                <w:rFonts w:ascii="Times New Roman" w:hAnsi="Times New Roman" w:cs="Times New Roman"/>
                <w:sz w:val="15"/>
                <w:szCs w:val="15"/>
              </w:rPr>
            </w:pPr>
            <w:r w:rsidRPr="00B44B90">
              <w:rPr>
                <w:rFonts w:ascii="Times New Roman" w:hAnsi="Times New Roman" w:cs="Times New Roman"/>
                <w:sz w:val="15"/>
                <w:szCs w:val="15"/>
              </w:rPr>
              <w:t>0.247</w:t>
            </w:r>
          </w:p>
          <w:p w14:paraId="5A1F911F" w14:textId="77777777" w:rsidR="00FE2AA9" w:rsidRPr="00FE2AA9" w:rsidRDefault="00FE2AA9" w:rsidP="00FE2AA9">
            <w:pPr>
              <w:rPr>
                <w:rFonts w:ascii="Times New Roman" w:hAnsi="Times New Roman" w:cs="Times New Roman"/>
                <w:sz w:val="15"/>
                <w:szCs w:val="15"/>
              </w:rPr>
            </w:pPr>
          </w:p>
        </w:tc>
        <w:tc>
          <w:tcPr>
            <w:tcW w:w="2158" w:type="dxa"/>
          </w:tcPr>
          <w:p w14:paraId="440286BE" w14:textId="23BFF472" w:rsidR="00AF0696" w:rsidRPr="00AF0696" w:rsidRDefault="00AF0696" w:rsidP="00AF0696">
            <w:pPr>
              <w:rPr>
                <w:rFonts w:ascii="Times New Roman" w:hAnsi="Times New Roman" w:cs="Times New Roman"/>
                <w:color w:val="000000"/>
                <w:sz w:val="15"/>
                <w:szCs w:val="15"/>
              </w:rPr>
            </w:pPr>
            <w:r w:rsidRPr="00AF0696">
              <w:rPr>
                <w:rFonts w:ascii="Times New Roman" w:hAnsi="Times New Roman" w:cs="Times New Roman"/>
                <w:color w:val="000000"/>
                <w:sz w:val="15"/>
                <w:szCs w:val="15"/>
              </w:rPr>
              <w:t>0.042</w:t>
            </w:r>
            <w:r w:rsidR="007D3323">
              <w:rPr>
                <w:rFonts w:ascii="Times New Roman" w:hAnsi="Times New Roman" w:cs="Times New Roman"/>
                <w:color w:val="000000"/>
                <w:sz w:val="15"/>
                <w:szCs w:val="15"/>
              </w:rPr>
              <w:t>*</w:t>
            </w:r>
          </w:p>
          <w:p w14:paraId="557CB227" w14:textId="3BED9027" w:rsidR="00AF0696" w:rsidRPr="00AF0696" w:rsidRDefault="00AF0696" w:rsidP="00AF0696">
            <w:pPr>
              <w:rPr>
                <w:rFonts w:ascii="Times New Roman" w:hAnsi="Times New Roman" w:cs="Times New Roman"/>
                <w:color w:val="000000"/>
                <w:sz w:val="15"/>
                <w:szCs w:val="15"/>
              </w:rPr>
            </w:pPr>
            <w:r w:rsidRPr="00AF0696">
              <w:rPr>
                <w:rFonts w:ascii="Times New Roman" w:hAnsi="Times New Roman" w:cs="Times New Roman"/>
                <w:color w:val="000000"/>
                <w:sz w:val="15"/>
                <w:szCs w:val="15"/>
              </w:rPr>
              <w:t>0.013</w:t>
            </w:r>
            <w:r w:rsidR="007D3323">
              <w:rPr>
                <w:rFonts w:ascii="Times New Roman" w:hAnsi="Times New Roman" w:cs="Times New Roman"/>
                <w:color w:val="000000"/>
                <w:sz w:val="15"/>
                <w:szCs w:val="15"/>
              </w:rPr>
              <w:t>*</w:t>
            </w:r>
          </w:p>
          <w:p w14:paraId="5731BF38" w14:textId="77777777" w:rsidR="00AF0696" w:rsidRPr="00AF0696" w:rsidRDefault="00AF0696" w:rsidP="00AF0696">
            <w:pPr>
              <w:rPr>
                <w:rFonts w:ascii="Times New Roman" w:hAnsi="Times New Roman" w:cs="Times New Roman"/>
                <w:color w:val="000000"/>
                <w:sz w:val="15"/>
                <w:szCs w:val="15"/>
              </w:rPr>
            </w:pPr>
            <w:r w:rsidRPr="00AF0696">
              <w:rPr>
                <w:rFonts w:ascii="Times New Roman" w:hAnsi="Times New Roman" w:cs="Times New Roman"/>
                <w:color w:val="000000"/>
                <w:sz w:val="15"/>
                <w:szCs w:val="15"/>
              </w:rPr>
              <w:t>0.073</w:t>
            </w:r>
          </w:p>
          <w:p w14:paraId="21064F4A" w14:textId="77777777" w:rsidR="00B44B90" w:rsidRPr="00B44B90" w:rsidRDefault="00B44B90" w:rsidP="00B44B90">
            <w:pPr>
              <w:rPr>
                <w:rFonts w:ascii="Times New Roman" w:hAnsi="Times New Roman" w:cs="Times New Roman"/>
                <w:color w:val="000000"/>
                <w:sz w:val="15"/>
                <w:szCs w:val="15"/>
              </w:rPr>
            </w:pPr>
            <w:r w:rsidRPr="00B44B90">
              <w:rPr>
                <w:rFonts w:ascii="Times New Roman" w:hAnsi="Times New Roman" w:cs="Times New Roman"/>
                <w:color w:val="000000"/>
                <w:sz w:val="15"/>
                <w:szCs w:val="15"/>
              </w:rPr>
              <w:t>0.061</w:t>
            </w:r>
          </w:p>
          <w:p w14:paraId="47E6815F" w14:textId="3CF5C75A" w:rsidR="00FE2AA9" w:rsidRPr="00FE2AA9" w:rsidRDefault="00B44B90" w:rsidP="00FE2AA9">
            <w:pPr>
              <w:rPr>
                <w:rFonts w:ascii="Times New Roman" w:hAnsi="Times New Roman" w:cs="Times New Roman"/>
                <w:color w:val="000000"/>
                <w:sz w:val="15"/>
                <w:szCs w:val="15"/>
              </w:rPr>
            </w:pPr>
            <w:r w:rsidRPr="00B44B90">
              <w:rPr>
                <w:rFonts w:ascii="Times New Roman" w:hAnsi="Times New Roman" w:cs="Times New Roman"/>
                <w:color w:val="000000"/>
                <w:sz w:val="15"/>
                <w:szCs w:val="15"/>
              </w:rPr>
              <w:t>0.025</w:t>
            </w:r>
            <w:r w:rsidR="007D3323">
              <w:rPr>
                <w:rFonts w:ascii="Times New Roman" w:hAnsi="Times New Roman" w:cs="Times New Roman"/>
                <w:color w:val="000000"/>
                <w:sz w:val="15"/>
                <w:szCs w:val="15"/>
              </w:rPr>
              <w:t>*</w:t>
            </w:r>
          </w:p>
        </w:tc>
      </w:tr>
      <w:tr w:rsidR="00FE2AA9" w14:paraId="495F7533" w14:textId="77777777" w:rsidTr="005A295F">
        <w:tc>
          <w:tcPr>
            <w:tcW w:w="2157" w:type="dxa"/>
          </w:tcPr>
          <w:p w14:paraId="57820B7B"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Lib Arts</w:t>
            </w:r>
          </w:p>
        </w:tc>
        <w:tc>
          <w:tcPr>
            <w:tcW w:w="1888" w:type="dxa"/>
          </w:tcPr>
          <w:p w14:paraId="232A8969" w14:textId="4CF5C40B" w:rsidR="00B44B90" w:rsidRPr="00B44B90" w:rsidRDefault="00B44B90" w:rsidP="00B44B90">
            <w:pPr>
              <w:rPr>
                <w:rFonts w:ascii="Times New Roman" w:hAnsi="Times New Roman" w:cs="Times New Roman"/>
                <w:color w:val="000000"/>
                <w:sz w:val="15"/>
                <w:szCs w:val="15"/>
              </w:rPr>
            </w:pPr>
            <w:r w:rsidRPr="00B44B90">
              <w:rPr>
                <w:rFonts w:ascii="Times New Roman" w:hAnsi="Times New Roman" w:cs="Times New Roman"/>
                <w:color w:val="000000"/>
                <w:sz w:val="15"/>
                <w:szCs w:val="15"/>
              </w:rPr>
              <w:t>0.004</w:t>
            </w:r>
            <w:r w:rsidR="005A0177">
              <w:rPr>
                <w:rFonts w:ascii="Times New Roman" w:hAnsi="Times New Roman" w:cs="Times New Roman"/>
                <w:color w:val="000000"/>
                <w:sz w:val="15"/>
                <w:szCs w:val="15"/>
              </w:rPr>
              <w:t>**</w:t>
            </w:r>
          </w:p>
          <w:p w14:paraId="6C064ECA" w14:textId="2633A259" w:rsidR="00B44B90" w:rsidRPr="00B44B90" w:rsidRDefault="00B44B90" w:rsidP="00B44B90">
            <w:pPr>
              <w:rPr>
                <w:rFonts w:ascii="Times New Roman" w:hAnsi="Times New Roman" w:cs="Times New Roman"/>
                <w:color w:val="000000"/>
                <w:sz w:val="15"/>
                <w:szCs w:val="15"/>
              </w:rPr>
            </w:pPr>
            <w:r w:rsidRPr="00B44B90">
              <w:rPr>
                <w:rFonts w:ascii="Times New Roman" w:hAnsi="Times New Roman" w:cs="Times New Roman"/>
                <w:color w:val="000000"/>
                <w:sz w:val="15"/>
                <w:szCs w:val="15"/>
              </w:rPr>
              <w:t>0.004</w:t>
            </w:r>
            <w:r w:rsidR="005A0177">
              <w:rPr>
                <w:rFonts w:ascii="Times New Roman" w:hAnsi="Times New Roman" w:cs="Times New Roman"/>
                <w:color w:val="000000"/>
                <w:sz w:val="15"/>
                <w:szCs w:val="15"/>
              </w:rPr>
              <w:t>**</w:t>
            </w:r>
          </w:p>
          <w:p w14:paraId="09B0400B" w14:textId="045CDDF3" w:rsidR="00B44B90" w:rsidRPr="00B44B90" w:rsidRDefault="00B44B90" w:rsidP="00B44B90">
            <w:pPr>
              <w:rPr>
                <w:rFonts w:ascii="Times New Roman" w:hAnsi="Times New Roman" w:cs="Times New Roman"/>
                <w:color w:val="000000"/>
                <w:sz w:val="15"/>
                <w:szCs w:val="15"/>
              </w:rPr>
            </w:pPr>
            <w:r w:rsidRPr="00B44B90">
              <w:rPr>
                <w:rFonts w:ascii="Times New Roman" w:hAnsi="Times New Roman" w:cs="Times New Roman"/>
                <w:color w:val="000000"/>
                <w:sz w:val="15"/>
                <w:szCs w:val="15"/>
              </w:rPr>
              <w:t>0.008</w:t>
            </w:r>
            <w:r w:rsidR="005A0177">
              <w:rPr>
                <w:rFonts w:ascii="Times New Roman" w:hAnsi="Times New Roman" w:cs="Times New Roman"/>
                <w:color w:val="000000"/>
                <w:sz w:val="15"/>
                <w:szCs w:val="15"/>
              </w:rPr>
              <w:t>**</w:t>
            </w:r>
          </w:p>
          <w:p w14:paraId="5F090AE1" w14:textId="787EF5E0" w:rsidR="00B44B90" w:rsidRPr="00B44B90" w:rsidRDefault="00B44B90" w:rsidP="00B44B90">
            <w:pPr>
              <w:rPr>
                <w:rFonts w:ascii="Times New Roman" w:hAnsi="Times New Roman" w:cs="Times New Roman"/>
                <w:color w:val="000000"/>
                <w:sz w:val="15"/>
                <w:szCs w:val="15"/>
              </w:rPr>
            </w:pPr>
            <w:r w:rsidRPr="00B44B90">
              <w:rPr>
                <w:rFonts w:ascii="Times New Roman" w:hAnsi="Times New Roman" w:cs="Times New Roman"/>
                <w:color w:val="000000"/>
                <w:sz w:val="15"/>
                <w:szCs w:val="15"/>
              </w:rPr>
              <w:t>0.004</w:t>
            </w:r>
            <w:r w:rsidR="005A0177">
              <w:rPr>
                <w:rFonts w:ascii="Times New Roman" w:hAnsi="Times New Roman" w:cs="Times New Roman"/>
                <w:color w:val="000000"/>
                <w:sz w:val="15"/>
                <w:szCs w:val="15"/>
              </w:rPr>
              <w:t>**</w:t>
            </w:r>
          </w:p>
          <w:p w14:paraId="7FDF68FD" w14:textId="2347E517" w:rsidR="00FE2AA9" w:rsidRPr="00FE2AA9" w:rsidRDefault="00B44B90" w:rsidP="00FE2AA9">
            <w:pPr>
              <w:rPr>
                <w:rFonts w:ascii="Times New Roman" w:hAnsi="Times New Roman" w:cs="Times New Roman"/>
                <w:color w:val="000000"/>
                <w:sz w:val="15"/>
                <w:szCs w:val="15"/>
              </w:rPr>
            </w:pPr>
            <w:r w:rsidRPr="00B44B90">
              <w:rPr>
                <w:rFonts w:ascii="Times New Roman" w:hAnsi="Times New Roman" w:cs="Times New Roman"/>
                <w:color w:val="000000"/>
                <w:sz w:val="15"/>
                <w:szCs w:val="15"/>
              </w:rPr>
              <w:t>0.001</w:t>
            </w:r>
            <w:r w:rsidR="005A0177">
              <w:rPr>
                <w:rFonts w:ascii="Times New Roman" w:hAnsi="Times New Roman" w:cs="Times New Roman"/>
                <w:color w:val="000000"/>
                <w:sz w:val="15"/>
                <w:szCs w:val="15"/>
              </w:rPr>
              <w:t>**</w:t>
            </w:r>
          </w:p>
        </w:tc>
        <w:tc>
          <w:tcPr>
            <w:tcW w:w="2427" w:type="dxa"/>
          </w:tcPr>
          <w:p w14:paraId="1915ECAE" w14:textId="456A96F1" w:rsidR="00672E31" w:rsidRPr="00672E31" w:rsidRDefault="00672E31" w:rsidP="00672E31">
            <w:pPr>
              <w:rPr>
                <w:rFonts w:ascii="Times New Roman" w:hAnsi="Times New Roman" w:cs="Times New Roman"/>
                <w:color w:val="000000"/>
                <w:sz w:val="15"/>
                <w:szCs w:val="15"/>
              </w:rPr>
            </w:pPr>
            <w:r w:rsidRPr="00672E31">
              <w:rPr>
                <w:rFonts w:ascii="Times New Roman" w:hAnsi="Times New Roman" w:cs="Times New Roman"/>
                <w:color w:val="000000"/>
                <w:sz w:val="15"/>
                <w:szCs w:val="15"/>
              </w:rPr>
              <w:t>0.010</w:t>
            </w:r>
            <w:r w:rsidR="007D3323">
              <w:rPr>
                <w:rFonts w:ascii="Times New Roman" w:hAnsi="Times New Roman" w:cs="Times New Roman"/>
                <w:color w:val="000000"/>
                <w:sz w:val="15"/>
                <w:szCs w:val="15"/>
              </w:rPr>
              <w:t>*</w:t>
            </w:r>
          </w:p>
          <w:p w14:paraId="39378429" w14:textId="252D6F19" w:rsidR="00672E31" w:rsidRPr="00672E31" w:rsidRDefault="00672E31" w:rsidP="00672E31">
            <w:pPr>
              <w:rPr>
                <w:rFonts w:ascii="Times New Roman" w:hAnsi="Times New Roman" w:cs="Times New Roman"/>
                <w:color w:val="000000"/>
                <w:sz w:val="15"/>
                <w:szCs w:val="15"/>
              </w:rPr>
            </w:pPr>
            <w:r w:rsidRPr="00672E31">
              <w:rPr>
                <w:rFonts w:ascii="Times New Roman" w:hAnsi="Times New Roman" w:cs="Times New Roman"/>
                <w:color w:val="000000"/>
                <w:sz w:val="15"/>
                <w:szCs w:val="15"/>
              </w:rPr>
              <w:t>0.012</w:t>
            </w:r>
            <w:r w:rsidR="007D3323">
              <w:rPr>
                <w:rFonts w:ascii="Times New Roman" w:hAnsi="Times New Roman" w:cs="Times New Roman"/>
                <w:color w:val="000000"/>
                <w:sz w:val="15"/>
                <w:szCs w:val="15"/>
              </w:rPr>
              <w:t>*</w:t>
            </w:r>
          </w:p>
          <w:p w14:paraId="55F8A9ED" w14:textId="77777777" w:rsidR="00672E31" w:rsidRPr="00672E31" w:rsidRDefault="00672E31" w:rsidP="00672E31">
            <w:pPr>
              <w:rPr>
                <w:rFonts w:ascii="Times New Roman" w:hAnsi="Times New Roman" w:cs="Times New Roman"/>
                <w:color w:val="000000"/>
                <w:sz w:val="15"/>
                <w:szCs w:val="15"/>
              </w:rPr>
            </w:pPr>
            <w:r w:rsidRPr="00672E31">
              <w:rPr>
                <w:rFonts w:ascii="Times New Roman" w:hAnsi="Times New Roman" w:cs="Times New Roman"/>
                <w:color w:val="000000"/>
                <w:sz w:val="15"/>
                <w:szCs w:val="15"/>
              </w:rPr>
              <w:t>0.097</w:t>
            </w:r>
          </w:p>
          <w:p w14:paraId="6BBD5CC3" w14:textId="709241F2" w:rsidR="00672E31" w:rsidRPr="00672E31" w:rsidRDefault="00672E31" w:rsidP="00672E31">
            <w:pPr>
              <w:rPr>
                <w:rFonts w:ascii="Times New Roman" w:hAnsi="Times New Roman" w:cs="Times New Roman"/>
                <w:color w:val="000000"/>
                <w:sz w:val="15"/>
                <w:szCs w:val="15"/>
              </w:rPr>
            </w:pPr>
            <w:r w:rsidRPr="00672E31">
              <w:rPr>
                <w:rFonts w:ascii="Times New Roman" w:hAnsi="Times New Roman" w:cs="Times New Roman"/>
                <w:color w:val="000000"/>
                <w:sz w:val="15"/>
                <w:szCs w:val="15"/>
              </w:rPr>
              <w:t>0.039</w:t>
            </w:r>
            <w:r w:rsidR="005A0177">
              <w:rPr>
                <w:rFonts w:ascii="Times New Roman" w:hAnsi="Times New Roman" w:cs="Times New Roman"/>
                <w:color w:val="000000"/>
                <w:sz w:val="15"/>
                <w:szCs w:val="15"/>
              </w:rPr>
              <w:t>*</w:t>
            </w:r>
          </w:p>
          <w:p w14:paraId="7F4AFA7F" w14:textId="03E2264B" w:rsidR="00FE2AA9" w:rsidRPr="00FE2AA9" w:rsidRDefault="00FE2AA9" w:rsidP="00FE2AA9">
            <w:pPr>
              <w:rPr>
                <w:rFonts w:ascii="Times New Roman" w:hAnsi="Times New Roman" w:cs="Times New Roman"/>
                <w:color w:val="000000"/>
                <w:sz w:val="15"/>
                <w:szCs w:val="15"/>
              </w:rPr>
            </w:pPr>
          </w:p>
        </w:tc>
        <w:tc>
          <w:tcPr>
            <w:tcW w:w="2158" w:type="dxa"/>
          </w:tcPr>
          <w:p w14:paraId="0A7C2234" w14:textId="5CF1A28C" w:rsidR="00B44B90" w:rsidRPr="00B44B90" w:rsidRDefault="00B44B90" w:rsidP="00B44B90">
            <w:pPr>
              <w:rPr>
                <w:rFonts w:ascii="Times New Roman" w:hAnsi="Times New Roman" w:cs="Times New Roman"/>
                <w:sz w:val="15"/>
                <w:szCs w:val="15"/>
              </w:rPr>
            </w:pPr>
            <w:r w:rsidRPr="00B44B90">
              <w:rPr>
                <w:rFonts w:ascii="Times New Roman" w:hAnsi="Times New Roman" w:cs="Times New Roman"/>
                <w:sz w:val="15"/>
                <w:szCs w:val="15"/>
              </w:rPr>
              <w:t>0.000</w:t>
            </w:r>
            <w:r w:rsidR="007D3323">
              <w:rPr>
                <w:rFonts w:ascii="Times New Roman" w:hAnsi="Times New Roman" w:cs="Times New Roman"/>
                <w:color w:val="000000"/>
                <w:sz w:val="15"/>
                <w:szCs w:val="15"/>
              </w:rPr>
              <w:t>***</w:t>
            </w:r>
          </w:p>
          <w:p w14:paraId="297F7CC4" w14:textId="37722103" w:rsidR="00B44B90" w:rsidRPr="00B44B90" w:rsidRDefault="00B44B90" w:rsidP="00B44B90">
            <w:pPr>
              <w:rPr>
                <w:rFonts w:ascii="Times New Roman" w:hAnsi="Times New Roman" w:cs="Times New Roman"/>
                <w:sz w:val="15"/>
                <w:szCs w:val="15"/>
              </w:rPr>
            </w:pPr>
            <w:r w:rsidRPr="00B44B90">
              <w:rPr>
                <w:rFonts w:ascii="Times New Roman" w:hAnsi="Times New Roman" w:cs="Times New Roman"/>
                <w:sz w:val="15"/>
                <w:szCs w:val="15"/>
              </w:rPr>
              <w:t>0.000</w:t>
            </w:r>
            <w:r w:rsidR="007D3323">
              <w:rPr>
                <w:rFonts w:ascii="Times New Roman" w:hAnsi="Times New Roman" w:cs="Times New Roman"/>
                <w:color w:val="000000"/>
                <w:sz w:val="15"/>
                <w:szCs w:val="15"/>
              </w:rPr>
              <w:t>***</w:t>
            </w:r>
          </w:p>
          <w:p w14:paraId="70639D45" w14:textId="79E35FD4" w:rsidR="00B44B90" w:rsidRPr="00B44B90" w:rsidRDefault="00B44B90" w:rsidP="00B44B90">
            <w:pPr>
              <w:rPr>
                <w:rFonts w:ascii="Times New Roman" w:hAnsi="Times New Roman" w:cs="Times New Roman"/>
                <w:sz w:val="15"/>
                <w:szCs w:val="15"/>
              </w:rPr>
            </w:pPr>
            <w:r w:rsidRPr="00B44B90">
              <w:rPr>
                <w:rFonts w:ascii="Times New Roman" w:hAnsi="Times New Roman" w:cs="Times New Roman"/>
                <w:sz w:val="15"/>
                <w:szCs w:val="15"/>
              </w:rPr>
              <w:t>0.000</w:t>
            </w:r>
            <w:r w:rsidR="007D3323">
              <w:rPr>
                <w:rFonts w:ascii="Times New Roman" w:hAnsi="Times New Roman" w:cs="Times New Roman"/>
                <w:color w:val="000000"/>
                <w:sz w:val="15"/>
                <w:szCs w:val="15"/>
              </w:rPr>
              <w:t>***</w:t>
            </w:r>
          </w:p>
          <w:p w14:paraId="579E4494" w14:textId="2EF16343" w:rsidR="00B44B90" w:rsidRPr="00B44B90" w:rsidRDefault="00B44B90" w:rsidP="00B44B90">
            <w:pPr>
              <w:rPr>
                <w:rFonts w:ascii="Times New Roman" w:hAnsi="Times New Roman" w:cs="Times New Roman"/>
                <w:sz w:val="15"/>
                <w:szCs w:val="15"/>
              </w:rPr>
            </w:pPr>
            <w:r w:rsidRPr="00B44B90">
              <w:rPr>
                <w:rFonts w:ascii="Times New Roman" w:hAnsi="Times New Roman" w:cs="Times New Roman"/>
                <w:sz w:val="15"/>
                <w:szCs w:val="15"/>
              </w:rPr>
              <w:t>0.000</w:t>
            </w:r>
            <w:r w:rsidR="007D3323">
              <w:rPr>
                <w:rFonts w:ascii="Times New Roman" w:hAnsi="Times New Roman" w:cs="Times New Roman"/>
                <w:color w:val="000000"/>
                <w:sz w:val="15"/>
                <w:szCs w:val="15"/>
              </w:rPr>
              <w:t>***</w:t>
            </w:r>
          </w:p>
          <w:p w14:paraId="3083BFBD" w14:textId="4682BD00" w:rsidR="00FE2AA9" w:rsidRPr="00FE2AA9" w:rsidRDefault="00B44B90" w:rsidP="00FE2AA9">
            <w:pPr>
              <w:rPr>
                <w:rFonts w:ascii="Times New Roman" w:hAnsi="Times New Roman" w:cs="Times New Roman"/>
                <w:sz w:val="15"/>
                <w:szCs w:val="15"/>
              </w:rPr>
            </w:pPr>
            <w:r w:rsidRPr="00B44B90">
              <w:rPr>
                <w:rFonts w:ascii="Times New Roman" w:hAnsi="Times New Roman" w:cs="Times New Roman"/>
                <w:sz w:val="15"/>
                <w:szCs w:val="15"/>
              </w:rPr>
              <w:t>0.000</w:t>
            </w:r>
            <w:r w:rsidR="007D3323">
              <w:rPr>
                <w:rFonts w:ascii="Times New Roman" w:hAnsi="Times New Roman" w:cs="Times New Roman"/>
                <w:color w:val="000000"/>
                <w:sz w:val="15"/>
                <w:szCs w:val="15"/>
              </w:rPr>
              <w:t>***</w:t>
            </w:r>
          </w:p>
        </w:tc>
      </w:tr>
      <w:tr w:rsidR="00FE2AA9" w14:paraId="389DAB91" w14:textId="77777777" w:rsidTr="005A295F">
        <w:tc>
          <w:tcPr>
            <w:tcW w:w="2157" w:type="dxa"/>
          </w:tcPr>
          <w:p w14:paraId="6E200090"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Pro. Services </w:t>
            </w:r>
          </w:p>
        </w:tc>
        <w:tc>
          <w:tcPr>
            <w:tcW w:w="1888" w:type="dxa"/>
          </w:tcPr>
          <w:p w14:paraId="3D84504A" w14:textId="77777777" w:rsidR="00672E31" w:rsidRPr="00672E31" w:rsidRDefault="00672E31" w:rsidP="00672E31">
            <w:pPr>
              <w:rPr>
                <w:rFonts w:ascii="Times New Roman" w:hAnsi="Times New Roman" w:cs="Times New Roman"/>
                <w:color w:val="000000"/>
                <w:sz w:val="15"/>
                <w:szCs w:val="15"/>
              </w:rPr>
            </w:pPr>
            <w:r w:rsidRPr="00672E31">
              <w:rPr>
                <w:rFonts w:ascii="Times New Roman" w:hAnsi="Times New Roman" w:cs="Times New Roman"/>
                <w:color w:val="000000"/>
                <w:sz w:val="15"/>
                <w:szCs w:val="15"/>
              </w:rPr>
              <w:t>0.557</w:t>
            </w:r>
          </w:p>
          <w:p w14:paraId="055B6764" w14:textId="77777777" w:rsidR="00672E31" w:rsidRPr="00672E31" w:rsidRDefault="00672E31" w:rsidP="00672E31">
            <w:pPr>
              <w:rPr>
                <w:rFonts w:ascii="Times New Roman" w:hAnsi="Times New Roman" w:cs="Times New Roman"/>
                <w:color w:val="000000"/>
                <w:sz w:val="15"/>
                <w:szCs w:val="15"/>
              </w:rPr>
            </w:pPr>
            <w:r w:rsidRPr="00672E31">
              <w:rPr>
                <w:rFonts w:ascii="Times New Roman" w:hAnsi="Times New Roman" w:cs="Times New Roman"/>
                <w:color w:val="000000"/>
                <w:sz w:val="15"/>
                <w:szCs w:val="15"/>
              </w:rPr>
              <w:t>0.207</w:t>
            </w:r>
          </w:p>
          <w:p w14:paraId="6DE7C459" w14:textId="77777777" w:rsidR="00672E31" w:rsidRPr="00672E31" w:rsidRDefault="00672E31" w:rsidP="00672E31">
            <w:pPr>
              <w:rPr>
                <w:rFonts w:ascii="Times New Roman" w:hAnsi="Times New Roman" w:cs="Times New Roman"/>
                <w:color w:val="000000"/>
                <w:sz w:val="15"/>
                <w:szCs w:val="15"/>
              </w:rPr>
            </w:pPr>
            <w:r w:rsidRPr="00672E31">
              <w:rPr>
                <w:rFonts w:ascii="Times New Roman" w:hAnsi="Times New Roman" w:cs="Times New Roman"/>
                <w:color w:val="000000"/>
                <w:sz w:val="15"/>
                <w:szCs w:val="15"/>
              </w:rPr>
              <w:t>0.112</w:t>
            </w:r>
          </w:p>
          <w:p w14:paraId="6C854F5E" w14:textId="77777777" w:rsidR="00672E31" w:rsidRPr="00672E31" w:rsidRDefault="00672E31" w:rsidP="00672E31">
            <w:pPr>
              <w:rPr>
                <w:rFonts w:ascii="Times New Roman" w:hAnsi="Times New Roman" w:cs="Times New Roman"/>
                <w:color w:val="000000"/>
                <w:sz w:val="15"/>
                <w:szCs w:val="15"/>
              </w:rPr>
            </w:pPr>
            <w:r w:rsidRPr="00672E31">
              <w:rPr>
                <w:rFonts w:ascii="Times New Roman" w:hAnsi="Times New Roman" w:cs="Times New Roman"/>
                <w:color w:val="000000"/>
                <w:sz w:val="15"/>
                <w:szCs w:val="15"/>
              </w:rPr>
              <w:t>0.202</w:t>
            </w:r>
          </w:p>
          <w:p w14:paraId="46CC9588" w14:textId="19DB2649" w:rsidR="00FE2AA9" w:rsidRPr="00FE2AA9" w:rsidRDefault="00672E31" w:rsidP="00FE2AA9">
            <w:pPr>
              <w:rPr>
                <w:rFonts w:ascii="Times New Roman" w:hAnsi="Times New Roman" w:cs="Times New Roman"/>
                <w:color w:val="000000"/>
                <w:sz w:val="15"/>
                <w:szCs w:val="15"/>
              </w:rPr>
            </w:pPr>
            <w:r w:rsidRPr="00672E31">
              <w:rPr>
                <w:rFonts w:ascii="Times New Roman" w:hAnsi="Times New Roman" w:cs="Times New Roman"/>
                <w:color w:val="000000"/>
                <w:sz w:val="15"/>
                <w:szCs w:val="15"/>
              </w:rPr>
              <w:t>0.224</w:t>
            </w:r>
          </w:p>
        </w:tc>
        <w:tc>
          <w:tcPr>
            <w:tcW w:w="2427" w:type="dxa"/>
          </w:tcPr>
          <w:p w14:paraId="2CBCB623" w14:textId="77777777" w:rsidR="00C83D75" w:rsidRPr="00C83D75" w:rsidRDefault="00C83D75" w:rsidP="00C83D75">
            <w:pPr>
              <w:rPr>
                <w:rFonts w:ascii="Times New Roman" w:hAnsi="Times New Roman" w:cs="Times New Roman"/>
                <w:sz w:val="15"/>
                <w:szCs w:val="15"/>
              </w:rPr>
            </w:pPr>
            <w:r w:rsidRPr="00C83D75">
              <w:rPr>
                <w:rFonts w:ascii="Times New Roman" w:hAnsi="Times New Roman" w:cs="Times New Roman"/>
                <w:sz w:val="15"/>
                <w:szCs w:val="15"/>
              </w:rPr>
              <w:t>0.644</w:t>
            </w:r>
          </w:p>
          <w:p w14:paraId="35FEF30E" w14:textId="77777777" w:rsidR="00C83D75" w:rsidRPr="00C83D75" w:rsidRDefault="00C83D75" w:rsidP="00C83D75">
            <w:pPr>
              <w:rPr>
                <w:rFonts w:ascii="Times New Roman" w:hAnsi="Times New Roman" w:cs="Times New Roman"/>
                <w:sz w:val="15"/>
                <w:szCs w:val="15"/>
              </w:rPr>
            </w:pPr>
            <w:r w:rsidRPr="00C83D75">
              <w:rPr>
                <w:rFonts w:ascii="Times New Roman" w:hAnsi="Times New Roman" w:cs="Times New Roman"/>
                <w:sz w:val="15"/>
                <w:szCs w:val="15"/>
              </w:rPr>
              <w:t>0.378</w:t>
            </w:r>
          </w:p>
          <w:p w14:paraId="6C25BB22" w14:textId="77777777" w:rsidR="00C83D75" w:rsidRPr="00C83D75" w:rsidRDefault="00C83D75" w:rsidP="00C83D75">
            <w:pPr>
              <w:rPr>
                <w:rFonts w:ascii="Times New Roman" w:hAnsi="Times New Roman" w:cs="Times New Roman"/>
                <w:sz w:val="15"/>
                <w:szCs w:val="15"/>
              </w:rPr>
            </w:pPr>
            <w:r w:rsidRPr="00C83D75">
              <w:rPr>
                <w:rFonts w:ascii="Times New Roman" w:hAnsi="Times New Roman" w:cs="Times New Roman"/>
                <w:sz w:val="15"/>
                <w:szCs w:val="15"/>
              </w:rPr>
              <w:t>0.088</w:t>
            </w:r>
          </w:p>
          <w:p w14:paraId="2B25CB49" w14:textId="77777777" w:rsidR="00C83D75" w:rsidRPr="00C83D75" w:rsidRDefault="00C83D75" w:rsidP="00C83D75">
            <w:pPr>
              <w:rPr>
                <w:rFonts w:ascii="Times New Roman" w:hAnsi="Times New Roman" w:cs="Times New Roman"/>
                <w:sz w:val="15"/>
                <w:szCs w:val="15"/>
              </w:rPr>
            </w:pPr>
            <w:r w:rsidRPr="00C83D75">
              <w:rPr>
                <w:rFonts w:ascii="Times New Roman" w:hAnsi="Times New Roman" w:cs="Times New Roman"/>
                <w:sz w:val="15"/>
                <w:szCs w:val="15"/>
              </w:rPr>
              <w:t>0.124</w:t>
            </w:r>
          </w:p>
          <w:p w14:paraId="2C2ED27E" w14:textId="77777777" w:rsidR="00FE2AA9" w:rsidRPr="00FE2AA9" w:rsidRDefault="00FE2AA9" w:rsidP="00FE2AA9">
            <w:pPr>
              <w:rPr>
                <w:rFonts w:ascii="Times New Roman" w:hAnsi="Times New Roman" w:cs="Times New Roman"/>
                <w:sz w:val="15"/>
                <w:szCs w:val="15"/>
              </w:rPr>
            </w:pPr>
          </w:p>
        </w:tc>
        <w:tc>
          <w:tcPr>
            <w:tcW w:w="2158" w:type="dxa"/>
          </w:tcPr>
          <w:p w14:paraId="17A61D8E" w14:textId="77777777" w:rsidR="00C83D75" w:rsidRPr="00C83D75" w:rsidRDefault="00C83D75" w:rsidP="00C83D75">
            <w:pPr>
              <w:rPr>
                <w:rFonts w:ascii="Times New Roman" w:hAnsi="Times New Roman" w:cs="Times New Roman"/>
                <w:sz w:val="15"/>
                <w:szCs w:val="15"/>
              </w:rPr>
            </w:pPr>
            <w:r w:rsidRPr="00C83D75">
              <w:rPr>
                <w:rFonts w:ascii="Times New Roman" w:hAnsi="Times New Roman" w:cs="Times New Roman"/>
                <w:sz w:val="15"/>
                <w:szCs w:val="15"/>
              </w:rPr>
              <w:t>0.639</w:t>
            </w:r>
          </w:p>
          <w:p w14:paraId="64EA02C9" w14:textId="77777777" w:rsidR="00C83D75" w:rsidRPr="00C83D75" w:rsidRDefault="00C83D75" w:rsidP="00C83D75">
            <w:pPr>
              <w:rPr>
                <w:rFonts w:ascii="Times New Roman" w:hAnsi="Times New Roman" w:cs="Times New Roman"/>
                <w:sz w:val="15"/>
                <w:szCs w:val="15"/>
              </w:rPr>
            </w:pPr>
            <w:r w:rsidRPr="00C83D75">
              <w:rPr>
                <w:rFonts w:ascii="Times New Roman" w:hAnsi="Times New Roman" w:cs="Times New Roman"/>
                <w:sz w:val="15"/>
                <w:szCs w:val="15"/>
              </w:rPr>
              <w:t>0.534</w:t>
            </w:r>
          </w:p>
          <w:p w14:paraId="40A5FA2F" w14:textId="77777777" w:rsidR="00C83D75" w:rsidRPr="00C83D75" w:rsidRDefault="00C83D75" w:rsidP="00C83D75">
            <w:pPr>
              <w:rPr>
                <w:rFonts w:ascii="Times New Roman" w:hAnsi="Times New Roman" w:cs="Times New Roman"/>
                <w:sz w:val="15"/>
                <w:szCs w:val="15"/>
              </w:rPr>
            </w:pPr>
            <w:r w:rsidRPr="00C83D75">
              <w:rPr>
                <w:rFonts w:ascii="Times New Roman" w:hAnsi="Times New Roman" w:cs="Times New Roman"/>
                <w:sz w:val="15"/>
                <w:szCs w:val="15"/>
              </w:rPr>
              <w:t>0.514</w:t>
            </w:r>
          </w:p>
          <w:p w14:paraId="7F02D2CE" w14:textId="77777777" w:rsidR="00C83D75" w:rsidRPr="00C83D75" w:rsidRDefault="00C83D75" w:rsidP="00C83D75">
            <w:pPr>
              <w:rPr>
                <w:rFonts w:ascii="Times New Roman" w:hAnsi="Times New Roman" w:cs="Times New Roman"/>
                <w:sz w:val="15"/>
                <w:szCs w:val="15"/>
              </w:rPr>
            </w:pPr>
            <w:r w:rsidRPr="00C83D75">
              <w:rPr>
                <w:rFonts w:ascii="Times New Roman" w:hAnsi="Times New Roman" w:cs="Times New Roman"/>
                <w:sz w:val="15"/>
                <w:szCs w:val="15"/>
              </w:rPr>
              <w:t>0.714</w:t>
            </w:r>
          </w:p>
          <w:p w14:paraId="585E66E1" w14:textId="00763814" w:rsidR="00FE2AA9" w:rsidRPr="00FE2AA9" w:rsidRDefault="00C83D75" w:rsidP="00FE2AA9">
            <w:pPr>
              <w:rPr>
                <w:rFonts w:ascii="Times New Roman" w:hAnsi="Times New Roman" w:cs="Times New Roman"/>
                <w:sz w:val="15"/>
                <w:szCs w:val="15"/>
              </w:rPr>
            </w:pPr>
            <w:r w:rsidRPr="00C83D75">
              <w:rPr>
                <w:rFonts w:ascii="Times New Roman" w:hAnsi="Times New Roman" w:cs="Times New Roman"/>
                <w:sz w:val="15"/>
                <w:szCs w:val="15"/>
              </w:rPr>
              <w:t>0.909</w:t>
            </w:r>
          </w:p>
        </w:tc>
      </w:tr>
      <w:tr w:rsidR="00FE2AA9" w14:paraId="502BBA17" w14:textId="77777777" w:rsidTr="005A295F">
        <w:tc>
          <w:tcPr>
            <w:tcW w:w="2157" w:type="dxa"/>
          </w:tcPr>
          <w:p w14:paraId="13CBADC0"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Human Services </w:t>
            </w:r>
          </w:p>
        </w:tc>
        <w:tc>
          <w:tcPr>
            <w:tcW w:w="1888" w:type="dxa"/>
          </w:tcPr>
          <w:p w14:paraId="5291EA9A" w14:textId="5BC3AD1F"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0.006</w:t>
            </w:r>
            <w:r w:rsidR="005A0177">
              <w:rPr>
                <w:rFonts w:ascii="Times New Roman" w:hAnsi="Times New Roman" w:cs="Times New Roman"/>
                <w:color w:val="000000"/>
                <w:sz w:val="15"/>
                <w:szCs w:val="15"/>
              </w:rPr>
              <w:t>**</w:t>
            </w:r>
          </w:p>
          <w:p w14:paraId="31A052B0" w14:textId="39CF8F78"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0.001</w:t>
            </w:r>
            <w:r w:rsidR="005A0177">
              <w:rPr>
                <w:rFonts w:ascii="Times New Roman" w:hAnsi="Times New Roman" w:cs="Times New Roman"/>
                <w:color w:val="000000"/>
                <w:sz w:val="15"/>
                <w:szCs w:val="15"/>
              </w:rPr>
              <w:t>**</w:t>
            </w:r>
          </w:p>
          <w:p w14:paraId="075CD278" w14:textId="4C778C8B"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0.002</w:t>
            </w:r>
            <w:r w:rsidR="005A0177">
              <w:rPr>
                <w:rFonts w:ascii="Times New Roman" w:hAnsi="Times New Roman" w:cs="Times New Roman"/>
                <w:color w:val="000000"/>
                <w:sz w:val="15"/>
                <w:szCs w:val="15"/>
              </w:rPr>
              <w:t>**</w:t>
            </w:r>
          </w:p>
          <w:p w14:paraId="533C2CD0" w14:textId="6AD2BB58"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0.021</w:t>
            </w:r>
            <w:r w:rsidR="005A0177">
              <w:rPr>
                <w:rFonts w:ascii="Times New Roman" w:hAnsi="Times New Roman" w:cs="Times New Roman"/>
                <w:color w:val="000000"/>
                <w:sz w:val="15"/>
                <w:szCs w:val="15"/>
              </w:rPr>
              <w:t>*</w:t>
            </w:r>
          </w:p>
          <w:p w14:paraId="09BBF66A" w14:textId="33DE1B86" w:rsidR="00FE2AA9" w:rsidRPr="00FE2AA9" w:rsidRDefault="00465DFF" w:rsidP="00FE2AA9">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0.047</w:t>
            </w:r>
            <w:r w:rsidR="005A0177">
              <w:rPr>
                <w:rFonts w:ascii="Times New Roman" w:hAnsi="Times New Roman" w:cs="Times New Roman"/>
                <w:color w:val="000000"/>
                <w:sz w:val="15"/>
                <w:szCs w:val="15"/>
              </w:rPr>
              <w:t>*</w:t>
            </w:r>
          </w:p>
        </w:tc>
        <w:tc>
          <w:tcPr>
            <w:tcW w:w="2427" w:type="dxa"/>
          </w:tcPr>
          <w:p w14:paraId="6C629F44" w14:textId="35F8E6D0"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0.014</w:t>
            </w:r>
            <w:r w:rsidR="005A0177">
              <w:rPr>
                <w:rFonts w:ascii="Times New Roman" w:hAnsi="Times New Roman" w:cs="Times New Roman"/>
                <w:color w:val="000000"/>
                <w:sz w:val="15"/>
                <w:szCs w:val="15"/>
              </w:rPr>
              <w:t>*</w:t>
            </w:r>
          </w:p>
          <w:p w14:paraId="4E52A806" w14:textId="2A6029DF"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0.000</w:t>
            </w:r>
            <w:r w:rsidR="005A0177">
              <w:rPr>
                <w:rFonts w:ascii="Times New Roman" w:hAnsi="Times New Roman" w:cs="Times New Roman"/>
                <w:color w:val="000000"/>
                <w:sz w:val="15"/>
                <w:szCs w:val="15"/>
              </w:rPr>
              <w:t>***</w:t>
            </w:r>
          </w:p>
          <w:p w14:paraId="0071990A" w14:textId="53E66C99"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0.000</w:t>
            </w:r>
            <w:r w:rsidR="005A0177">
              <w:rPr>
                <w:rFonts w:ascii="Times New Roman" w:hAnsi="Times New Roman" w:cs="Times New Roman"/>
                <w:color w:val="000000"/>
                <w:sz w:val="15"/>
                <w:szCs w:val="15"/>
              </w:rPr>
              <w:t>***</w:t>
            </w:r>
          </w:p>
          <w:p w14:paraId="45C681FD" w14:textId="5AE23A29"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0.001</w:t>
            </w:r>
            <w:r w:rsidR="005A0177">
              <w:rPr>
                <w:rFonts w:ascii="Times New Roman" w:hAnsi="Times New Roman" w:cs="Times New Roman"/>
                <w:color w:val="000000"/>
                <w:sz w:val="15"/>
                <w:szCs w:val="15"/>
              </w:rPr>
              <w:t>**</w:t>
            </w:r>
          </w:p>
          <w:p w14:paraId="3FBADB86" w14:textId="7798B7C7" w:rsidR="00FE2AA9" w:rsidRPr="00FE2AA9" w:rsidRDefault="00FE2AA9" w:rsidP="00FE2AA9">
            <w:pPr>
              <w:rPr>
                <w:rFonts w:ascii="Times New Roman" w:hAnsi="Times New Roman" w:cs="Times New Roman"/>
                <w:color w:val="000000"/>
                <w:sz w:val="15"/>
                <w:szCs w:val="15"/>
              </w:rPr>
            </w:pPr>
          </w:p>
        </w:tc>
        <w:tc>
          <w:tcPr>
            <w:tcW w:w="2158" w:type="dxa"/>
          </w:tcPr>
          <w:p w14:paraId="66A00216" w14:textId="77777777"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0.091</w:t>
            </w:r>
          </w:p>
          <w:p w14:paraId="58C0F3C8" w14:textId="77777777"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0.125</w:t>
            </w:r>
          </w:p>
          <w:p w14:paraId="60E83628" w14:textId="77777777"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0.059</w:t>
            </w:r>
          </w:p>
          <w:p w14:paraId="171E3554" w14:textId="3604FAFA" w:rsidR="00465DFF" w:rsidRPr="00465DFF" w:rsidRDefault="00465DFF" w:rsidP="00465DFF">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0.072</w:t>
            </w:r>
          </w:p>
          <w:p w14:paraId="440A09EE" w14:textId="163EFE57" w:rsidR="00FE2AA9" w:rsidRPr="00FE2AA9" w:rsidRDefault="00465DFF" w:rsidP="00FE2AA9">
            <w:pPr>
              <w:rPr>
                <w:rFonts w:ascii="Times New Roman" w:hAnsi="Times New Roman" w:cs="Times New Roman"/>
                <w:color w:val="000000"/>
                <w:sz w:val="15"/>
                <w:szCs w:val="15"/>
              </w:rPr>
            </w:pPr>
            <w:r w:rsidRPr="00465DFF">
              <w:rPr>
                <w:rFonts w:ascii="Times New Roman" w:hAnsi="Times New Roman" w:cs="Times New Roman"/>
                <w:color w:val="000000"/>
                <w:sz w:val="15"/>
                <w:szCs w:val="15"/>
              </w:rPr>
              <w:t>0.195</w:t>
            </w:r>
          </w:p>
        </w:tc>
      </w:tr>
    </w:tbl>
    <w:p w14:paraId="388EDAE6" w14:textId="77777777" w:rsidR="006E100A" w:rsidRDefault="006E100A" w:rsidP="006E100A">
      <w:pPr>
        <w:spacing w:line="480" w:lineRule="auto"/>
        <w:rPr>
          <w:rFonts w:ascii="Times New Roman" w:hAnsi="Times New Roman" w:cs="Times New Roman"/>
        </w:rPr>
      </w:pPr>
      <w:r>
        <w:rPr>
          <w:rFonts w:ascii="Times New Roman" w:hAnsi="Times New Roman" w:cs="Times New Roman"/>
        </w:rPr>
        <w:t>* p&lt;0.05, **p&lt;0.01, ***p&lt;0.001</w:t>
      </w:r>
    </w:p>
    <w:p w14:paraId="2588C2F8" w14:textId="77777777" w:rsidR="00334A8E" w:rsidRDefault="00334A8E" w:rsidP="006E100A">
      <w:pPr>
        <w:spacing w:line="480" w:lineRule="auto"/>
        <w:rPr>
          <w:rFonts w:ascii="Times New Roman" w:hAnsi="Times New Roman" w:cs="Times New Roman"/>
        </w:rPr>
      </w:pPr>
    </w:p>
    <w:p w14:paraId="08093F8D" w14:textId="77777777" w:rsidR="00334A8E" w:rsidRDefault="00334A8E" w:rsidP="006E100A">
      <w:pPr>
        <w:spacing w:line="480" w:lineRule="auto"/>
        <w:rPr>
          <w:rFonts w:ascii="Times New Roman" w:hAnsi="Times New Roman" w:cs="Times New Roman"/>
        </w:rPr>
      </w:pPr>
    </w:p>
    <w:p w14:paraId="0B782386" w14:textId="68F4DA58" w:rsidR="00FE2AA9" w:rsidRPr="00245787" w:rsidRDefault="00FE2AA9" w:rsidP="00334A8E">
      <w:pPr>
        <w:pStyle w:val="Caption"/>
        <w:spacing w:before="0" w:after="0" w:line="240" w:lineRule="auto"/>
      </w:pPr>
      <w:bookmarkStart w:id="196" w:name="_Toc179888489"/>
      <w:bookmarkStart w:id="197" w:name="_Toc181297770"/>
      <w:bookmarkStart w:id="198" w:name="_Toc180144577"/>
      <w:r w:rsidRPr="00245787">
        <w:lastRenderedPageBreak/>
        <w:t xml:space="preserve">Table </w:t>
      </w:r>
      <w:r>
        <w:t>15</w:t>
      </w:r>
      <w:bookmarkEnd w:id="196"/>
      <w:bookmarkEnd w:id="197"/>
      <w:bookmarkEnd w:id="198"/>
    </w:p>
    <w:p w14:paraId="1AF783E1" w14:textId="77777777" w:rsidR="00FE2AA9" w:rsidRDefault="00FE2AA9" w:rsidP="00334A8E">
      <w:pPr>
        <w:rPr>
          <w:rFonts w:ascii="Times New Roman" w:hAnsi="Times New Roman" w:cs="Times New Roman"/>
          <w:i/>
          <w:iCs/>
        </w:rPr>
      </w:pPr>
      <w:r>
        <w:rPr>
          <w:rFonts w:ascii="Times New Roman" w:hAnsi="Times New Roman" w:cs="Times New Roman"/>
          <w:i/>
          <w:iCs/>
        </w:rPr>
        <w:t xml:space="preserve">Significance Pre-treatment Parallel Trends – Individual Period Test at All Institutions Only </w:t>
      </w:r>
    </w:p>
    <w:p w14:paraId="248B168F" w14:textId="77777777" w:rsidR="00FE2AA9" w:rsidRDefault="00FE2AA9" w:rsidP="00FE2AA9">
      <w:pPr>
        <w:rPr>
          <w:rFonts w:ascii="Times New Roman" w:hAnsi="Times New Roman" w:cs="Times New Roman"/>
          <w:i/>
          <w:iCs/>
        </w:rPr>
      </w:pPr>
    </w:p>
    <w:tbl>
      <w:tblPr>
        <w:tblStyle w:val="TableGrid"/>
        <w:tblW w:w="0" w:type="auto"/>
        <w:tblLook w:val="04A0" w:firstRow="1" w:lastRow="0" w:firstColumn="1" w:lastColumn="0" w:noHBand="0" w:noVBand="1"/>
      </w:tblPr>
      <w:tblGrid>
        <w:gridCol w:w="2157"/>
        <w:gridCol w:w="1888"/>
        <w:gridCol w:w="2427"/>
        <w:gridCol w:w="2158"/>
      </w:tblGrid>
      <w:tr w:rsidR="00FE2AA9" w14:paraId="0884CAF6" w14:textId="77777777" w:rsidTr="005A295F">
        <w:tc>
          <w:tcPr>
            <w:tcW w:w="2157" w:type="dxa"/>
          </w:tcPr>
          <w:p w14:paraId="06ED368B" w14:textId="77777777" w:rsidR="00FE2AA9" w:rsidRPr="00D2786A" w:rsidRDefault="00FE2AA9" w:rsidP="006B7087">
            <w:pPr>
              <w:rPr>
                <w:rFonts w:ascii="Times New Roman" w:hAnsi="Times New Roman" w:cs="Times New Roman"/>
              </w:rPr>
            </w:pPr>
          </w:p>
        </w:tc>
        <w:tc>
          <w:tcPr>
            <w:tcW w:w="1888" w:type="dxa"/>
          </w:tcPr>
          <w:p w14:paraId="5552325F" w14:textId="77777777" w:rsidR="00FE2AA9" w:rsidRPr="00D2786A" w:rsidRDefault="00FE2AA9" w:rsidP="006B7087">
            <w:pPr>
              <w:rPr>
                <w:rFonts w:ascii="Times New Roman" w:hAnsi="Times New Roman" w:cs="Times New Roman"/>
              </w:rPr>
            </w:pPr>
            <w:r w:rsidRPr="00D2786A">
              <w:rPr>
                <w:rFonts w:ascii="Times New Roman" w:hAnsi="Times New Roman" w:cs="Times New Roman"/>
              </w:rPr>
              <w:t>Ordinary Least Squares</w:t>
            </w:r>
          </w:p>
        </w:tc>
        <w:tc>
          <w:tcPr>
            <w:tcW w:w="2427" w:type="dxa"/>
          </w:tcPr>
          <w:p w14:paraId="4D634DBA" w14:textId="77777777" w:rsidR="00FE2AA9" w:rsidRPr="00D2786A" w:rsidRDefault="00FE2AA9" w:rsidP="006B7087">
            <w:pPr>
              <w:rPr>
                <w:rFonts w:ascii="Times New Roman" w:hAnsi="Times New Roman" w:cs="Times New Roman"/>
              </w:rPr>
            </w:pPr>
            <w:r w:rsidRPr="00D2786A">
              <w:rPr>
                <w:rFonts w:ascii="Times New Roman" w:hAnsi="Times New Roman" w:cs="Times New Roman"/>
              </w:rPr>
              <w:t>Sun &amp; Abraham (Event Study Interact)</w:t>
            </w:r>
          </w:p>
        </w:tc>
        <w:tc>
          <w:tcPr>
            <w:tcW w:w="2158" w:type="dxa"/>
          </w:tcPr>
          <w:p w14:paraId="75A9A751" w14:textId="77777777" w:rsidR="00FE2AA9" w:rsidRPr="00D2786A" w:rsidRDefault="00FE2AA9" w:rsidP="006B7087">
            <w:pPr>
              <w:rPr>
                <w:rFonts w:ascii="Times New Roman" w:hAnsi="Times New Roman" w:cs="Times New Roman"/>
              </w:rPr>
            </w:pPr>
            <w:r w:rsidRPr="00D2786A">
              <w:rPr>
                <w:rFonts w:ascii="Times New Roman" w:hAnsi="Times New Roman" w:cs="Times New Roman"/>
              </w:rPr>
              <w:t>Borusyak et al (DID Imputation)</w:t>
            </w:r>
          </w:p>
        </w:tc>
      </w:tr>
      <w:tr w:rsidR="00D07D7B" w14:paraId="5AC9C2F1" w14:textId="77777777" w:rsidTr="005A295F">
        <w:tc>
          <w:tcPr>
            <w:tcW w:w="2157" w:type="dxa"/>
          </w:tcPr>
          <w:p w14:paraId="696AEE7F"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All Awards</w:t>
            </w:r>
          </w:p>
        </w:tc>
        <w:tc>
          <w:tcPr>
            <w:tcW w:w="1888" w:type="dxa"/>
          </w:tcPr>
          <w:p w14:paraId="17D4A57B" w14:textId="77777777" w:rsidR="00D07D7B" w:rsidRPr="00EB5D7C" w:rsidRDefault="00D07D7B" w:rsidP="00D07D7B">
            <w:pPr>
              <w:rPr>
                <w:rFonts w:ascii="Times New Roman" w:hAnsi="Times New Roman" w:cs="Times New Roman"/>
                <w:color w:val="000000"/>
                <w:sz w:val="15"/>
                <w:szCs w:val="15"/>
              </w:rPr>
            </w:pPr>
            <w:r w:rsidRPr="00EB5D7C">
              <w:rPr>
                <w:rFonts w:ascii="Times New Roman" w:hAnsi="Times New Roman" w:cs="Times New Roman"/>
                <w:color w:val="000000"/>
                <w:sz w:val="15"/>
                <w:szCs w:val="15"/>
              </w:rPr>
              <w:t>0.800</w:t>
            </w:r>
          </w:p>
          <w:p w14:paraId="53DD12B5" w14:textId="77777777" w:rsidR="00D07D7B" w:rsidRPr="00EB5D7C" w:rsidRDefault="00D07D7B" w:rsidP="00D07D7B">
            <w:pPr>
              <w:rPr>
                <w:rFonts w:ascii="Times New Roman" w:hAnsi="Times New Roman" w:cs="Times New Roman"/>
                <w:color w:val="000000"/>
                <w:sz w:val="15"/>
                <w:szCs w:val="15"/>
              </w:rPr>
            </w:pPr>
            <w:r w:rsidRPr="00EB5D7C">
              <w:rPr>
                <w:rFonts w:ascii="Times New Roman" w:hAnsi="Times New Roman" w:cs="Times New Roman"/>
                <w:color w:val="000000"/>
                <w:sz w:val="15"/>
                <w:szCs w:val="15"/>
              </w:rPr>
              <w:t>0.164</w:t>
            </w:r>
          </w:p>
          <w:p w14:paraId="63239E57" w14:textId="77777777" w:rsidR="00D07D7B" w:rsidRPr="00EB5D7C" w:rsidRDefault="00D07D7B" w:rsidP="00D07D7B">
            <w:pPr>
              <w:rPr>
                <w:rFonts w:ascii="Times New Roman" w:hAnsi="Times New Roman" w:cs="Times New Roman"/>
                <w:color w:val="000000"/>
                <w:sz w:val="15"/>
                <w:szCs w:val="15"/>
              </w:rPr>
            </w:pPr>
            <w:r w:rsidRPr="00EB5D7C">
              <w:rPr>
                <w:rFonts w:ascii="Times New Roman" w:hAnsi="Times New Roman" w:cs="Times New Roman"/>
                <w:color w:val="000000"/>
                <w:sz w:val="15"/>
                <w:szCs w:val="15"/>
              </w:rPr>
              <w:t>0.070</w:t>
            </w:r>
          </w:p>
          <w:p w14:paraId="687E61B8" w14:textId="77777777" w:rsidR="00D07D7B" w:rsidRPr="00EB5D7C" w:rsidRDefault="00D07D7B" w:rsidP="00D07D7B">
            <w:pPr>
              <w:rPr>
                <w:rFonts w:ascii="Times New Roman" w:hAnsi="Times New Roman" w:cs="Times New Roman"/>
                <w:color w:val="000000"/>
                <w:sz w:val="15"/>
                <w:szCs w:val="15"/>
              </w:rPr>
            </w:pPr>
            <w:r w:rsidRPr="00EB5D7C">
              <w:rPr>
                <w:rFonts w:ascii="Times New Roman" w:hAnsi="Times New Roman" w:cs="Times New Roman"/>
                <w:color w:val="000000"/>
                <w:sz w:val="15"/>
                <w:szCs w:val="15"/>
              </w:rPr>
              <w:t>0.253</w:t>
            </w:r>
          </w:p>
          <w:p w14:paraId="7F5A3E79" w14:textId="5377C22F" w:rsidR="00D07D7B" w:rsidRPr="00FE2AA9" w:rsidRDefault="00D07D7B" w:rsidP="00D07D7B">
            <w:pPr>
              <w:rPr>
                <w:rFonts w:ascii="Times New Roman" w:hAnsi="Times New Roman" w:cs="Times New Roman"/>
                <w:color w:val="000000"/>
                <w:sz w:val="15"/>
                <w:szCs w:val="15"/>
              </w:rPr>
            </w:pPr>
            <w:r w:rsidRPr="00EB5D7C">
              <w:rPr>
                <w:rFonts w:ascii="Times New Roman" w:hAnsi="Times New Roman" w:cs="Times New Roman"/>
                <w:color w:val="000000"/>
                <w:sz w:val="15"/>
                <w:szCs w:val="15"/>
              </w:rPr>
              <w:t>0.095</w:t>
            </w:r>
          </w:p>
        </w:tc>
        <w:tc>
          <w:tcPr>
            <w:tcW w:w="2427" w:type="dxa"/>
          </w:tcPr>
          <w:p w14:paraId="17481E88" w14:textId="77777777" w:rsidR="00EA300C" w:rsidRPr="00EA300C" w:rsidRDefault="00EA300C" w:rsidP="00EA300C">
            <w:pPr>
              <w:rPr>
                <w:rFonts w:ascii="Times New Roman" w:hAnsi="Times New Roman" w:cs="Times New Roman"/>
                <w:color w:val="000000"/>
                <w:sz w:val="15"/>
                <w:szCs w:val="15"/>
              </w:rPr>
            </w:pPr>
            <w:r w:rsidRPr="00EA300C">
              <w:rPr>
                <w:rFonts w:ascii="Times New Roman" w:hAnsi="Times New Roman" w:cs="Times New Roman"/>
                <w:color w:val="000000"/>
                <w:sz w:val="15"/>
                <w:szCs w:val="15"/>
              </w:rPr>
              <w:t>0.837</w:t>
            </w:r>
          </w:p>
          <w:p w14:paraId="31484880" w14:textId="77777777" w:rsidR="00EA300C" w:rsidRPr="00EA300C" w:rsidRDefault="00EA300C" w:rsidP="00EA300C">
            <w:pPr>
              <w:rPr>
                <w:rFonts w:ascii="Times New Roman" w:hAnsi="Times New Roman" w:cs="Times New Roman"/>
                <w:color w:val="000000"/>
                <w:sz w:val="15"/>
                <w:szCs w:val="15"/>
              </w:rPr>
            </w:pPr>
            <w:r w:rsidRPr="00EA300C">
              <w:rPr>
                <w:rFonts w:ascii="Times New Roman" w:hAnsi="Times New Roman" w:cs="Times New Roman"/>
                <w:color w:val="000000"/>
                <w:sz w:val="15"/>
                <w:szCs w:val="15"/>
              </w:rPr>
              <w:t>0.029</w:t>
            </w:r>
          </w:p>
          <w:p w14:paraId="0FB67FA6" w14:textId="085AE5DA" w:rsidR="00EA300C" w:rsidRPr="00EA300C" w:rsidRDefault="00EA300C" w:rsidP="00EA300C">
            <w:pPr>
              <w:rPr>
                <w:rFonts w:ascii="Times New Roman" w:hAnsi="Times New Roman" w:cs="Times New Roman"/>
                <w:color w:val="000000"/>
                <w:sz w:val="15"/>
                <w:szCs w:val="15"/>
              </w:rPr>
            </w:pPr>
            <w:r w:rsidRPr="00EA300C">
              <w:rPr>
                <w:rFonts w:ascii="Times New Roman" w:hAnsi="Times New Roman" w:cs="Times New Roman"/>
                <w:color w:val="000000"/>
                <w:sz w:val="15"/>
                <w:szCs w:val="15"/>
              </w:rPr>
              <w:t>0.000</w:t>
            </w:r>
            <w:r w:rsidR="004217C5">
              <w:rPr>
                <w:rFonts w:ascii="Times New Roman" w:hAnsi="Times New Roman" w:cs="Times New Roman"/>
                <w:color w:val="000000"/>
                <w:sz w:val="15"/>
                <w:szCs w:val="15"/>
              </w:rPr>
              <w:t>***</w:t>
            </w:r>
          </w:p>
          <w:p w14:paraId="1CD0F93F" w14:textId="72058E5A" w:rsidR="00EA300C" w:rsidRPr="00EA300C" w:rsidRDefault="00EA300C" w:rsidP="00EA300C">
            <w:pPr>
              <w:rPr>
                <w:rFonts w:ascii="Times New Roman" w:hAnsi="Times New Roman" w:cs="Times New Roman"/>
                <w:color w:val="000000"/>
                <w:sz w:val="15"/>
                <w:szCs w:val="15"/>
              </w:rPr>
            </w:pPr>
            <w:r w:rsidRPr="00EA300C">
              <w:rPr>
                <w:rFonts w:ascii="Times New Roman" w:hAnsi="Times New Roman" w:cs="Times New Roman"/>
                <w:color w:val="000000"/>
                <w:sz w:val="15"/>
                <w:szCs w:val="15"/>
              </w:rPr>
              <w:t>0.001</w:t>
            </w:r>
            <w:r w:rsidR="004217C5">
              <w:rPr>
                <w:rFonts w:ascii="Times New Roman" w:hAnsi="Times New Roman" w:cs="Times New Roman"/>
                <w:color w:val="000000"/>
                <w:sz w:val="15"/>
                <w:szCs w:val="15"/>
              </w:rPr>
              <w:t>**</w:t>
            </w:r>
          </w:p>
          <w:p w14:paraId="37A3ABF1" w14:textId="667605A6" w:rsidR="00D07D7B" w:rsidRPr="00FE2AA9" w:rsidRDefault="00D07D7B" w:rsidP="00EA300C">
            <w:pPr>
              <w:rPr>
                <w:rFonts w:ascii="Times New Roman" w:hAnsi="Times New Roman" w:cs="Times New Roman"/>
                <w:color w:val="000000"/>
                <w:sz w:val="15"/>
                <w:szCs w:val="15"/>
              </w:rPr>
            </w:pPr>
          </w:p>
        </w:tc>
        <w:tc>
          <w:tcPr>
            <w:tcW w:w="2158" w:type="dxa"/>
          </w:tcPr>
          <w:p w14:paraId="346165F5" w14:textId="77777777" w:rsidR="00D07D7B" w:rsidRPr="00950E09" w:rsidRDefault="00D07D7B" w:rsidP="00D07D7B">
            <w:pPr>
              <w:rPr>
                <w:rFonts w:ascii="Times New Roman" w:hAnsi="Times New Roman" w:cs="Times New Roman"/>
                <w:color w:val="000000"/>
                <w:sz w:val="15"/>
                <w:szCs w:val="15"/>
              </w:rPr>
            </w:pPr>
            <w:r w:rsidRPr="00950E09">
              <w:rPr>
                <w:rFonts w:ascii="Times New Roman" w:hAnsi="Times New Roman" w:cs="Times New Roman"/>
                <w:color w:val="000000"/>
                <w:sz w:val="15"/>
                <w:szCs w:val="15"/>
              </w:rPr>
              <w:t>0.534</w:t>
            </w:r>
          </w:p>
          <w:p w14:paraId="17913C87" w14:textId="77777777" w:rsidR="00D07D7B" w:rsidRPr="00950E09" w:rsidRDefault="00D07D7B" w:rsidP="00D07D7B">
            <w:pPr>
              <w:rPr>
                <w:rFonts w:ascii="Times New Roman" w:hAnsi="Times New Roman" w:cs="Times New Roman"/>
                <w:color w:val="000000"/>
                <w:sz w:val="15"/>
                <w:szCs w:val="15"/>
              </w:rPr>
            </w:pPr>
            <w:r w:rsidRPr="00950E09">
              <w:rPr>
                <w:rFonts w:ascii="Times New Roman" w:hAnsi="Times New Roman" w:cs="Times New Roman"/>
                <w:color w:val="000000"/>
                <w:sz w:val="15"/>
                <w:szCs w:val="15"/>
              </w:rPr>
              <w:t>0.328</w:t>
            </w:r>
          </w:p>
          <w:p w14:paraId="39CBB653" w14:textId="77777777" w:rsidR="00D07D7B" w:rsidRPr="00950E09" w:rsidRDefault="00D07D7B" w:rsidP="00D07D7B">
            <w:pPr>
              <w:rPr>
                <w:rFonts w:ascii="Times New Roman" w:hAnsi="Times New Roman" w:cs="Times New Roman"/>
                <w:color w:val="000000"/>
                <w:sz w:val="15"/>
                <w:szCs w:val="15"/>
              </w:rPr>
            </w:pPr>
            <w:r w:rsidRPr="00950E09">
              <w:rPr>
                <w:rFonts w:ascii="Times New Roman" w:hAnsi="Times New Roman" w:cs="Times New Roman"/>
                <w:color w:val="000000"/>
                <w:sz w:val="15"/>
                <w:szCs w:val="15"/>
              </w:rPr>
              <w:t>0.366</w:t>
            </w:r>
          </w:p>
          <w:p w14:paraId="571E593B" w14:textId="77777777" w:rsidR="00D07D7B" w:rsidRPr="00D07D7B" w:rsidRDefault="00D07D7B" w:rsidP="00D07D7B">
            <w:pPr>
              <w:rPr>
                <w:rFonts w:ascii="Times New Roman" w:hAnsi="Times New Roman" w:cs="Times New Roman"/>
                <w:color w:val="000000"/>
                <w:sz w:val="15"/>
                <w:szCs w:val="15"/>
              </w:rPr>
            </w:pPr>
            <w:r w:rsidRPr="00D07D7B">
              <w:rPr>
                <w:rFonts w:ascii="Times New Roman" w:hAnsi="Times New Roman" w:cs="Times New Roman"/>
                <w:color w:val="000000"/>
                <w:sz w:val="15"/>
                <w:szCs w:val="15"/>
              </w:rPr>
              <w:t>0.329</w:t>
            </w:r>
          </w:p>
          <w:p w14:paraId="47D8949A" w14:textId="4252066C" w:rsidR="00D07D7B" w:rsidRPr="00FE2AA9" w:rsidRDefault="00D07D7B" w:rsidP="00D07D7B">
            <w:pPr>
              <w:rPr>
                <w:rFonts w:ascii="Times New Roman" w:hAnsi="Times New Roman" w:cs="Times New Roman"/>
                <w:color w:val="000000"/>
                <w:sz w:val="15"/>
                <w:szCs w:val="15"/>
              </w:rPr>
            </w:pPr>
            <w:r w:rsidRPr="00D07D7B">
              <w:rPr>
                <w:rFonts w:ascii="Times New Roman" w:hAnsi="Times New Roman" w:cs="Times New Roman"/>
                <w:color w:val="000000"/>
                <w:sz w:val="15"/>
                <w:szCs w:val="15"/>
              </w:rPr>
              <w:t>0.096</w:t>
            </w:r>
          </w:p>
        </w:tc>
      </w:tr>
      <w:tr w:rsidR="00D07D7B" w14:paraId="1E73F8A2" w14:textId="77777777" w:rsidTr="005A295F">
        <w:trPr>
          <w:trHeight w:val="872"/>
        </w:trPr>
        <w:tc>
          <w:tcPr>
            <w:tcW w:w="2157" w:type="dxa"/>
          </w:tcPr>
          <w:p w14:paraId="09488014"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Associates Only</w:t>
            </w:r>
          </w:p>
        </w:tc>
        <w:tc>
          <w:tcPr>
            <w:tcW w:w="1888" w:type="dxa"/>
          </w:tcPr>
          <w:p w14:paraId="5D154698" w14:textId="224A2EAF" w:rsidR="00057873" w:rsidRPr="00057873" w:rsidRDefault="00057873" w:rsidP="00057873">
            <w:pPr>
              <w:rPr>
                <w:rFonts w:ascii="Times New Roman" w:hAnsi="Times New Roman" w:cs="Times New Roman"/>
                <w:color w:val="000000"/>
                <w:sz w:val="15"/>
                <w:szCs w:val="15"/>
              </w:rPr>
            </w:pPr>
            <w:r w:rsidRPr="00057873">
              <w:rPr>
                <w:rFonts w:ascii="Times New Roman" w:hAnsi="Times New Roman" w:cs="Times New Roman"/>
                <w:color w:val="000000"/>
                <w:sz w:val="15"/>
                <w:szCs w:val="15"/>
              </w:rPr>
              <w:t>0.021</w:t>
            </w:r>
            <w:r w:rsidR="003874BD">
              <w:rPr>
                <w:rFonts w:ascii="Times New Roman" w:hAnsi="Times New Roman" w:cs="Times New Roman"/>
                <w:color w:val="000000"/>
                <w:sz w:val="15"/>
                <w:szCs w:val="15"/>
              </w:rPr>
              <w:t>*</w:t>
            </w:r>
          </w:p>
          <w:p w14:paraId="022FAC85" w14:textId="77777777" w:rsidR="00057873" w:rsidRPr="00057873" w:rsidRDefault="00057873" w:rsidP="00057873">
            <w:pPr>
              <w:rPr>
                <w:rFonts w:ascii="Times New Roman" w:hAnsi="Times New Roman" w:cs="Times New Roman"/>
                <w:color w:val="000000"/>
                <w:sz w:val="15"/>
                <w:szCs w:val="15"/>
              </w:rPr>
            </w:pPr>
            <w:r w:rsidRPr="00057873">
              <w:rPr>
                <w:rFonts w:ascii="Times New Roman" w:hAnsi="Times New Roman" w:cs="Times New Roman"/>
                <w:color w:val="000000"/>
                <w:sz w:val="15"/>
                <w:szCs w:val="15"/>
              </w:rPr>
              <w:t>0.328</w:t>
            </w:r>
          </w:p>
          <w:p w14:paraId="7BB34BDE" w14:textId="77777777" w:rsidR="00057873" w:rsidRPr="00057873" w:rsidRDefault="00057873" w:rsidP="00057873">
            <w:pPr>
              <w:rPr>
                <w:rFonts w:ascii="Times New Roman" w:hAnsi="Times New Roman" w:cs="Times New Roman"/>
                <w:color w:val="000000"/>
                <w:sz w:val="15"/>
                <w:szCs w:val="15"/>
              </w:rPr>
            </w:pPr>
            <w:r w:rsidRPr="00057873">
              <w:rPr>
                <w:rFonts w:ascii="Times New Roman" w:hAnsi="Times New Roman" w:cs="Times New Roman"/>
                <w:color w:val="000000"/>
                <w:sz w:val="15"/>
                <w:szCs w:val="15"/>
              </w:rPr>
              <w:t>0.529</w:t>
            </w:r>
          </w:p>
          <w:p w14:paraId="0782B74D" w14:textId="77777777" w:rsidR="00057873" w:rsidRPr="00057873" w:rsidRDefault="00057873" w:rsidP="00057873">
            <w:pPr>
              <w:rPr>
                <w:rFonts w:ascii="Times New Roman" w:hAnsi="Times New Roman" w:cs="Times New Roman"/>
                <w:color w:val="000000"/>
                <w:sz w:val="15"/>
                <w:szCs w:val="15"/>
              </w:rPr>
            </w:pPr>
            <w:r w:rsidRPr="00057873">
              <w:rPr>
                <w:rFonts w:ascii="Times New Roman" w:hAnsi="Times New Roman" w:cs="Times New Roman"/>
                <w:color w:val="000000"/>
                <w:sz w:val="15"/>
                <w:szCs w:val="15"/>
              </w:rPr>
              <w:t>0.726</w:t>
            </w:r>
          </w:p>
          <w:p w14:paraId="0CF59840" w14:textId="694D65F1" w:rsidR="00D07D7B" w:rsidRPr="00FE2AA9" w:rsidRDefault="00057873" w:rsidP="00D07D7B">
            <w:pPr>
              <w:rPr>
                <w:rFonts w:ascii="Times New Roman" w:hAnsi="Times New Roman" w:cs="Times New Roman"/>
                <w:color w:val="000000"/>
                <w:sz w:val="15"/>
                <w:szCs w:val="15"/>
              </w:rPr>
            </w:pPr>
            <w:r w:rsidRPr="00057873">
              <w:rPr>
                <w:rFonts w:ascii="Times New Roman" w:hAnsi="Times New Roman" w:cs="Times New Roman"/>
                <w:color w:val="000000"/>
                <w:sz w:val="15"/>
                <w:szCs w:val="15"/>
              </w:rPr>
              <w:t>0.766</w:t>
            </w:r>
          </w:p>
        </w:tc>
        <w:tc>
          <w:tcPr>
            <w:tcW w:w="2427" w:type="dxa"/>
          </w:tcPr>
          <w:p w14:paraId="18C9BA6A" w14:textId="223086D5" w:rsidR="00AC6754" w:rsidRPr="00AC6754" w:rsidRDefault="00AC6754" w:rsidP="00AC6754">
            <w:pPr>
              <w:rPr>
                <w:rFonts w:ascii="Times New Roman" w:hAnsi="Times New Roman" w:cs="Times New Roman"/>
                <w:sz w:val="15"/>
                <w:szCs w:val="15"/>
              </w:rPr>
            </w:pPr>
            <w:r w:rsidRPr="00AC6754">
              <w:rPr>
                <w:rFonts w:ascii="Times New Roman" w:hAnsi="Times New Roman" w:cs="Times New Roman"/>
                <w:sz w:val="15"/>
                <w:szCs w:val="15"/>
              </w:rPr>
              <w:t>0.030</w:t>
            </w:r>
            <w:r w:rsidR="004217C5">
              <w:rPr>
                <w:rFonts w:ascii="Times New Roman" w:hAnsi="Times New Roman" w:cs="Times New Roman"/>
                <w:color w:val="000000"/>
                <w:sz w:val="15"/>
                <w:szCs w:val="15"/>
              </w:rPr>
              <w:t>*</w:t>
            </w:r>
          </w:p>
          <w:p w14:paraId="42EDB93B" w14:textId="77777777" w:rsidR="00AC6754" w:rsidRPr="00AC6754" w:rsidRDefault="00AC6754" w:rsidP="00AC6754">
            <w:pPr>
              <w:rPr>
                <w:rFonts w:ascii="Times New Roman" w:hAnsi="Times New Roman" w:cs="Times New Roman"/>
                <w:sz w:val="15"/>
                <w:szCs w:val="15"/>
              </w:rPr>
            </w:pPr>
            <w:r w:rsidRPr="00AC6754">
              <w:rPr>
                <w:rFonts w:ascii="Times New Roman" w:hAnsi="Times New Roman" w:cs="Times New Roman"/>
                <w:sz w:val="15"/>
                <w:szCs w:val="15"/>
              </w:rPr>
              <w:t>0.487</w:t>
            </w:r>
          </w:p>
          <w:p w14:paraId="463E5552" w14:textId="77777777" w:rsidR="00AC6754" w:rsidRPr="00AC6754" w:rsidRDefault="00AC6754" w:rsidP="00AC6754">
            <w:pPr>
              <w:rPr>
                <w:rFonts w:ascii="Times New Roman" w:hAnsi="Times New Roman" w:cs="Times New Roman"/>
                <w:sz w:val="15"/>
                <w:szCs w:val="15"/>
              </w:rPr>
            </w:pPr>
            <w:r w:rsidRPr="00AC6754">
              <w:rPr>
                <w:rFonts w:ascii="Times New Roman" w:hAnsi="Times New Roman" w:cs="Times New Roman"/>
                <w:sz w:val="15"/>
                <w:szCs w:val="15"/>
              </w:rPr>
              <w:t>0.608</w:t>
            </w:r>
          </w:p>
          <w:p w14:paraId="2012246D" w14:textId="77777777" w:rsidR="00AC6754" w:rsidRPr="00AC6754" w:rsidRDefault="00AC6754" w:rsidP="00AC6754">
            <w:pPr>
              <w:rPr>
                <w:rFonts w:ascii="Times New Roman" w:hAnsi="Times New Roman" w:cs="Times New Roman"/>
                <w:sz w:val="15"/>
                <w:szCs w:val="15"/>
              </w:rPr>
            </w:pPr>
            <w:r w:rsidRPr="00AC6754">
              <w:rPr>
                <w:rFonts w:ascii="Times New Roman" w:hAnsi="Times New Roman" w:cs="Times New Roman"/>
                <w:sz w:val="15"/>
                <w:szCs w:val="15"/>
              </w:rPr>
              <w:t>0.690</w:t>
            </w:r>
          </w:p>
          <w:p w14:paraId="41ABDE0E" w14:textId="77777777" w:rsidR="00D07D7B" w:rsidRPr="00FE2AA9" w:rsidRDefault="00D07D7B" w:rsidP="00D07D7B">
            <w:pPr>
              <w:rPr>
                <w:rFonts w:ascii="Times New Roman" w:hAnsi="Times New Roman" w:cs="Times New Roman"/>
                <w:sz w:val="15"/>
                <w:szCs w:val="15"/>
              </w:rPr>
            </w:pPr>
          </w:p>
        </w:tc>
        <w:tc>
          <w:tcPr>
            <w:tcW w:w="2158" w:type="dxa"/>
          </w:tcPr>
          <w:p w14:paraId="0EA20BE6" w14:textId="77777777" w:rsidR="00AC6754" w:rsidRPr="00AC6754" w:rsidRDefault="00AC6754" w:rsidP="00AC6754">
            <w:pPr>
              <w:rPr>
                <w:rFonts w:ascii="Times New Roman" w:hAnsi="Times New Roman" w:cs="Times New Roman"/>
                <w:color w:val="000000"/>
                <w:sz w:val="15"/>
                <w:szCs w:val="15"/>
              </w:rPr>
            </w:pPr>
            <w:r w:rsidRPr="00AC6754">
              <w:rPr>
                <w:rFonts w:ascii="Times New Roman" w:hAnsi="Times New Roman" w:cs="Times New Roman"/>
                <w:color w:val="000000"/>
                <w:sz w:val="15"/>
                <w:szCs w:val="15"/>
              </w:rPr>
              <w:t>0.266</w:t>
            </w:r>
          </w:p>
          <w:p w14:paraId="417F7191" w14:textId="77777777" w:rsidR="00AC6754" w:rsidRPr="00AC6754" w:rsidRDefault="00AC6754" w:rsidP="00AC6754">
            <w:pPr>
              <w:rPr>
                <w:rFonts w:ascii="Times New Roman" w:hAnsi="Times New Roman" w:cs="Times New Roman"/>
                <w:color w:val="000000"/>
                <w:sz w:val="15"/>
                <w:szCs w:val="15"/>
              </w:rPr>
            </w:pPr>
            <w:r w:rsidRPr="00AC6754">
              <w:rPr>
                <w:rFonts w:ascii="Times New Roman" w:hAnsi="Times New Roman" w:cs="Times New Roman"/>
                <w:color w:val="000000"/>
                <w:sz w:val="15"/>
                <w:szCs w:val="15"/>
              </w:rPr>
              <w:t>0.194</w:t>
            </w:r>
          </w:p>
          <w:p w14:paraId="52985029" w14:textId="77777777" w:rsidR="00AC6754" w:rsidRPr="00AC6754" w:rsidRDefault="00AC6754" w:rsidP="00AC6754">
            <w:pPr>
              <w:rPr>
                <w:rFonts w:ascii="Times New Roman" w:hAnsi="Times New Roman" w:cs="Times New Roman"/>
                <w:color w:val="000000"/>
                <w:sz w:val="15"/>
                <w:szCs w:val="15"/>
              </w:rPr>
            </w:pPr>
            <w:r w:rsidRPr="00AC6754">
              <w:rPr>
                <w:rFonts w:ascii="Times New Roman" w:hAnsi="Times New Roman" w:cs="Times New Roman"/>
                <w:color w:val="000000"/>
                <w:sz w:val="15"/>
                <w:szCs w:val="15"/>
              </w:rPr>
              <w:t>0.125</w:t>
            </w:r>
          </w:p>
          <w:p w14:paraId="58D7A508" w14:textId="77777777" w:rsidR="00AC6754" w:rsidRPr="00AC6754" w:rsidRDefault="00AC6754" w:rsidP="00AC6754">
            <w:pPr>
              <w:rPr>
                <w:rFonts w:ascii="Times New Roman" w:hAnsi="Times New Roman" w:cs="Times New Roman"/>
                <w:color w:val="000000"/>
                <w:sz w:val="15"/>
                <w:szCs w:val="15"/>
              </w:rPr>
            </w:pPr>
            <w:r w:rsidRPr="00AC6754">
              <w:rPr>
                <w:rFonts w:ascii="Times New Roman" w:hAnsi="Times New Roman" w:cs="Times New Roman"/>
                <w:color w:val="000000"/>
                <w:sz w:val="15"/>
                <w:szCs w:val="15"/>
              </w:rPr>
              <w:t>0.077</w:t>
            </w:r>
          </w:p>
          <w:p w14:paraId="47F85F7C" w14:textId="7B5A3ED8" w:rsidR="00D07D7B" w:rsidRPr="00FE2AA9" w:rsidRDefault="00AC6754" w:rsidP="00D07D7B">
            <w:pPr>
              <w:rPr>
                <w:rFonts w:ascii="Times New Roman" w:hAnsi="Times New Roman" w:cs="Times New Roman"/>
                <w:color w:val="000000"/>
                <w:sz w:val="15"/>
                <w:szCs w:val="15"/>
              </w:rPr>
            </w:pPr>
            <w:r w:rsidRPr="00AC6754">
              <w:rPr>
                <w:rFonts w:ascii="Times New Roman" w:hAnsi="Times New Roman" w:cs="Times New Roman"/>
                <w:color w:val="000000"/>
                <w:sz w:val="15"/>
                <w:szCs w:val="15"/>
              </w:rPr>
              <w:t>0.004</w:t>
            </w:r>
            <w:r w:rsidR="004217C5">
              <w:rPr>
                <w:rFonts w:ascii="Times New Roman" w:hAnsi="Times New Roman" w:cs="Times New Roman"/>
                <w:color w:val="000000"/>
                <w:sz w:val="15"/>
                <w:szCs w:val="15"/>
              </w:rPr>
              <w:t>**</w:t>
            </w:r>
          </w:p>
        </w:tc>
      </w:tr>
      <w:tr w:rsidR="00D07D7B" w14:paraId="344AF266" w14:textId="77777777" w:rsidTr="005A295F">
        <w:tc>
          <w:tcPr>
            <w:tcW w:w="2157" w:type="dxa"/>
          </w:tcPr>
          <w:p w14:paraId="6216177F"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All Credentials</w:t>
            </w:r>
          </w:p>
        </w:tc>
        <w:tc>
          <w:tcPr>
            <w:tcW w:w="1888" w:type="dxa"/>
          </w:tcPr>
          <w:p w14:paraId="282B18E8" w14:textId="77777777" w:rsidR="001058D7" w:rsidRPr="001058D7" w:rsidRDefault="001058D7" w:rsidP="001058D7">
            <w:pPr>
              <w:rPr>
                <w:rFonts w:ascii="Times New Roman" w:hAnsi="Times New Roman" w:cs="Times New Roman"/>
                <w:color w:val="000000"/>
                <w:sz w:val="15"/>
                <w:szCs w:val="15"/>
              </w:rPr>
            </w:pPr>
            <w:r w:rsidRPr="001058D7">
              <w:rPr>
                <w:rFonts w:ascii="Times New Roman" w:hAnsi="Times New Roman" w:cs="Times New Roman"/>
                <w:color w:val="000000"/>
                <w:sz w:val="15"/>
                <w:szCs w:val="15"/>
              </w:rPr>
              <w:t>0.320</w:t>
            </w:r>
          </w:p>
          <w:p w14:paraId="4B8DD038" w14:textId="77777777" w:rsidR="001058D7" w:rsidRPr="001058D7" w:rsidRDefault="001058D7" w:rsidP="001058D7">
            <w:pPr>
              <w:rPr>
                <w:rFonts w:ascii="Times New Roman" w:hAnsi="Times New Roman" w:cs="Times New Roman"/>
                <w:color w:val="000000"/>
                <w:sz w:val="15"/>
                <w:szCs w:val="15"/>
              </w:rPr>
            </w:pPr>
            <w:r w:rsidRPr="001058D7">
              <w:rPr>
                <w:rFonts w:ascii="Times New Roman" w:hAnsi="Times New Roman" w:cs="Times New Roman"/>
                <w:color w:val="000000"/>
                <w:sz w:val="15"/>
                <w:szCs w:val="15"/>
              </w:rPr>
              <w:t>0.058</w:t>
            </w:r>
          </w:p>
          <w:p w14:paraId="28C11EAA" w14:textId="77777777" w:rsidR="001058D7" w:rsidRPr="001058D7" w:rsidRDefault="001058D7" w:rsidP="001058D7">
            <w:pPr>
              <w:rPr>
                <w:rFonts w:ascii="Times New Roman" w:hAnsi="Times New Roman" w:cs="Times New Roman"/>
                <w:color w:val="000000"/>
                <w:sz w:val="15"/>
                <w:szCs w:val="15"/>
              </w:rPr>
            </w:pPr>
            <w:r w:rsidRPr="001058D7">
              <w:rPr>
                <w:rFonts w:ascii="Times New Roman" w:hAnsi="Times New Roman" w:cs="Times New Roman"/>
                <w:color w:val="000000"/>
                <w:sz w:val="15"/>
                <w:szCs w:val="15"/>
              </w:rPr>
              <w:t>0.089</w:t>
            </w:r>
          </w:p>
          <w:p w14:paraId="05E64DB9" w14:textId="77777777" w:rsidR="001058D7" w:rsidRPr="001058D7" w:rsidRDefault="001058D7" w:rsidP="001058D7">
            <w:pPr>
              <w:rPr>
                <w:rFonts w:ascii="Times New Roman" w:hAnsi="Times New Roman" w:cs="Times New Roman"/>
                <w:color w:val="000000"/>
                <w:sz w:val="15"/>
                <w:szCs w:val="15"/>
              </w:rPr>
            </w:pPr>
            <w:r w:rsidRPr="001058D7">
              <w:rPr>
                <w:rFonts w:ascii="Times New Roman" w:hAnsi="Times New Roman" w:cs="Times New Roman"/>
                <w:color w:val="000000"/>
                <w:sz w:val="15"/>
                <w:szCs w:val="15"/>
              </w:rPr>
              <w:t>0.221</w:t>
            </w:r>
          </w:p>
          <w:p w14:paraId="2DE8A551" w14:textId="2AB24330" w:rsidR="00D07D7B" w:rsidRPr="00FE2AA9" w:rsidRDefault="001058D7" w:rsidP="00D07D7B">
            <w:pPr>
              <w:rPr>
                <w:rFonts w:ascii="Times New Roman" w:hAnsi="Times New Roman" w:cs="Times New Roman"/>
                <w:color w:val="000000"/>
                <w:sz w:val="15"/>
                <w:szCs w:val="15"/>
              </w:rPr>
            </w:pPr>
            <w:r w:rsidRPr="001058D7">
              <w:rPr>
                <w:rFonts w:ascii="Times New Roman" w:hAnsi="Times New Roman" w:cs="Times New Roman"/>
                <w:color w:val="000000"/>
                <w:sz w:val="15"/>
                <w:szCs w:val="15"/>
              </w:rPr>
              <w:t>0.252</w:t>
            </w:r>
          </w:p>
        </w:tc>
        <w:tc>
          <w:tcPr>
            <w:tcW w:w="2427" w:type="dxa"/>
          </w:tcPr>
          <w:p w14:paraId="3ADE4D61" w14:textId="77777777" w:rsidR="00E82B27" w:rsidRPr="00E82B27" w:rsidRDefault="00E82B27" w:rsidP="00E82B27">
            <w:pPr>
              <w:rPr>
                <w:rFonts w:ascii="Times New Roman" w:hAnsi="Times New Roman" w:cs="Times New Roman"/>
                <w:sz w:val="15"/>
                <w:szCs w:val="15"/>
              </w:rPr>
            </w:pPr>
            <w:r w:rsidRPr="00E82B27">
              <w:rPr>
                <w:rFonts w:ascii="Times New Roman" w:hAnsi="Times New Roman" w:cs="Times New Roman"/>
                <w:sz w:val="15"/>
                <w:szCs w:val="15"/>
              </w:rPr>
              <w:t>0.345</w:t>
            </w:r>
          </w:p>
          <w:p w14:paraId="6A7E80E3" w14:textId="3AB15A6B" w:rsidR="00E82B27" w:rsidRPr="00E82B27" w:rsidRDefault="00E82B27" w:rsidP="00E82B27">
            <w:pPr>
              <w:rPr>
                <w:rFonts w:ascii="Times New Roman" w:hAnsi="Times New Roman" w:cs="Times New Roman"/>
                <w:sz w:val="15"/>
                <w:szCs w:val="15"/>
              </w:rPr>
            </w:pPr>
            <w:r w:rsidRPr="00E82B27">
              <w:rPr>
                <w:rFonts w:ascii="Times New Roman" w:hAnsi="Times New Roman" w:cs="Times New Roman"/>
                <w:sz w:val="15"/>
                <w:szCs w:val="15"/>
              </w:rPr>
              <w:t>0.044</w:t>
            </w:r>
            <w:r w:rsidR="004217C5">
              <w:rPr>
                <w:rFonts w:ascii="Times New Roman" w:hAnsi="Times New Roman" w:cs="Times New Roman"/>
                <w:color w:val="000000"/>
                <w:sz w:val="15"/>
                <w:szCs w:val="15"/>
              </w:rPr>
              <w:t>*</w:t>
            </w:r>
          </w:p>
          <w:p w14:paraId="4E253E3F" w14:textId="40E687D3" w:rsidR="00E82B27" w:rsidRPr="00E82B27" w:rsidRDefault="00E82B27" w:rsidP="00E82B27">
            <w:pPr>
              <w:rPr>
                <w:rFonts w:ascii="Times New Roman" w:hAnsi="Times New Roman" w:cs="Times New Roman"/>
                <w:sz w:val="15"/>
                <w:szCs w:val="15"/>
              </w:rPr>
            </w:pPr>
            <w:r w:rsidRPr="00E82B27">
              <w:rPr>
                <w:rFonts w:ascii="Times New Roman" w:hAnsi="Times New Roman" w:cs="Times New Roman"/>
                <w:sz w:val="15"/>
                <w:szCs w:val="15"/>
              </w:rPr>
              <w:t>0.017</w:t>
            </w:r>
            <w:r w:rsidR="004217C5">
              <w:rPr>
                <w:rFonts w:ascii="Times New Roman" w:hAnsi="Times New Roman" w:cs="Times New Roman"/>
                <w:color w:val="000000"/>
                <w:sz w:val="15"/>
                <w:szCs w:val="15"/>
              </w:rPr>
              <w:t>*</w:t>
            </w:r>
          </w:p>
          <w:p w14:paraId="4B4D0637" w14:textId="77777777" w:rsidR="00E82B27" w:rsidRPr="00E82B27" w:rsidRDefault="00E82B27" w:rsidP="00E82B27">
            <w:pPr>
              <w:rPr>
                <w:rFonts w:ascii="Times New Roman" w:hAnsi="Times New Roman" w:cs="Times New Roman"/>
                <w:sz w:val="15"/>
                <w:szCs w:val="15"/>
              </w:rPr>
            </w:pPr>
            <w:r w:rsidRPr="00E82B27">
              <w:rPr>
                <w:rFonts w:ascii="Times New Roman" w:hAnsi="Times New Roman" w:cs="Times New Roman"/>
                <w:sz w:val="15"/>
                <w:szCs w:val="15"/>
              </w:rPr>
              <w:t>0.080</w:t>
            </w:r>
          </w:p>
          <w:p w14:paraId="09CD88B8" w14:textId="77777777" w:rsidR="00D07D7B" w:rsidRPr="00FE2AA9" w:rsidRDefault="00D07D7B" w:rsidP="00D07D7B">
            <w:pPr>
              <w:rPr>
                <w:rFonts w:ascii="Times New Roman" w:hAnsi="Times New Roman" w:cs="Times New Roman"/>
                <w:sz w:val="15"/>
                <w:szCs w:val="15"/>
              </w:rPr>
            </w:pPr>
          </w:p>
        </w:tc>
        <w:tc>
          <w:tcPr>
            <w:tcW w:w="2158" w:type="dxa"/>
          </w:tcPr>
          <w:p w14:paraId="68DA2408" w14:textId="77777777" w:rsidR="001058D7" w:rsidRPr="001058D7" w:rsidRDefault="001058D7" w:rsidP="001058D7">
            <w:pPr>
              <w:rPr>
                <w:rFonts w:ascii="Times New Roman" w:hAnsi="Times New Roman" w:cs="Times New Roman"/>
                <w:color w:val="000000"/>
                <w:sz w:val="15"/>
                <w:szCs w:val="15"/>
              </w:rPr>
            </w:pPr>
            <w:r w:rsidRPr="001058D7">
              <w:rPr>
                <w:rFonts w:ascii="Times New Roman" w:hAnsi="Times New Roman" w:cs="Times New Roman"/>
                <w:color w:val="000000"/>
                <w:sz w:val="15"/>
                <w:szCs w:val="15"/>
              </w:rPr>
              <w:t>0.526</w:t>
            </w:r>
          </w:p>
          <w:p w14:paraId="37F57D74" w14:textId="77777777" w:rsidR="001058D7" w:rsidRPr="001058D7" w:rsidRDefault="001058D7" w:rsidP="001058D7">
            <w:pPr>
              <w:rPr>
                <w:rFonts w:ascii="Times New Roman" w:hAnsi="Times New Roman" w:cs="Times New Roman"/>
                <w:color w:val="000000"/>
                <w:sz w:val="15"/>
                <w:szCs w:val="15"/>
              </w:rPr>
            </w:pPr>
            <w:r w:rsidRPr="001058D7">
              <w:rPr>
                <w:rFonts w:ascii="Times New Roman" w:hAnsi="Times New Roman" w:cs="Times New Roman"/>
                <w:color w:val="000000"/>
                <w:sz w:val="15"/>
                <w:szCs w:val="15"/>
              </w:rPr>
              <w:t>0.924</w:t>
            </w:r>
          </w:p>
          <w:p w14:paraId="18C19692" w14:textId="77777777" w:rsidR="001058D7" w:rsidRPr="001058D7" w:rsidRDefault="001058D7" w:rsidP="001058D7">
            <w:pPr>
              <w:rPr>
                <w:rFonts w:ascii="Times New Roman" w:hAnsi="Times New Roman" w:cs="Times New Roman"/>
                <w:color w:val="000000"/>
                <w:sz w:val="15"/>
                <w:szCs w:val="15"/>
              </w:rPr>
            </w:pPr>
            <w:r w:rsidRPr="001058D7">
              <w:rPr>
                <w:rFonts w:ascii="Times New Roman" w:hAnsi="Times New Roman" w:cs="Times New Roman"/>
                <w:color w:val="000000"/>
                <w:sz w:val="15"/>
                <w:szCs w:val="15"/>
              </w:rPr>
              <w:t>0.556</w:t>
            </w:r>
          </w:p>
          <w:p w14:paraId="221868F6" w14:textId="77777777" w:rsidR="001058D7" w:rsidRPr="001058D7" w:rsidRDefault="001058D7" w:rsidP="001058D7">
            <w:pPr>
              <w:rPr>
                <w:rFonts w:ascii="Times New Roman" w:hAnsi="Times New Roman" w:cs="Times New Roman"/>
                <w:color w:val="000000"/>
                <w:sz w:val="15"/>
                <w:szCs w:val="15"/>
              </w:rPr>
            </w:pPr>
            <w:r w:rsidRPr="001058D7">
              <w:rPr>
                <w:rFonts w:ascii="Times New Roman" w:hAnsi="Times New Roman" w:cs="Times New Roman"/>
                <w:color w:val="000000"/>
                <w:sz w:val="15"/>
                <w:szCs w:val="15"/>
              </w:rPr>
              <w:t>0.499</w:t>
            </w:r>
          </w:p>
          <w:p w14:paraId="460B2303" w14:textId="1E57AA25" w:rsidR="00D07D7B" w:rsidRPr="00FE2AA9" w:rsidRDefault="00E82B27" w:rsidP="00D07D7B">
            <w:pPr>
              <w:rPr>
                <w:rFonts w:ascii="Times New Roman" w:hAnsi="Times New Roman" w:cs="Times New Roman"/>
                <w:color w:val="000000"/>
                <w:sz w:val="15"/>
                <w:szCs w:val="15"/>
              </w:rPr>
            </w:pPr>
            <w:r w:rsidRPr="00E82B27">
              <w:rPr>
                <w:rFonts w:ascii="Times New Roman" w:hAnsi="Times New Roman" w:cs="Times New Roman"/>
                <w:color w:val="000000"/>
                <w:sz w:val="15"/>
                <w:szCs w:val="15"/>
              </w:rPr>
              <w:t>0.962</w:t>
            </w:r>
          </w:p>
        </w:tc>
      </w:tr>
      <w:tr w:rsidR="00D07D7B" w14:paraId="44F23B91" w14:textId="77777777" w:rsidTr="005A295F">
        <w:tc>
          <w:tcPr>
            <w:tcW w:w="2157" w:type="dxa"/>
          </w:tcPr>
          <w:p w14:paraId="3A41F165" w14:textId="6E30CA90" w:rsidR="00D07D7B" w:rsidRPr="00D2786A" w:rsidRDefault="00275D9D" w:rsidP="00D07D7B">
            <w:pPr>
              <w:rPr>
                <w:rFonts w:ascii="Times New Roman" w:hAnsi="Times New Roman" w:cs="Times New Roman"/>
              </w:rPr>
            </w:pPr>
            <w:r>
              <w:rPr>
                <w:rFonts w:ascii="Times New Roman" w:hAnsi="Times New Roman" w:cs="Times New Roman"/>
              </w:rPr>
              <w:t>One</w:t>
            </w:r>
            <w:r w:rsidR="002C3000">
              <w:rPr>
                <w:rFonts w:ascii="Times New Roman" w:hAnsi="Times New Roman" w:cs="Times New Roman"/>
              </w:rPr>
              <w:t>-</w:t>
            </w:r>
            <w:r>
              <w:rPr>
                <w:rFonts w:ascii="Times New Roman" w:hAnsi="Times New Roman" w:cs="Times New Roman"/>
              </w:rPr>
              <w:t>to</w:t>
            </w:r>
            <w:r w:rsidR="002C3000">
              <w:rPr>
                <w:rFonts w:ascii="Times New Roman" w:hAnsi="Times New Roman" w:cs="Times New Roman"/>
              </w:rPr>
              <w:t>-</w:t>
            </w:r>
            <w:r>
              <w:rPr>
                <w:rFonts w:ascii="Times New Roman" w:hAnsi="Times New Roman" w:cs="Times New Roman"/>
              </w:rPr>
              <w:t>Two</w:t>
            </w:r>
            <w:r w:rsidR="00D07D7B" w:rsidRPr="00D2786A">
              <w:rPr>
                <w:rFonts w:ascii="Times New Roman" w:hAnsi="Times New Roman" w:cs="Times New Roman"/>
              </w:rPr>
              <w:t xml:space="preserve"> Year Credentials</w:t>
            </w:r>
          </w:p>
        </w:tc>
        <w:tc>
          <w:tcPr>
            <w:tcW w:w="1888" w:type="dxa"/>
          </w:tcPr>
          <w:p w14:paraId="2C5E5A9E" w14:textId="53D15F84" w:rsidR="00E82B27" w:rsidRPr="00E82B27" w:rsidRDefault="00E82B27" w:rsidP="00E82B27">
            <w:pPr>
              <w:rPr>
                <w:rFonts w:ascii="Times New Roman" w:hAnsi="Times New Roman" w:cs="Times New Roman"/>
                <w:color w:val="000000"/>
                <w:sz w:val="15"/>
                <w:szCs w:val="15"/>
              </w:rPr>
            </w:pPr>
            <w:r w:rsidRPr="00E82B27">
              <w:rPr>
                <w:rFonts w:ascii="Times New Roman" w:hAnsi="Times New Roman" w:cs="Times New Roman"/>
                <w:color w:val="000000"/>
                <w:sz w:val="15"/>
                <w:szCs w:val="15"/>
              </w:rPr>
              <w:t>0.003</w:t>
            </w:r>
            <w:r w:rsidR="003874BD">
              <w:rPr>
                <w:rFonts w:ascii="Times New Roman" w:hAnsi="Times New Roman" w:cs="Times New Roman"/>
                <w:color w:val="000000"/>
                <w:sz w:val="15"/>
                <w:szCs w:val="15"/>
              </w:rPr>
              <w:t>**</w:t>
            </w:r>
          </w:p>
          <w:p w14:paraId="2CC58F54" w14:textId="56F25711" w:rsidR="00E82B27" w:rsidRPr="00E82B27" w:rsidRDefault="00E82B27" w:rsidP="00E82B27">
            <w:pPr>
              <w:rPr>
                <w:rFonts w:ascii="Times New Roman" w:hAnsi="Times New Roman" w:cs="Times New Roman"/>
                <w:color w:val="000000"/>
                <w:sz w:val="15"/>
                <w:szCs w:val="15"/>
              </w:rPr>
            </w:pPr>
            <w:r w:rsidRPr="00E82B27">
              <w:rPr>
                <w:rFonts w:ascii="Times New Roman" w:hAnsi="Times New Roman" w:cs="Times New Roman"/>
                <w:color w:val="000000"/>
                <w:sz w:val="15"/>
                <w:szCs w:val="15"/>
              </w:rPr>
              <w:t>0.000</w:t>
            </w:r>
            <w:r w:rsidR="003874BD">
              <w:rPr>
                <w:rFonts w:ascii="Times New Roman" w:hAnsi="Times New Roman" w:cs="Times New Roman"/>
                <w:color w:val="000000"/>
                <w:sz w:val="15"/>
                <w:szCs w:val="15"/>
              </w:rPr>
              <w:t>***</w:t>
            </w:r>
          </w:p>
          <w:p w14:paraId="7848A47C" w14:textId="35099640" w:rsidR="00E82B27" w:rsidRPr="00E82B27" w:rsidRDefault="00E82B27" w:rsidP="00E82B27">
            <w:pPr>
              <w:rPr>
                <w:rFonts w:ascii="Times New Roman" w:hAnsi="Times New Roman" w:cs="Times New Roman"/>
                <w:color w:val="000000"/>
                <w:sz w:val="15"/>
                <w:szCs w:val="15"/>
              </w:rPr>
            </w:pPr>
            <w:r w:rsidRPr="00E82B27">
              <w:rPr>
                <w:rFonts w:ascii="Times New Roman" w:hAnsi="Times New Roman" w:cs="Times New Roman"/>
                <w:color w:val="000000"/>
                <w:sz w:val="15"/>
                <w:szCs w:val="15"/>
              </w:rPr>
              <w:t>0.000</w:t>
            </w:r>
            <w:r w:rsidR="003874BD">
              <w:rPr>
                <w:rFonts w:ascii="Times New Roman" w:hAnsi="Times New Roman" w:cs="Times New Roman"/>
                <w:color w:val="000000"/>
                <w:sz w:val="15"/>
                <w:szCs w:val="15"/>
              </w:rPr>
              <w:t>***</w:t>
            </w:r>
          </w:p>
          <w:p w14:paraId="2E0BC9B9" w14:textId="38A19307" w:rsidR="00E82B27" w:rsidRPr="00E82B27" w:rsidRDefault="00E82B27" w:rsidP="00E82B27">
            <w:pPr>
              <w:rPr>
                <w:rFonts w:ascii="Times New Roman" w:hAnsi="Times New Roman" w:cs="Times New Roman"/>
                <w:color w:val="000000"/>
                <w:sz w:val="15"/>
                <w:szCs w:val="15"/>
              </w:rPr>
            </w:pPr>
            <w:r w:rsidRPr="00E82B27">
              <w:rPr>
                <w:rFonts w:ascii="Times New Roman" w:hAnsi="Times New Roman" w:cs="Times New Roman"/>
                <w:color w:val="000000"/>
                <w:sz w:val="15"/>
                <w:szCs w:val="15"/>
              </w:rPr>
              <w:t>0.009</w:t>
            </w:r>
            <w:r w:rsidR="003874BD">
              <w:rPr>
                <w:rFonts w:ascii="Times New Roman" w:hAnsi="Times New Roman" w:cs="Times New Roman"/>
                <w:color w:val="000000"/>
                <w:sz w:val="15"/>
                <w:szCs w:val="15"/>
              </w:rPr>
              <w:t>**</w:t>
            </w:r>
          </w:p>
          <w:p w14:paraId="6C062658" w14:textId="2534A709" w:rsidR="00D07D7B" w:rsidRPr="00FE2AA9" w:rsidRDefault="00251122" w:rsidP="00D07D7B">
            <w:pPr>
              <w:rPr>
                <w:rFonts w:ascii="Times New Roman" w:hAnsi="Times New Roman" w:cs="Times New Roman"/>
                <w:color w:val="000000"/>
                <w:sz w:val="15"/>
                <w:szCs w:val="15"/>
              </w:rPr>
            </w:pPr>
            <w:r w:rsidRPr="00251122">
              <w:rPr>
                <w:rFonts w:ascii="Times New Roman" w:hAnsi="Times New Roman" w:cs="Times New Roman"/>
                <w:color w:val="000000"/>
                <w:sz w:val="15"/>
                <w:szCs w:val="15"/>
              </w:rPr>
              <w:t>0.021</w:t>
            </w:r>
            <w:r w:rsidR="003874BD">
              <w:rPr>
                <w:rFonts w:ascii="Times New Roman" w:hAnsi="Times New Roman" w:cs="Times New Roman"/>
                <w:color w:val="000000"/>
                <w:sz w:val="15"/>
                <w:szCs w:val="15"/>
              </w:rPr>
              <w:t>*</w:t>
            </w:r>
          </w:p>
        </w:tc>
        <w:tc>
          <w:tcPr>
            <w:tcW w:w="2427" w:type="dxa"/>
          </w:tcPr>
          <w:p w14:paraId="4D2ED150" w14:textId="71248893" w:rsidR="00436886" w:rsidRPr="00436886" w:rsidRDefault="00436886" w:rsidP="00436886">
            <w:pPr>
              <w:rPr>
                <w:rFonts w:ascii="Times New Roman" w:hAnsi="Times New Roman" w:cs="Times New Roman"/>
                <w:sz w:val="15"/>
                <w:szCs w:val="15"/>
              </w:rPr>
            </w:pPr>
            <w:r w:rsidRPr="00436886">
              <w:rPr>
                <w:rFonts w:ascii="Times New Roman" w:hAnsi="Times New Roman" w:cs="Times New Roman"/>
                <w:sz w:val="15"/>
                <w:szCs w:val="15"/>
              </w:rPr>
              <w:t>0.003</w:t>
            </w:r>
            <w:r w:rsidR="004217C5">
              <w:rPr>
                <w:rFonts w:ascii="Times New Roman" w:hAnsi="Times New Roman" w:cs="Times New Roman"/>
                <w:color w:val="000000"/>
                <w:sz w:val="15"/>
                <w:szCs w:val="15"/>
              </w:rPr>
              <w:t>**</w:t>
            </w:r>
          </w:p>
          <w:p w14:paraId="0AAFA725" w14:textId="6D085596" w:rsidR="00436886" w:rsidRPr="00436886" w:rsidRDefault="00436886" w:rsidP="00436886">
            <w:pPr>
              <w:rPr>
                <w:rFonts w:ascii="Times New Roman" w:hAnsi="Times New Roman" w:cs="Times New Roman"/>
                <w:sz w:val="15"/>
                <w:szCs w:val="15"/>
              </w:rPr>
            </w:pPr>
            <w:r w:rsidRPr="00436886">
              <w:rPr>
                <w:rFonts w:ascii="Times New Roman" w:hAnsi="Times New Roman" w:cs="Times New Roman"/>
                <w:sz w:val="15"/>
                <w:szCs w:val="15"/>
              </w:rPr>
              <w:t>0.000</w:t>
            </w:r>
            <w:r w:rsidR="004217C5">
              <w:rPr>
                <w:rFonts w:ascii="Times New Roman" w:hAnsi="Times New Roman" w:cs="Times New Roman"/>
                <w:color w:val="000000"/>
                <w:sz w:val="15"/>
                <w:szCs w:val="15"/>
              </w:rPr>
              <w:t>***</w:t>
            </w:r>
          </w:p>
          <w:p w14:paraId="5FA7CAEE" w14:textId="2B66559B" w:rsidR="00436886" w:rsidRPr="00436886" w:rsidRDefault="00436886" w:rsidP="00436886">
            <w:pPr>
              <w:rPr>
                <w:rFonts w:ascii="Times New Roman" w:hAnsi="Times New Roman" w:cs="Times New Roman"/>
                <w:sz w:val="15"/>
                <w:szCs w:val="15"/>
              </w:rPr>
            </w:pPr>
            <w:r w:rsidRPr="00436886">
              <w:rPr>
                <w:rFonts w:ascii="Times New Roman" w:hAnsi="Times New Roman" w:cs="Times New Roman"/>
                <w:sz w:val="15"/>
                <w:szCs w:val="15"/>
              </w:rPr>
              <w:t>0.000</w:t>
            </w:r>
            <w:r w:rsidR="004217C5">
              <w:rPr>
                <w:rFonts w:ascii="Times New Roman" w:hAnsi="Times New Roman" w:cs="Times New Roman"/>
                <w:color w:val="000000"/>
                <w:sz w:val="15"/>
                <w:szCs w:val="15"/>
              </w:rPr>
              <w:t>***</w:t>
            </w:r>
          </w:p>
          <w:p w14:paraId="633BF49E" w14:textId="2427F8A9" w:rsidR="00436886" w:rsidRPr="00436886" w:rsidRDefault="00436886" w:rsidP="00436886">
            <w:pPr>
              <w:rPr>
                <w:rFonts w:ascii="Times New Roman" w:hAnsi="Times New Roman" w:cs="Times New Roman"/>
                <w:sz w:val="15"/>
                <w:szCs w:val="15"/>
              </w:rPr>
            </w:pPr>
            <w:r w:rsidRPr="00436886">
              <w:rPr>
                <w:rFonts w:ascii="Times New Roman" w:hAnsi="Times New Roman" w:cs="Times New Roman"/>
                <w:sz w:val="15"/>
                <w:szCs w:val="15"/>
              </w:rPr>
              <w:t>0.000</w:t>
            </w:r>
            <w:r w:rsidR="004217C5">
              <w:rPr>
                <w:rFonts w:ascii="Times New Roman" w:hAnsi="Times New Roman" w:cs="Times New Roman"/>
                <w:color w:val="000000"/>
                <w:sz w:val="15"/>
                <w:szCs w:val="15"/>
              </w:rPr>
              <w:t>***</w:t>
            </w:r>
          </w:p>
          <w:p w14:paraId="1C535A83" w14:textId="77777777" w:rsidR="00D07D7B" w:rsidRPr="00FE2AA9" w:rsidRDefault="00D07D7B" w:rsidP="00D07D7B">
            <w:pPr>
              <w:rPr>
                <w:rFonts w:ascii="Times New Roman" w:hAnsi="Times New Roman" w:cs="Times New Roman"/>
                <w:sz w:val="15"/>
                <w:szCs w:val="15"/>
              </w:rPr>
            </w:pPr>
          </w:p>
        </w:tc>
        <w:tc>
          <w:tcPr>
            <w:tcW w:w="2158" w:type="dxa"/>
          </w:tcPr>
          <w:p w14:paraId="0DAF9864" w14:textId="77777777" w:rsidR="00251122" w:rsidRPr="00251122" w:rsidRDefault="00251122" w:rsidP="00251122">
            <w:pPr>
              <w:rPr>
                <w:rFonts w:ascii="Times New Roman" w:hAnsi="Times New Roman" w:cs="Times New Roman"/>
                <w:color w:val="000000"/>
                <w:sz w:val="15"/>
                <w:szCs w:val="15"/>
              </w:rPr>
            </w:pPr>
            <w:r w:rsidRPr="00251122">
              <w:rPr>
                <w:rFonts w:ascii="Times New Roman" w:hAnsi="Times New Roman" w:cs="Times New Roman"/>
                <w:color w:val="000000"/>
                <w:sz w:val="15"/>
                <w:szCs w:val="15"/>
              </w:rPr>
              <w:t>0.464</w:t>
            </w:r>
          </w:p>
          <w:p w14:paraId="436D1A9C" w14:textId="77777777" w:rsidR="00251122" w:rsidRPr="00251122" w:rsidRDefault="00251122" w:rsidP="00251122">
            <w:pPr>
              <w:rPr>
                <w:rFonts w:ascii="Times New Roman" w:hAnsi="Times New Roman" w:cs="Times New Roman"/>
                <w:color w:val="000000"/>
                <w:sz w:val="15"/>
                <w:szCs w:val="15"/>
              </w:rPr>
            </w:pPr>
            <w:r w:rsidRPr="00251122">
              <w:rPr>
                <w:rFonts w:ascii="Times New Roman" w:hAnsi="Times New Roman" w:cs="Times New Roman"/>
                <w:color w:val="000000"/>
                <w:sz w:val="15"/>
                <w:szCs w:val="15"/>
              </w:rPr>
              <w:t>0.385</w:t>
            </w:r>
          </w:p>
          <w:p w14:paraId="2D9DAFD5" w14:textId="77777777" w:rsidR="00251122" w:rsidRPr="00251122" w:rsidRDefault="00251122" w:rsidP="00251122">
            <w:pPr>
              <w:rPr>
                <w:rFonts w:ascii="Times New Roman" w:hAnsi="Times New Roman" w:cs="Times New Roman"/>
                <w:color w:val="000000"/>
                <w:sz w:val="15"/>
                <w:szCs w:val="15"/>
              </w:rPr>
            </w:pPr>
            <w:r w:rsidRPr="00251122">
              <w:rPr>
                <w:rFonts w:ascii="Times New Roman" w:hAnsi="Times New Roman" w:cs="Times New Roman"/>
                <w:color w:val="000000"/>
                <w:sz w:val="15"/>
                <w:szCs w:val="15"/>
              </w:rPr>
              <w:t>0.365</w:t>
            </w:r>
          </w:p>
          <w:p w14:paraId="448339CC" w14:textId="77777777" w:rsidR="00436886" w:rsidRPr="00436886" w:rsidRDefault="00436886" w:rsidP="00436886">
            <w:pPr>
              <w:rPr>
                <w:rFonts w:ascii="Times New Roman" w:hAnsi="Times New Roman" w:cs="Times New Roman"/>
                <w:color w:val="000000"/>
                <w:sz w:val="15"/>
                <w:szCs w:val="15"/>
              </w:rPr>
            </w:pPr>
            <w:r w:rsidRPr="00436886">
              <w:rPr>
                <w:rFonts w:ascii="Times New Roman" w:hAnsi="Times New Roman" w:cs="Times New Roman"/>
                <w:color w:val="000000"/>
                <w:sz w:val="15"/>
                <w:szCs w:val="15"/>
              </w:rPr>
              <w:t>0.344</w:t>
            </w:r>
          </w:p>
          <w:p w14:paraId="5B4D70EE" w14:textId="147C6631" w:rsidR="00D07D7B" w:rsidRPr="00FE2AA9" w:rsidRDefault="00436886" w:rsidP="00D07D7B">
            <w:pPr>
              <w:rPr>
                <w:rFonts w:ascii="Times New Roman" w:hAnsi="Times New Roman" w:cs="Times New Roman"/>
                <w:color w:val="000000"/>
                <w:sz w:val="15"/>
                <w:szCs w:val="15"/>
              </w:rPr>
            </w:pPr>
            <w:r w:rsidRPr="00436886">
              <w:rPr>
                <w:rFonts w:ascii="Times New Roman" w:hAnsi="Times New Roman" w:cs="Times New Roman"/>
                <w:color w:val="000000"/>
                <w:sz w:val="15"/>
                <w:szCs w:val="15"/>
              </w:rPr>
              <w:t>0.797</w:t>
            </w:r>
          </w:p>
        </w:tc>
      </w:tr>
      <w:tr w:rsidR="00D07D7B" w14:paraId="0EFB9D9B" w14:textId="77777777" w:rsidTr="005A295F">
        <w:tc>
          <w:tcPr>
            <w:tcW w:w="2157" w:type="dxa"/>
          </w:tcPr>
          <w:p w14:paraId="1BE4131A"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 xml:space="preserve">&lt; 1 Year Credentials </w:t>
            </w:r>
          </w:p>
        </w:tc>
        <w:tc>
          <w:tcPr>
            <w:tcW w:w="1888" w:type="dxa"/>
          </w:tcPr>
          <w:p w14:paraId="20431949" w14:textId="5B674E53" w:rsidR="00631EF1" w:rsidRPr="00631EF1" w:rsidRDefault="00631EF1" w:rsidP="00631EF1">
            <w:pPr>
              <w:rPr>
                <w:rFonts w:ascii="Times New Roman" w:hAnsi="Times New Roman" w:cs="Times New Roman"/>
                <w:color w:val="000000"/>
                <w:sz w:val="15"/>
                <w:szCs w:val="15"/>
              </w:rPr>
            </w:pPr>
            <w:r w:rsidRPr="00631EF1">
              <w:rPr>
                <w:rFonts w:ascii="Times New Roman" w:hAnsi="Times New Roman" w:cs="Times New Roman"/>
                <w:color w:val="000000"/>
                <w:sz w:val="15"/>
                <w:szCs w:val="15"/>
              </w:rPr>
              <w:t>0.021</w:t>
            </w:r>
            <w:r w:rsidR="003874BD">
              <w:rPr>
                <w:rFonts w:ascii="Times New Roman" w:hAnsi="Times New Roman" w:cs="Times New Roman"/>
                <w:color w:val="000000"/>
                <w:sz w:val="15"/>
                <w:szCs w:val="15"/>
              </w:rPr>
              <w:t>*</w:t>
            </w:r>
          </w:p>
          <w:p w14:paraId="48240D64" w14:textId="245E942D" w:rsidR="00631EF1" w:rsidRPr="00631EF1" w:rsidRDefault="00631EF1" w:rsidP="00631EF1">
            <w:pPr>
              <w:rPr>
                <w:rFonts w:ascii="Times New Roman" w:hAnsi="Times New Roman" w:cs="Times New Roman"/>
                <w:color w:val="000000"/>
                <w:sz w:val="15"/>
                <w:szCs w:val="15"/>
              </w:rPr>
            </w:pPr>
            <w:r w:rsidRPr="00631EF1">
              <w:rPr>
                <w:rFonts w:ascii="Times New Roman" w:hAnsi="Times New Roman" w:cs="Times New Roman"/>
                <w:color w:val="000000"/>
                <w:sz w:val="15"/>
                <w:szCs w:val="15"/>
              </w:rPr>
              <w:t>0.008</w:t>
            </w:r>
            <w:r w:rsidR="003874BD">
              <w:rPr>
                <w:rFonts w:ascii="Times New Roman" w:hAnsi="Times New Roman" w:cs="Times New Roman"/>
                <w:color w:val="000000"/>
                <w:sz w:val="15"/>
                <w:szCs w:val="15"/>
              </w:rPr>
              <w:t>*</w:t>
            </w:r>
          </w:p>
          <w:p w14:paraId="51B1B406" w14:textId="30360B5C" w:rsidR="00631EF1" w:rsidRPr="00631EF1" w:rsidRDefault="00631EF1" w:rsidP="00631EF1">
            <w:pPr>
              <w:rPr>
                <w:rFonts w:ascii="Times New Roman" w:hAnsi="Times New Roman" w:cs="Times New Roman"/>
                <w:color w:val="000000"/>
                <w:sz w:val="15"/>
                <w:szCs w:val="15"/>
              </w:rPr>
            </w:pPr>
            <w:r w:rsidRPr="00631EF1">
              <w:rPr>
                <w:rFonts w:ascii="Times New Roman" w:hAnsi="Times New Roman" w:cs="Times New Roman"/>
                <w:color w:val="000000"/>
                <w:sz w:val="15"/>
                <w:szCs w:val="15"/>
              </w:rPr>
              <w:t>0.001</w:t>
            </w:r>
            <w:r w:rsidR="003874BD">
              <w:rPr>
                <w:rFonts w:ascii="Times New Roman" w:hAnsi="Times New Roman" w:cs="Times New Roman"/>
                <w:color w:val="000000"/>
                <w:sz w:val="15"/>
                <w:szCs w:val="15"/>
              </w:rPr>
              <w:t>**</w:t>
            </w:r>
          </w:p>
          <w:p w14:paraId="111C9132" w14:textId="3071DC5E" w:rsidR="00631EF1" w:rsidRPr="00631EF1" w:rsidRDefault="00631EF1" w:rsidP="00631EF1">
            <w:pPr>
              <w:rPr>
                <w:rFonts w:ascii="Times New Roman" w:hAnsi="Times New Roman" w:cs="Times New Roman"/>
                <w:color w:val="000000"/>
                <w:sz w:val="15"/>
                <w:szCs w:val="15"/>
              </w:rPr>
            </w:pPr>
            <w:r w:rsidRPr="00631EF1">
              <w:rPr>
                <w:rFonts w:ascii="Times New Roman" w:hAnsi="Times New Roman" w:cs="Times New Roman"/>
                <w:color w:val="000000"/>
                <w:sz w:val="15"/>
                <w:szCs w:val="15"/>
              </w:rPr>
              <w:t>0.023</w:t>
            </w:r>
            <w:r w:rsidR="003874BD">
              <w:rPr>
                <w:rFonts w:ascii="Times New Roman" w:hAnsi="Times New Roman" w:cs="Times New Roman"/>
                <w:color w:val="000000"/>
                <w:sz w:val="15"/>
                <w:szCs w:val="15"/>
              </w:rPr>
              <w:t>*</w:t>
            </w:r>
          </w:p>
          <w:p w14:paraId="5CD682BF" w14:textId="5060E65A" w:rsidR="00D07D7B" w:rsidRPr="00FE2AA9" w:rsidRDefault="00631EF1" w:rsidP="00D07D7B">
            <w:pPr>
              <w:rPr>
                <w:rFonts w:ascii="Times New Roman" w:hAnsi="Times New Roman" w:cs="Times New Roman"/>
                <w:color w:val="000000"/>
                <w:sz w:val="15"/>
                <w:szCs w:val="15"/>
              </w:rPr>
            </w:pPr>
            <w:r w:rsidRPr="00631EF1">
              <w:rPr>
                <w:rFonts w:ascii="Times New Roman" w:hAnsi="Times New Roman" w:cs="Times New Roman"/>
                <w:color w:val="000000"/>
                <w:sz w:val="15"/>
                <w:szCs w:val="15"/>
              </w:rPr>
              <w:t>0.002</w:t>
            </w:r>
            <w:r w:rsidR="003874BD">
              <w:rPr>
                <w:rFonts w:ascii="Times New Roman" w:hAnsi="Times New Roman" w:cs="Times New Roman"/>
                <w:color w:val="000000"/>
                <w:sz w:val="15"/>
                <w:szCs w:val="15"/>
              </w:rPr>
              <w:t>**</w:t>
            </w:r>
          </w:p>
        </w:tc>
        <w:tc>
          <w:tcPr>
            <w:tcW w:w="2427" w:type="dxa"/>
          </w:tcPr>
          <w:p w14:paraId="628E3955" w14:textId="77777777" w:rsidR="004C5276" w:rsidRPr="004C5276" w:rsidRDefault="004C5276" w:rsidP="004C5276">
            <w:pPr>
              <w:rPr>
                <w:rFonts w:ascii="Times New Roman" w:hAnsi="Times New Roman" w:cs="Times New Roman"/>
                <w:sz w:val="15"/>
                <w:szCs w:val="15"/>
              </w:rPr>
            </w:pPr>
            <w:r w:rsidRPr="004C5276">
              <w:rPr>
                <w:rFonts w:ascii="Times New Roman" w:hAnsi="Times New Roman" w:cs="Times New Roman"/>
                <w:sz w:val="15"/>
                <w:szCs w:val="15"/>
              </w:rPr>
              <w:t>0.076</w:t>
            </w:r>
          </w:p>
          <w:p w14:paraId="2F56B409" w14:textId="0B6A5688" w:rsidR="004C5276" w:rsidRPr="004C5276" w:rsidRDefault="004C5276" w:rsidP="004C5276">
            <w:pPr>
              <w:rPr>
                <w:rFonts w:ascii="Times New Roman" w:hAnsi="Times New Roman" w:cs="Times New Roman"/>
                <w:sz w:val="15"/>
                <w:szCs w:val="15"/>
              </w:rPr>
            </w:pPr>
            <w:r w:rsidRPr="004C5276">
              <w:rPr>
                <w:rFonts w:ascii="Times New Roman" w:hAnsi="Times New Roman" w:cs="Times New Roman"/>
                <w:sz w:val="15"/>
                <w:szCs w:val="15"/>
              </w:rPr>
              <w:t>0.008</w:t>
            </w:r>
            <w:r w:rsidR="004217C5">
              <w:rPr>
                <w:rFonts w:ascii="Times New Roman" w:hAnsi="Times New Roman" w:cs="Times New Roman"/>
                <w:color w:val="000000"/>
                <w:sz w:val="15"/>
                <w:szCs w:val="15"/>
              </w:rPr>
              <w:t>**</w:t>
            </w:r>
          </w:p>
          <w:p w14:paraId="2EADE5D4" w14:textId="1CB35072" w:rsidR="004C5276" w:rsidRPr="004C5276" w:rsidRDefault="004C5276" w:rsidP="004C5276">
            <w:pPr>
              <w:rPr>
                <w:rFonts w:ascii="Times New Roman" w:hAnsi="Times New Roman" w:cs="Times New Roman"/>
                <w:sz w:val="15"/>
                <w:szCs w:val="15"/>
              </w:rPr>
            </w:pPr>
            <w:r w:rsidRPr="004C5276">
              <w:rPr>
                <w:rFonts w:ascii="Times New Roman" w:hAnsi="Times New Roman" w:cs="Times New Roman"/>
                <w:sz w:val="15"/>
                <w:szCs w:val="15"/>
              </w:rPr>
              <w:t>0.000</w:t>
            </w:r>
            <w:r w:rsidR="004217C5">
              <w:rPr>
                <w:rFonts w:ascii="Times New Roman" w:hAnsi="Times New Roman" w:cs="Times New Roman"/>
                <w:color w:val="000000"/>
                <w:sz w:val="15"/>
                <w:szCs w:val="15"/>
              </w:rPr>
              <w:t>***</w:t>
            </w:r>
          </w:p>
          <w:p w14:paraId="08749930" w14:textId="7C67D60A" w:rsidR="004C5276" w:rsidRPr="004C5276" w:rsidRDefault="004C5276" w:rsidP="004C5276">
            <w:pPr>
              <w:rPr>
                <w:rFonts w:ascii="Times New Roman" w:hAnsi="Times New Roman" w:cs="Times New Roman"/>
                <w:sz w:val="15"/>
                <w:szCs w:val="15"/>
              </w:rPr>
            </w:pPr>
            <w:r w:rsidRPr="004C5276">
              <w:rPr>
                <w:rFonts w:ascii="Times New Roman" w:hAnsi="Times New Roman" w:cs="Times New Roman"/>
                <w:sz w:val="15"/>
                <w:szCs w:val="15"/>
              </w:rPr>
              <w:t>0.001</w:t>
            </w:r>
            <w:r w:rsidR="004217C5">
              <w:rPr>
                <w:rFonts w:ascii="Times New Roman" w:hAnsi="Times New Roman" w:cs="Times New Roman"/>
                <w:color w:val="000000"/>
                <w:sz w:val="15"/>
                <w:szCs w:val="15"/>
              </w:rPr>
              <w:t>**</w:t>
            </w:r>
          </w:p>
          <w:p w14:paraId="08975942" w14:textId="77777777" w:rsidR="00D07D7B" w:rsidRPr="00FE2AA9" w:rsidRDefault="00D07D7B" w:rsidP="00D07D7B">
            <w:pPr>
              <w:rPr>
                <w:rFonts w:ascii="Times New Roman" w:hAnsi="Times New Roman" w:cs="Times New Roman"/>
                <w:sz w:val="15"/>
                <w:szCs w:val="15"/>
              </w:rPr>
            </w:pPr>
          </w:p>
        </w:tc>
        <w:tc>
          <w:tcPr>
            <w:tcW w:w="2158" w:type="dxa"/>
          </w:tcPr>
          <w:p w14:paraId="6BC579FD" w14:textId="77777777" w:rsidR="004C5276" w:rsidRPr="004C5276" w:rsidRDefault="004C5276" w:rsidP="004C5276">
            <w:pPr>
              <w:rPr>
                <w:rFonts w:ascii="Times New Roman" w:hAnsi="Times New Roman" w:cs="Times New Roman"/>
                <w:sz w:val="15"/>
                <w:szCs w:val="15"/>
              </w:rPr>
            </w:pPr>
            <w:r w:rsidRPr="004C5276">
              <w:rPr>
                <w:rFonts w:ascii="Times New Roman" w:hAnsi="Times New Roman" w:cs="Times New Roman"/>
                <w:sz w:val="15"/>
                <w:szCs w:val="15"/>
              </w:rPr>
              <w:t>0.690</w:t>
            </w:r>
          </w:p>
          <w:p w14:paraId="2A317A2E" w14:textId="77777777" w:rsidR="004C5276" w:rsidRPr="004C5276" w:rsidRDefault="004C5276" w:rsidP="004C5276">
            <w:pPr>
              <w:rPr>
                <w:rFonts w:ascii="Times New Roman" w:hAnsi="Times New Roman" w:cs="Times New Roman"/>
                <w:sz w:val="15"/>
                <w:szCs w:val="15"/>
              </w:rPr>
            </w:pPr>
            <w:r w:rsidRPr="004C5276">
              <w:rPr>
                <w:rFonts w:ascii="Times New Roman" w:hAnsi="Times New Roman" w:cs="Times New Roman"/>
                <w:sz w:val="15"/>
                <w:szCs w:val="15"/>
              </w:rPr>
              <w:t>0.860</w:t>
            </w:r>
          </w:p>
          <w:p w14:paraId="0CA92183" w14:textId="77777777" w:rsidR="004C5276" w:rsidRPr="004C5276" w:rsidRDefault="004C5276" w:rsidP="004C5276">
            <w:pPr>
              <w:rPr>
                <w:rFonts w:ascii="Times New Roman" w:hAnsi="Times New Roman" w:cs="Times New Roman"/>
                <w:sz w:val="15"/>
                <w:szCs w:val="15"/>
              </w:rPr>
            </w:pPr>
            <w:r w:rsidRPr="004C5276">
              <w:rPr>
                <w:rFonts w:ascii="Times New Roman" w:hAnsi="Times New Roman" w:cs="Times New Roman"/>
                <w:sz w:val="15"/>
                <w:szCs w:val="15"/>
              </w:rPr>
              <w:t>0.854</w:t>
            </w:r>
          </w:p>
          <w:p w14:paraId="2DBAD594" w14:textId="77777777" w:rsidR="004C5276" w:rsidRPr="004C5276" w:rsidRDefault="004C5276" w:rsidP="004C5276">
            <w:pPr>
              <w:rPr>
                <w:rFonts w:ascii="Times New Roman" w:hAnsi="Times New Roman" w:cs="Times New Roman"/>
                <w:sz w:val="15"/>
                <w:szCs w:val="15"/>
              </w:rPr>
            </w:pPr>
            <w:r w:rsidRPr="004C5276">
              <w:rPr>
                <w:rFonts w:ascii="Times New Roman" w:hAnsi="Times New Roman" w:cs="Times New Roman"/>
                <w:sz w:val="15"/>
                <w:szCs w:val="15"/>
              </w:rPr>
              <w:t>0.933</w:t>
            </w:r>
          </w:p>
          <w:p w14:paraId="63BE1A16" w14:textId="6320ED9E" w:rsidR="00D07D7B" w:rsidRPr="00FE2AA9" w:rsidRDefault="004C5276" w:rsidP="00D07D7B">
            <w:pPr>
              <w:rPr>
                <w:rFonts w:ascii="Times New Roman" w:hAnsi="Times New Roman" w:cs="Times New Roman"/>
                <w:sz w:val="15"/>
                <w:szCs w:val="15"/>
              </w:rPr>
            </w:pPr>
            <w:r w:rsidRPr="004C5276">
              <w:rPr>
                <w:rFonts w:ascii="Times New Roman" w:hAnsi="Times New Roman" w:cs="Times New Roman"/>
                <w:sz w:val="15"/>
                <w:szCs w:val="15"/>
              </w:rPr>
              <w:t>0.694</w:t>
            </w:r>
          </w:p>
        </w:tc>
      </w:tr>
      <w:tr w:rsidR="00D07D7B" w14:paraId="48C28396" w14:textId="77777777" w:rsidTr="005A295F">
        <w:tc>
          <w:tcPr>
            <w:tcW w:w="2157" w:type="dxa"/>
          </w:tcPr>
          <w:p w14:paraId="65D9EE17"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STEM</w:t>
            </w:r>
          </w:p>
        </w:tc>
        <w:tc>
          <w:tcPr>
            <w:tcW w:w="1888" w:type="dxa"/>
          </w:tcPr>
          <w:p w14:paraId="46451EF2" w14:textId="77777777" w:rsidR="004C5276" w:rsidRPr="004C5276" w:rsidRDefault="004C5276" w:rsidP="004C5276">
            <w:pPr>
              <w:rPr>
                <w:rFonts w:ascii="Times New Roman" w:hAnsi="Times New Roman" w:cs="Times New Roman"/>
                <w:color w:val="000000"/>
                <w:sz w:val="15"/>
                <w:szCs w:val="15"/>
              </w:rPr>
            </w:pPr>
            <w:r w:rsidRPr="004C5276">
              <w:rPr>
                <w:rFonts w:ascii="Times New Roman" w:hAnsi="Times New Roman" w:cs="Times New Roman"/>
                <w:color w:val="000000"/>
                <w:sz w:val="15"/>
                <w:szCs w:val="15"/>
              </w:rPr>
              <w:t>0.351</w:t>
            </w:r>
          </w:p>
          <w:p w14:paraId="2821A77C" w14:textId="77777777" w:rsidR="004C5276" w:rsidRPr="004C5276" w:rsidRDefault="004C5276" w:rsidP="004C5276">
            <w:pPr>
              <w:rPr>
                <w:rFonts w:ascii="Times New Roman" w:hAnsi="Times New Roman" w:cs="Times New Roman"/>
                <w:color w:val="000000"/>
                <w:sz w:val="15"/>
                <w:szCs w:val="15"/>
              </w:rPr>
            </w:pPr>
            <w:r w:rsidRPr="004C5276">
              <w:rPr>
                <w:rFonts w:ascii="Times New Roman" w:hAnsi="Times New Roman" w:cs="Times New Roman"/>
                <w:color w:val="000000"/>
                <w:sz w:val="15"/>
                <w:szCs w:val="15"/>
              </w:rPr>
              <w:t>0.077</w:t>
            </w:r>
          </w:p>
          <w:p w14:paraId="7FAC6382" w14:textId="77777777" w:rsidR="004C5276" w:rsidRPr="004C5276" w:rsidRDefault="004C5276" w:rsidP="004C5276">
            <w:pPr>
              <w:rPr>
                <w:rFonts w:ascii="Times New Roman" w:hAnsi="Times New Roman" w:cs="Times New Roman"/>
                <w:color w:val="000000"/>
                <w:sz w:val="15"/>
                <w:szCs w:val="15"/>
              </w:rPr>
            </w:pPr>
            <w:r w:rsidRPr="004C5276">
              <w:rPr>
                <w:rFonts w:ascii="Times New Roman" w:hAnsi="Times New Roman" w:cs="Times New Roman"/>
                <w:color w:val="000000"/>
                <w:sz w:val="15"/>
                <w:szCs w:val="15"/>
              </w:rPr>
              <w:t>0.203</w:t>
            </w:r>
          </w:p>
          <w:p w14:paraId="2D578CDE" w14:textId="77777777" w:rsidR="004C5276" w:rsidRPr="004C5276" w:rsidRDefault="004C5276" w:rsidP="004C5276">
            <w:pPr>
              <w:rPr>
                <w:rFonts w:ascii="Times New Roman" w:hAnsi="Times New Roman" w:cs="Times New Roman"/>
                <w:color w:val="000000"/>
                <w:sz w:val="15"/>
                <w:szCs w:val="15"/>
              </w:rPr>
            </w:pPr>
            <w:r w:rsidRPr="004C5276">
              <w:rPr>
                <w:rFonts w:ascii="Times New Roman" w:hAnsi="Times New Roman" w:cs="Times New Roman"/>
                <w:color w:val="000000"/>
                <w:sz w:val="15"/>
                <w:szCs w:val="15"/>
              </w:rPr>
              <w:t>0.475</w:t>
            </w:r>
          </w:p>
          <w:p w14:paraId="1EEF21D5" w14:textId="3B535968" w:rsidR="00D07D7B" w:rsidRPr="00FE2AA9" w:rsidRDefault="00D76E6B" w:rsidP="00D07D7B">
            <w:pPr>
              <w:rPr>
                <w:rFonts w:ascii="Times New Roman" w:hAnsi="Times New Roman" w:cs="Times New Roman"/>
                <w:color w:val="000000"/>
                <w:sz w:val="15"/>
                <w:szCs w:val="15"/>
              </w:rPr>
            </w:pPr>
            <w:r w:rsidRPr="00D76E6B">
              <w:rPr>
                <w:rFonts w:ascii="Times New Roman" w:hAnsi="Times New Roman" w:cs="Times New Roman"/>
                <w:color w:val="000000"/>
                <w:sz w:val="15"/>
                <w:szCs w:val="15"/>
              </w:rPr>
              <w:t>0.826</w:t>
            </w:r>
          </w:p>
        </w:tc>
        <w:tc>
          <w:tcPr>
            <w:tcW w:w="2427" w:type="dxa"/>
          </w:tcPr>
          <w:p w14:paraId="0C55E0D8" w14:textId="77777777" w:rsidR="008263AD" w:rsidRPr="008263AD" w:rsidRDefault="008263AD" w:rsidP="008263AD">
            <w:pPr>
              <w:rPr>
                <w:rFonts w:ascii="Times New Roman" w:hAnsi="Times New Roman" w:cs="Times New Roman"/>
                <w:color w:val="000000"/>
                <w:sz w:val="15"/>
                <w:szCs w:val="15"/>
              </w:rPr>
            </w:pPr>
            <w:r w:rsidRPr="008263AD">
              <w:rPr>
                <w:rFonts w:ascii="Times New Roman" w:hAnsi="Times New Roman" w:cs="Times New Roman"/>
                <w:color w:val="000000"/>
                <w:sz w:val="15"/>
                <w:szCs w:val="15"/>
              </w:rPr>
              <w:t>0.117</w:t>
            </w:r>
          </w:p>
          <w:p w14:paraId="0F8278D9" w14:textId="176135EC" w:rsidR="008263AD" w:rsidRPr="008263AD" w:rsidRDefault="008263AD" w:rsidP="008263AD">
            <w:pPr>
              <w:rPr>
                <w:rFonts w:ascii="Times New Roman" w:hAnsi="Times New Roman" w:cs="Times New Roman"/>
                <w:color w:val="000000"/>
                <w:sz w:val="15"/>
                <w:szCs w:val="15"/>
              </w:rPr>
            </w:pPr>
            <w:r w:rsidRPr="008263AD">
              <w:rPr>
                <w:rFonts w:ascii="Times New Roman" w:hAnsi="Times New Roman" w:cs="Times New Roman"/>
                <w:color w:val="000000"/>
                <w:sz w:val="15"/>
                <w:szCs w:val="15"/>
              </w:rPr>
              <w:t>0.002</w:t>
            </w:r>
            <w:r w:rsidR="004217C5">
              <w:rPr>
                <w:rFonts w:ascii="Times New Roman" w:hAnsi="Times New Roman" w:cs="Times New Roman"/>
                <w:color w:val="000000"/>
                <w:sz w:val="15"/>
                <w:szCs w:val="15"/>
              </w:rPr>
              <w:t>**</w:t>
            </w:r>
          </w:p>
          <w:p w14:paraId="312A2A7D" w14:textId="4C47A7F7" w:rsidR="008263AD" w:rsidRPr="008263AD" w:rsidRDefault="008263AD" w:rsidP="008263AD">
            <w:pPr>
              <w:rPr>
                <w:rFonts w:ascii="Times New Roman" w:hAnsi="Times New Roman" w:cs="Times New Roman"/>
                <w:color w:val="000000"/>
                <w:sz w:val="15"/>
                <w:szCs w:val="15"/>
              </w:rPr>
            </w:pPr>
            <w:r w:rsidRPr="008263AD">
              <w:rPr>
                <w:rFonts w:ascii="Times New Roman" w:hAnsi="Times New Roman" w:cs="Times New Roman"/>
                <w:color w:val="000000"/>
                <w:sz w:val="15"/>
                <w:szCs w:val="15"/>
              </w:rPr>
              <w:t>0.003</w:t>
            </w:r>
            <w:r w:rsidR="004217C5">
              <w:rPr>
                <w:rFonts w:ascii="Times New Roman" w:hAnsi="Times New Roman" w:cs="Times New Roman"/>
                <w:color w:val="000000"/>
                <w:sz w:val="15"/>
                <w:szCs w:val="15"/>
              </w:rPr>
              <w:t>**</w:t>
            </w:r>
          </w:p>
          <w:p w14:paraId="2ECF7F72" w14:textId="469DFA95" w:rsidR="008263AD" w:rsidRPr="008263AD" w:rsidRDefault="008263AD" w:rsidP="008263AD">
            <w:pPr>
              <w:rPr>
                <w:rFonts w:ascii="Times New Roman" w:hAnsi="Times New Roman" w:cs="Times New Roman"/>
                <w:color w:val="000000"/>
                <w:sz w:val="15"/>
                <w:szCs w:val="15"/>
              </w:rPr>
            </w:pPr>
            <w:r w:rsidRPr="008263AD">
              <w:rPr>
                <w:rFonts w:ascii="Times New Roman" w:hAnsi="Times New Roman" w:cs="Times New Roman"/>
                <w:color w:val="000000"/>
                <w:sz w:val="15"/>
                <w:szCs w:val="15"/>
              </w:rPr>
              <w:t>0.009</w:t>
            </w:r>
            <w:r w:rsidR="004217C5">
              <w:rPr>
                <w:rFonts w:ascii="Times New Roman" w:hAnsi="Times New Roman" w:cs="Times New Roman"/>
                <w:color w:val="000000"/>
                <w:sz w:val="15"/>
                <w:szCs w:val="15"/>
              </w:rPr>
              <w:t>**</w:t>
            </w:r>
          </w:p>
          <w:p w14:paraId="01F245D5" w14:textId="388AA411" w:rsidR="00D07D7B" w:rsidRPr="00FE2AA9" w:rsidRDefault="00D07D7B" w:rsidP="00D07D7B">
            <w:pPr>
              <w:rPr>
                <w:rFonts w:ascii="Times New Roman" w:hAnsi="Times New Roman" w:cs="Times New Roman"/>
                <w:color w:val="000000"/>
                <w:sz w:val="15"/>
                <w:szCs w:val="15"/>
              </w:rPr>
            </w:pPr>
          </w:p>
        </w:tc>
        <w:tc>
          <w:tcPr>
            <w:tcW w:w="2158" w:type="dxa"/>
          </w:tcPr>
          <w:p w14:paraId="097E9376" w14:textId="77777777" w:rsidR="00D76E6B" w:rsidRPr="00D76E6B" w:rsidRDefault="00D76E6B" w:rsidP="00D76E6B">
            <w:pPr>
              <w:rPr>
                <w:rFonts w:ascii="Times New Roman" w:hAnsi="Times New Roman" w:cs="Times New Roman"/>
                <w:color w:val="000000"/>
                <w:sz w:val="15"/>
                <w:szCs w:val="15"/>
              </w:rPr>
            </w:pPr>
            <w:r w:rsidRPr="00D76E6B">
              <w:rPr>
                <w:rFonts w:ascii="Times New Roman" w:hAnsi="Times New Roman" w:cs="Times New Roman"/>
                <w:color w:val="000000"/>
                <w:sz w:val="15"/>
                <w:szCs w:val="15"/>
              </w:rPr>
              <w:t>0.537</w:t>
            </w:r>
          </w:p>
          <w:p w14:paraId="772BB74F" w14:textId="77777777" w:rsidR="00D76E6B" w:rsidRPr="00D76E6B" w:rsidRDefault="00D76E6B" w:rsidP="00D76E6B">
            <w:pPr>
              <w:rPr>
                <w:rFonts w:ascii="Times New Roman" w:hAnsi="Times New Roman" w:cs="Times New Roman"/>
                <w:color w:val="000000"/>
                <w:sz w:val="15"/>
                <w:szCs w:val="15"/>
              </w:rPr>
            </w:pPr>
            <w:r w:rsidRPr="00D76E6B">
              <w:rPr>
                <w:rFonts w:ascii="Times New Roman" w:hAnsi="Times New Roman" w:cs="Times New Roman"/>
                <w:color w:val="000000"/>
                <w:sz w:val="15"/>
                <w:szCs w:val="15"/>
              </w:rPr>
              <w:t>0.653</w:t>
            </w:r>
          </w:p>
          <w:p w14:paraId="4766BA24" w14:textId="77777777" w:rsidR="008263AD" w:rsidRPr="008263AD" w:rsidRDefault="008263AD" w:rsidP="008263AD">
            <w:pPr>
              <w:rPr>
                <w:rFonts w:ascii="Times New Roman" w:hAnsi="Times New Roman" w:cs="Times New Roman"/>
                <w:color w:val="000000"/>
                <w:sz w:val="15"/>
                <w:szCs w:val="15"/>
              </w:rPr>
            </w:pPr>
            <w:r w:rsidRPr="008263AD">
              <w:rPr>
                <w:rFonts w:ascii="Times New Roman" w:hAnsi="Times New Roman" w:cs="Times New Roman"/>
                <w:color w:val="000000"/>
                <w:sz w:val="15"/>
                <w:szCs w:val="15"/>
              </w:rPr>
              <w:t>0.583</w:t>
            </w:r>
          </w:p>
          <w:p w14:paraId="39859C72" w14:textId="77777777" w:rsidR="008263AD" w:rsidRPr="008263AD" w:rsidRDefault="008263AD" w:rsidP="008263AD">
            <w:pPr>
              <w:rPr>
                <w:rFonts w:ascii="Times New Roman" w:hAnsi="Times New Roman" w:cs="Times New Roman"/>
                <w:color w:val="000000"/>
                <w:sz w:val="15"/>
                <w:szCs w:val="15"/>
              </w:rPr>
            </w:pPr>
            <w:r w:rsidRPr="008263AD">
              <w:rPr>
                <w:rFonts w:ascii="Times New Roman" w:hAnsi="Times New Roman" w:cs="Times New Roman"/>
                <w:color w:val="000000"/>
                <w:sz w:val="15"/>
                <w:szCs w:val="15"/>
              </w:rPr>
              <w:t>0.552</w:t>
            </w:r>
          </w:p>
          <w:p w14:paraId="346CB0AC" w14:textId="6AA401A4" w:rsidR="00D07D7B" w:rsidRPr="00FE2AA9" w:rsidRDefault="008263AD" w:rsidP="00D07D7B">
            <w:pPr>
              <w:rPr>
                <w:rFonts w:ascii="Times New Roman" w:hAnsi="Times New Roman" w:cs="Times New Roman"/>
                <w:color w:val="000000"/>
                <w:sz w:val="15"/>
                <w:szCs w:val="15"/>
              </w:rPr>
            </w:pPr>
            <w:r w:rsidRPr="008263AD">
              <w:rPr>
                <w:rFonts w:ascii="Times New Roman" w:hAnsi="Times New Roman" w:cs="Times New Roman"/>
                <w:color w:val="000000"/>
                <w:sz w:val="15"/>
                <w:szCs w:val="15"/>
              </w:rPr>
              <w:t>0.755</w:t>
            </w:r>
          </w:p>
        </w:tc>
      </w:tr>
      <w:tr w:rsidR="00D07D7B" w14:paraId="2FBCA6F0" w14:textId="77777777" w:rsidTr="005A295F">
        <w:tc>
          <w:tcPr>
            <w:tcW w:w="2157" w:type="dxa"/>
          </w:tcPr>
          <w:p w14:paraId="693EE7CF"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Trades</w:t>
            </w:r>
          </w:p>
        </w:tc>
        <w:tc>
          <w:tcPr>
            <w:tcW w:w="1888" w:type="dxa"/>
          </w:tcPr>
          <w:p w14:paraId="0AD91BF4" w14:textId="79F03CF9" w:rsidR="00D95C0C" w:rsidRPr="00D95C0C" w:rsidRDefault="00D95C0C" w:rsidP="00D95C0C">
            <w:pPr>
              <w:rPr>
                <w:rFonts w:ascii="Times New Roman" w:hAnsi="Times New Roman" w:cs="Times New Roman"/>
                <w:color w:val="000000"/>
                <w:sz w:val="15"/>
                <w:szCs w:val="15"/>
              </w:rPr>
            </w:pPr>
            <w:r w:rsidRPr="00D95C0C">
              <w:rPr>
                <w:rFonts w:ascii="Times New Roman" w:hAnsi="Times New Roman" w:cs="Times New Roman"/>
                <w:color w:val="000000"/>
                <w:sz w:val="15"/>
                <w:szCs w:val="15"/>
              </w:rPr>
              <w:t>0.046</w:t>
            </w:r>
            <w:r w:rsidR="003874BD">
              <w:rPr>
                <w:rFonts w:ascii="Times New Roman" w:hAnsi="Times New Roman" w:cs="Times New Roman"/>
                <w:color w:val="000000"/>
                <w:sz w:val="15"/>
                <w:szCs w:val="15"/>
              </w:rPr>
              <w:t>*</w:t>
            </w:r>
          </w:p>
          <w:p w14:paraId="08C39FC7" w14:textId="08F35428" w:rsidR="00D95C0C" w:rsidRPr="00D95C0C" w:rsidRDefault="00D95C0C" w:rsidP="00D95C0C">
            <w:pPr>
              <w:rPr>
                <w:rFonts w:ascii="Times New Roman" w:hAnsi="Times New Roman" w:cs="Times New Roman"/>
                <w:color w:val="000000"/>
                <w:sz w:val="15"/>
                <w:szCs w:val="15"/>
              </w:rPr>
            </w:pPr>
            <w:r w:rsidRPr="00D95C0C">
              <w:rPr>
                <w:rFonts w:ascii="Times New Roman" w:hAnsi="Times New Roman" w:cs="Times New Roman"/>
                <w:color w:val="000000"/>
                <w:sz w:val="15"/>
                <w:szCs w:val="15"/>
              </w:rPr>
              <w:t>0.023</w:t>
            </w:r>
            <w:r w:rsidR="003874BD">
              <w:rPr>
                <w:rFonts w:ascii="Times New Roman" w:hAnsi="Times New Roman" w:cs="Times New Roman"/>
                <w:color w:val="000000"/>
                <w:sz w:val="15"/>
                <w:szCs w:val="15"/>
              </w:rPr>
              <w:t>*</w:t>
            </w:r>
          </w:p>
          <w:p w14:paraId="193E27D9" w14:textId="54923B21" w:rsidR="00D95C0C" w:rsidRPr="00D95C0C" w:rsidRDefault="00D95C0C" w:rsidP="00D95C0C">
            <w:pPr>
              <w:rPr>
                <w:rFonts w:ascii="Times New Roman" w:hAnsi="Times New Roman" w:cs="Times New Roman"/>
                <w:color w:val="000000"/>
                <w:sz w:val="15"/>
                <w:szCs w:val="15"/>
              </w:rPr>
            </w:pPr>
            <w:r w:rsidRPr="00D95C0C">
              <w:rPr>
                <w:rFonts w:ascii="Times New Roman" w:hAnsi="Times New Roman" w:cs="Times New Roman"/>
                <w:color w:val="000000"/>
                <w:sz w:val="15"/>
                <w:szCs w:val="15"/>
              </w:rPr>
              <w:t>0.015</w:t>
            </w:r>
            <w:r w:rsidR="003874BD">
              <w:rPr>
                <w:rFonts w:ascii="Times New Roman" w:hAnsi="Times New Roman" w:cs="Times New Roman"/>
                <w:color w:val="000000"/>
                <w:sz w:val="15"/>
                <w:szCs w:val="15"/>
              </w:rPr>
              <w:t>*</w:t>
            </w:r>
          </w:p>
          <w:p w14:paraId="326FFF8F" w14:textId="77777777" w:rsidR="00D95C0C" w:rsidRPr="00D95C0C" w:rsidRDefault="00D95C0C" w:rsidP="00D95C0C">
            <w:pPr>
              <w:rPr>
                <w:rFonts w:ascii="Times New Roman" w:hAnsi="Times New Roman" w:cs="Times New Roman"/>
                <w:color w:val="000000"/>
                <w:sz w:val="15"/>
                <w:szCs w:val="15"/>
              </w:rPr>
            </w:pPr>
            <w:r w:rsidRPr="00D95C0C">
              <w:rPr>
                <w:rFonts w:ascii="Times New Roman" w:hAnsi="Times New Roman" w:cs="Times New Roman"/>
                <w:color w:val="000000"/>
                <w:sz w:val="15"/>
                <w:szCs w:val="15"/>
              </w:rPr>
              <w:t>0.250</w:t>
            </w:r>
          </w:p>
          <w:p w14:paraId="3F6DF618" w14:textId="5D2FEA84" w:rsidR="00D07D7B" w:rsidRPr="00FE2AA9" w:rsidRDefault="00D95C0C" w:rsidP="00D07D7B">
            <w:pPr>
              <w:rPr>
                <w:rFonts w:ascii="Times New Roman" w:hAnsi="Times New Roman" w:cs="Times New Roman"/>
                <w:color w:val="000000"/>
                <w:sz w:val="15"/>
                <w:szCs w:val="15"/>
              </w:rPr>
            </w:pPr>
            <w:r w:rsidRPr="00D95C0C">
              <w:rPr>
                <w:rFonts w:ascii="Times New Roman" w:hAnsi="Times New Roman" w:cs="Times New Roman"/>
                <w:color w:val="000000"/>
                <w:sz w:val="15"/>
                <w:szCs w:val="15"/>
              </w:rPr>
              <w:t>0.187</w:t>
            </w:r>
          </w:p>
        </w:tc>
        <w:tc>
          <w:tcPr>
            <w:tcW w:w="2427" w:type="dxa"/>
          </w:tcPr>
          <w:p w14:paraId="062E8DCC" w14:textId="35A2FB79" w:rsidR="00D95C0C" w:rsidRPr="00D95C0C" w:rsidRDefault="00D95C0C" w:rsidP="00D95C0C">
            <w:pPr>
              <w:rPr>
                <w:rFonts w:ascii="Times New Roman" w:hAnsi="Times New Roman" w:cs="Times New Roman"/>
                <w:sz w:val="15"/>
                <w:szCs w:val="15"/>
              </w:rPr>
            </w:pPr>
            <w:r w:rsidRPr="00D95C0C">
              <w:rPr>
                <w:rFonts w:ascii="Times New Roman" w:hAnsi="Times New Roman" w:cs="Times New Roman"/>
                <w:sz w:val="15"/>
                <w:szCs w:val="15"/>
              </w:rPr>
              <w:t>0.045</w:t>
            </w:r>
            <w:r w:rsidR="004217C5">
              <w:rPr>
                <w:rFonts w:ascii="Times New Roman" w:hAnsi="Times New Roman" w:cs="Times New Roman"/>
                <w:color w:val="000000"/>
                <w:sz w:val="15"/>
                <w:szCs w:val="15"/>
              </w:rPr>
              <w:t>*</w:t>
            </w:r>
          </w:p>
          <w:p w14:paraId="765577D0" w14:textId="48962686" w:rsidR="00D95C0C" w:rsidRPr="00D95C0C" w:rsidRDefault="00D95C0C" w:rsidP="00D95C0C">
            <w:pPr>
              <w:rPr>
                <w:rFonts w:ascii="Times New Roman" w:hAnsi="Times New Roman" w:cs="Times New Roman"/>
                <w:sz w:val="15"/>
                <w:szCs w:val="15"/>
              </w:rPr>
            </w:pPr>
            <w:r w:rsidRPr="00D95C0C">
              <w:rPr>
                <w:rFonts w:ascii="Times New Roman" w:hAnsi="Times New Roman" w:cs="Times New Roman"/>
                <w:sz w:val="15"/>
                <w:szCs w:val="15"/>
              </w:rPr>
              <w:t>0.014</w:t>
            </w:r>
            <w:r w:rsidR="004217C5">
              <w:rPr>
                <w:rFonts w:ascii="Times New Roman" w:hAnsi="Times New Roman" w:cs="Times New Roman"/>
                <w:color w:val="000000"/>
                <w:sz w:val="15"/>
                <w:szCs w:val="15"/>
              </w:rPr>
              <w:t>*</w:t>
            </w:r>
          </w:p>
          <w:p w14:paraId="6BE2CF61" w14:textId="0DDB2F48" w:rsidR="00D95C0C" w:rsidRPr="00D95C0C" w:rsidRDefault="00D95C0C" w:rsidP="00D95C0C">
            <w:pPr>
              <w:rPr>
                <w:rFonts w:ascii="Times New Roman" w:hAnsi="Times New Roman" w:cs="Times New Roman"/>
                <w:sz w:val="15"/>
                <w:szCs w:val="15"/>
              </w:rPr>
            </w:pPr>
            <w:r w:rsidRPr="00D95C0C">
              <w:rPr>
                <w:rFonts w:ascii="Times New Roman" w:hAnsi="Times New Roman" w:cs="Times New Roman"/>
                <w:sz w:val="15"/>
                <w:szCs w:val="15"/>
              </w:rPr>
              <w:t>0.007</w:t>
            </w:r>
            <w:r w:rsidR="004217C5">
              <w:rPr>
                <w:rFonts w:ascii="Times New Roman" w:hAnsi="Times New Roman" w:cs="Times New Roman"/>
                <w:color w:val="000000"/>
                <w:sz w:val="15"/>
                <w:szCs w:val="15"/>
              </w:rPr>
              <w:t>**</w:t>
            </w:r>
          </w:p>
          <w:p w14:paraId="3E46CF72" w14:textId="77777777" w:rsidR="00D95C0C" w:rsidRPr="00D95C0C" w:rsidRDefault="00D95C0C" w:rsidP="00D95C0C">
            <w:pPr>
              <w:rPr>
                <w:rFonts w:ascii="Times New Roman" w:hAnsi="Times New Roman" w:cs="Times New Roman"/>
                <w:sz w:val="15"/>
                <w:szCs w:val="15"/>
              </w:rPr>
            </w:pPr>
            <w:r w:rsidRPr="00D95C0C">
              <w:rPr>
                <w:rFonts w:ascii="Times New Roman" w:hAnsi="Times New Roman" w:cs="Times New Roman"/>
                <w:sz w:val="15"/>
                <w:szCs w:val="15"/>
              </w:rPr>
              <w:t>0.104</w:t>
            </w:r>
          </w:p>
          <w:p w14:paraId="7A24924C" w14:textId="77777777" w:rsidR="00D07D7B" w:rsidRPr="00FE2AA9" w:rsidRDefault="00D07D7B" w:rsidP="00D07D7B">
            <w:pPr>
              <w:rPr>
                <w:rFonts w:ascii="Times New Roman" w:hAnsi="Times New Roman" w:cs="Times New Roman"/>
                <w:sz w:val="15"/>
                <w:szCs w:val="15"/>
              </w:rPr>
            </w:pPr>
          </w:p>
        </w:tc>
        <w:tc>
          <w:tcPr>
            <w:tcW w:w="2158" w:type="dxa"/>
          </w:tcPr>
          <w:p w14:paraId="6187134A" w14:textId="4436EC6D" w:rsidR="00D95C0C" w:rsidRPr="00D95C0C" w:rsidRDefault="00D95C0C" w:rsidP="00D95C0C">
            <w:pPr>
              <w:rPr>
                <w:rFonts w:ascii="Times New Roman" w:hAnsi="Times New Roman" w:cs="Times New Roman"/>
                <w:color w:val="000000"/>
                <w:sz w:val="15"/>
                <w:szCs w:val="15"/>
              </w:rPr>
            </w:pPr>
            <w:r w:rsidRPr="00D95C0C">
              <w:rPr>
                <w:rFonts w:ascii="Times New Roman" w:hAnsi="Times New Roman" w:cs="Times New Roman"/>
                <w:color w:val="000000"/>
                <w:sz w:val="15"/>
                <w:szCs w:val="15"/>
              </w:rPr>
              <w:t>0.043</w:t>
            </w:r>
            <w:r w:rsidR="004217C5">
              <w:rPr>
                <w:rFonts w:ascii="Times New Roman" w:hAnsi="Times New Roman" w:cs="Times New Roman"/>
                <w:color w:val="000000"/>
                <w:sz w:val="15"/>
                <w:szCs w:val="15"/>
              </w:rPr>
              <w:t>*</w:t>
            </w:r>
          </w:p>
          <w:p w14:paraId="01F9AA01" w14:textId="5096CCAD" w:rsidR="00D95C0C" w:rsidRPr="00D95C0C" w:rsidRDefault="00D95C0C" w:rsidP="00D95C0C">
            <w:pPr>
              <w:rPr>
                <w:rFonts w:ascii="Times New Roman" w:hAnsi="Times New Roman" w:cs="Times New Roman"/>
                <w:color w:val="000000"/>
                <w:sz w:val="15"/>
                <w:szCs w:val="15"/>
              </w:rPr>
            </w:pPr>
            <w:r w:rsidRPr="00D95C0C">
              <w:rPr>
                <w:rFonts w:ascii="Times New Roman" w:hAnsi="Times New Roman" w:cs="Times New Roman"/>
                <w:color w:val="000000"/>
                <w:sz w:val="15"/>
                <w:szCs w:val="15"/>
              </w:rPr>
              <w:t>0.013</w:t>
            </w:r>
            <w:r w:rsidR="004217C5">
              <w:rPr>
                <w:rFonts w:ascii="Times New Roman" w:hAnsi="Times New Roman" w:cs="Times New Roman"/>
                <w:color w:val="000000"/>
                <w:sz w:val="15"/>
                <w:szCs w:val="15"/>
              </w:rPr>
              <w:t>*</w:t>
            </w:r>
          </w:p>
          <w:p w14:paraId="0AD995CA" w14:textId="77777777" w:rsidR="00D95C0C" w:rsidRPr="00D95C0C" w:rsidRDefault="00D95C0C" w:rsidP="00D95C0C">
            <w:pPr>
              <w:rPr>
                <w:rFonts w:ascii="Times New Roman" w:hAnsi="Times New Roman" w:cs="Times New Roman"/>
                <w:color w:val="000000"/>
                <w:sz w:val="15"/>
                <w:szCs w:val="15"/>
              </w:rPr>
            </w:pPr>
            <w:r w:rsidRPr="00D95C0C">
              <w:rPr>
                <w:rFonts w:ascii="Times New Roman" w:hAnsi="Times New Roman" w:cs="Times New Roman"/>
                <w:color w:val="000000"/>
                <w:sz w:val="15"/>
                <w:szCs w:val="15"/>
              </w:rPr>
              <w:t>0.074</w:t>
            </w:r>
          </w:p>
          <w:p w14:paraId="06E78061" w14:textId="77777777" w:rsidR="00D95C0C" w:rsidRPr="00D95C0C" w:rsidRDefault="00D95C0C" w:rsidP="00D95C0C">
            <w:pPr>
              <w:rPr>
                <w:rFonts w:ascii="Times New Roman" w:hAnsi="Times New Roman" w:cs="Times New Roman"/>
                <w:color w:val="000000"/>
                <w:sz w:val="15"/>
                <w:szCs w:val="15"/>
              </w:rPr>
            </w:pPr>
            <w:r w:rsidRPr="00D95C0C">
              <w:rPr>
                <w:rFonts w:ascii="Times New Roman" w:hAnsi="Times New Roman" w:cs="Times New Roman"/>
                <w:color w:val="000000"/>
                <w:sz w:val="15"/>
                <w:szCs w:val="15"/>
              </w:rPr>
              <w:t>0.061</w:t>
            </w:r>
          </w:p>
          <w:p w14:paraId="1B4B3854" w14:textId="77E613E9" w:rsidR="00D07D7B" w:rsidRPr="00FE2AA9" w:rsidRDefault="00D95C0C" w:rsidP="00D07D7B">
            <w:pPr>
              <w:rPr>
                <w:rFonts w:ascii="Times New Roman" w:hAnsi="Times New Roman" w:cs="Times New Roman"/>
                <w:color w:val="000000"/>
                <w:sz w:val="15"/>
                <w:szCs w:val="15"/>
              </w:rPr>
            </w:pPr>
            <w:r w:rsidRPr="00D95C0C">
              <w:rPr>
                <w:rFonts w:ascii="Times New Roman" w:hAnsi="Times New Roman" w:cs="Times New Roman"/>
                <w:color w:val="000000"/>
                <w:sz w:val="15"/>
                <w:szCs w:val="15"/>
              </w:rPr>
              <w:t>0.028</w:t>
            </w:r>
            <w:r w:rsidR="004217C5">
              <w:rPr>
                <w:rFonts w:ascii="Times New Roman" w:hAnsi="Times New Roman" w:cs="Times New Roman"/>
                <w:color w:val="000000"/>
                <w:sz w:val="15"/>
                <w:szCs w:val="15"/>
              </w:rPr>
              <w:t>*</w:t>
            </w:r>
          </w:p>
        </w:tc>
      </w:tr>
      <w:tr w:rsidR="00D07D7B" w14:paraId="3879D76A" w14:textId="77777777" w:rsidTr="005A295F">
        <w:tc>
          <w:tcPr>
            <w:tcW w:w="2157" w:type="dxa"/>
          </w:tcPr>
          <w:p w14:paraId="735D1668"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Lib Arts</w:t>
            </w:r>
          </w:p>
        </w:tc>
        <w:tc>
          <w:tcPr>
            <w:tcW w:w="1888" w:type="dxa"/>
          </w:tcPr>
          <w:p w14:paraId="624DEA3A" w14:textId="4F54F454" w:rsidR="00DE2E6A" w:rsidRPr="00DE2E6A" w:rsidRDefault="00DE2E6A" w:rsidP="00DE2E6A">
            <w:pPr>
              <w:rPr>
                <w:rFonts w:ascii="Times New Roman" w:hAnsi="Times New Roman" w:cs="Times New Roman"/>
                <w:color w:val="000000"/>
                <w:sz w:val="15"/>
                <w:szCs w:val="15"/>
              </w:rPr>
            </w:pPr>
            <w:r w:rsidRPr="00DE2E6A">
              <w:rPr>
                <w:rFonts w:ascii="Times New Roman" w:hAnsi="Times New Roman" w:cs="Times New Roman"/>
                <w:color w:val="000000"/>
                <w:sz w:val="15"/>
                <w:szCs w:val="15"/>
              </w:rPr>
              <w:t>0.047</w:t>
            </w:r>
            <w:r w:rsidR="004217C5">
              <w:rPr>
                <w:rFonts w:ascii="Times New Roman" w:hAnsi="Times New Roman" w:cs="Times New Roman"/>
                <w:color w:val="000000"/>
                <w:sz w:val="15"/>
                <w:szCs w:val="15"/>
              </w:rPr>
              <w:t>*</w:t>
            </w:r>
          </w:p>
          <w:p w14:paraId="6880EA35" w14:textId="2EB0CA7D" w:rsidR="00DE2E6A" w:rsidRPr="00DE2E6A" w:rsidRDefault="00DE2E6A" w:rsidP="00DE2E6A">
            <w:pPr>
              <w:rPr>
                <w:rFonts w:ascii="Times New Roman" w:hAnsi="Times New Roman" w:cs="Times New Roman"/>
                <w:color w:val="000000"/>
                <w:sz w:val="15"/>
                <w:szCs w:val="15"/>
              </w:rPr>
            </w:pPr>
            <w:r w:rsidRPr="00DE2E6A">
              <w:rPr>
                <w:rFonts w:ascii="Times New Roman" w:hAnsi="Times New Roman" w:cs="Times New Roman"/>
                <w:color w:val="000000"/>
                <w:sz w:val="15"/>
                <w:szCs w:val="15"/>
              </w:rPr>
              <w:t>0.042</w:t>
            </w:r>
            <w:r w:rsidR="004217C5">
              <w:rPr>
                <w:rFonts w:ascii="Times New Roman" w:hAnsi="Times New Roman" w:cs="Times New Roman"/>
                <w:color w:val="000000"/>
                <w:sz w:val="15"/>
                <w:szCs w:val="15"/>
              </w:rPr>
              <w:t>*</w:t>
            </w:r>
          </w:p>
          <w:p w14:paraId="33BBD03C" w14:textId="77777777" w:rsidR="00DE2E6A" w:rsidRPr="00DE2E6A" w:rsidRDefault="00DE2E6A" w:rsidP="00DE2E6A">
            <w:pPr>
              <w:rPr>
                <w:rFonts w:ascii="Times New Roman" w:hAnsi="Times New Roman" w:cs="Times New Roman"/>
                <w:color w:val="000000"/>
                <w:sz w:val="15"/>
                <w:szCs w:val="15"/>
              </w:rPr>
            </w:pPr>
            <w:r w:rsidRPr="00DE2E6A">
              <w:rPr>
                <w:rFonts w:ascii="Times New Roman" w:hAnsi="Times New Roman" w:cs="Times New Roman"/>
                <w:color w:val="000000"/>
                <w:sz w:val="15"/>
                <w:szCs w:val="15"/>
              </w:rPr>
              <w:t>0.065</w:t>
            </w:r>
          </w:p>
          <w:p w14:paraId="3EFB944F" w14:textId="44027E37" w:rsidR="00DE2E6A" w:rsidRPr="00DE2E6A" w:rsidRDefault="00DE2E6A" w:rsidP="00DE2E6A">
            <w:pPr>
              <w:rPr>
                <w:rFonts w:ascii="Times New Roman" w:hAnsi="Times New Roman" w:cs="Times New Roman"/>
                <w:color w:val="000000"/>
                <w:sz w:val="15"/>
                <w:szCs w:val="15"/>
              </w:rPr>
            </w:pPr>
            <w:r w:rsidRPr="00DE2E6A">
              <w:rPr>
                <w:rFonts w:ascii="Times New Roman" w:hAnsi="Times New Roman" w:cs="Times New Roman"/>
                <w:color w:val="000000"/>
                <w:sz w:val="15"/>
                <w:szCs w:val="15"/>
              </w:rPr>
              <w:t>0.023</w:t>
            </w:r>
            <w:r w:rsidR="004217C5">
              <w:rPr>
                <w:rFonts w:ascii="Times New Roman" w:hAnsi="Times New Roman" w:cs="Times New Roman"/>
                <w:color w:val="000000"/>
                <w:sz w:val="15"/>
                <w:szCs w:val="15"/>
              </w:rPr>
              <w:t>*</w:t>
            </w:r>
          </w:p>
          <w:p w14:paraId="68791472" w14:textId="62F3F4C8" w:rsidR="00D07D7B" w:rsidRPr="00FE2AA9" w:rsidRDefault="00DE2E6A" w:rsidP="00D07D7B">
            <w:pPr>
              <w:rPr>
                <w:rFonts w:ascii="Times New Roman" w:hAnsi="Times New Roman" w:cs="Times New Roman"/>
                <w:color w:val="000000"/>
                <w:sz w:val="15"/>
                <w:szCs w:val="15"/>
              </w:rPr>
            </w:pPr>
            <w:r w:rsidRPr="00DE2E6A">
              <w:rPr>
                <w:rFonts w:ascii="Times New Roman" w:hAnsi="Times New Roman" w:cs="Times New Roman"/>
                <w:color w:val="000000"/>
                <w:sz w:val="15"/>
                <w:szCs w:val="15"/>
              </w:rPr>
              <w:t>0.004</w:t>
            </w:r>
            <w:r w:rsidR="004217C5">
              <w:rPr>
                <w:rFonts w:ascii="Times New Roman" w:hAnsi="Times New Roman" w:cs="Times New Roman"/>
                <w:color w:val="000000"/>
                <w:sz w:val="15"/>
                <w:szCs w:val="15"/>
              </w:rPr>
              <w:t>**</w:t>
            </w:r>
          </w:p>
        </w:tc>
        <w:tc>
          <w:tcPr>
            <w:tcW w:w="2427" w:type="dxa"/>
          </w:tcPr>
          <w:p w14:paraId="10665B93" w14:textId="77777777" w:rsidR="008023B0" w:rsidRPr="008023B0" w:rsidRDefault="008023B0" w:rsidP="008023B0">
            <w:pPr>
              <w:rPr>
                <w:rFonts w:ascii="Times New Roman" w:hAnsi="Times New Roman" w:cs="Times New Roman"/>
                <w:color w:val="000000"/>
                <w:sz w:val="15"/>
                <w:szCs w:val="15"/>
              </w:rPr>
            </w:pPr>
            <w:r w:rsidRPr="008023B0">
              <w:rPr>
                <w:rFonts w:ascii="Times New Roman" w:hAnsi="Times New Roman" w:cs="Times New Roman"/>
                <w:color w:val="000000"/>
                <w:sz w:val="15"/>
                <w:szCs w:val="15"/>
              </w:rPr>
              <w:t>0.063</w:t>
            </w:r>
          </w:p>
          <w:p w14:paraId="359CBC57" w14:textId="77777777" w:rsidR="008023B0" w:rsidRPr="008023B0" w:rsidRDefault="008023B0" w:rsidP="008023B0">
            <w:pPr>
              <w:rPr>
                <w:rFonts w:ascii="Times New Roman" w:hAnsi="Times New Roman" w:cs="Times New Roman"/>
                <w:color w:val="000000"/>
                <w:sz w:val="15"/>
                <w:szCs w:val="15"/>
              </w:rPr>
            </w:pPr>
            <w:r w:rsidRPr="008023B0">
              <w:rPr>
                <w:rFonts w:ascii="Times New Roman" w:hAnsi="Times New Roman" w:cs="Times New Roman"/>
                <w:color w:val="000000"/>
                <w:sz w:val="15"/>
                <w:szCs w:val="15"/>
              </w:rPr>
              <w:t>0.087</w:t>
            </w:r>
          </w:p>
          <w:p w14:paraId="61444D6A" w14:textId="77777777" w:rsidR="008023B0" w:rsidRPr="008023B0" w:rsidRDefault="008023B0" w:rsidP="008023B0">
            <w:pPr>
              <w:rPr>
                <w:rFonts w:ascii="Times New Roman" w:hAnsi="Times New Roman" w:cs="Times New Roman"/>
                <w:color w:val="000000"/>
                <w:sz w:val="15"/>
                <w:szCs w:val="15"/>
              </w:rPr>
            </w:pPr>
            <w:r w:rsidRPr="008023B0">
              <w:rPr>
                <w:rFonts w:ascii="Times New Roman" w:hAnsi="Times New Roman" w:cs="Times New Roman"/>
                <w:color w:val="000000"/>
                <w:sz w:val="15"/>
                <w:szCs w:val="15"/>
              </w:rPr>
              <w:t>0.337</w:t>
            </w:r>
          </w:p>
          <w:p w14:paraId="5786E6EB" w14:textId="77777777" w:rsidR="008023B0" w:rsidRPr="008023B0" w:rsidRDefault="008023B0" w:rsidP="008023B0">
            <w:pPr>
              <w:rPr>
                <w:rFonts w:ascii="Times New Roman" w:hAnsi="Times New Roman" w:cs="Times New Roman"/>
                <w:color w:val="000000"/>
                <w:sz w:val="15"/>
                <w:szCs w:val="15"/>
              </w:rPr>
            </w:pPr>
            <w:r w:rsidRPr="008023B0">
              <w:rPr>
                <w:rFonts w:ascii="Times New Roman" w:hAnsi="Times New Roman" w:cs="Times New Roman"/>
                <w:color w:val="000000"/>
                <w:sz w:val="15"/>
                <w:szCs w:val="15"/>
              </w:rPr>
              <w:t>0.128</w:t>
            </w:r>
          </w:p>
          <w:p w14:paraId="25E27559" w14:textId="7F232A1B" w:rsidR="00D07D7B" w:rsidRPr="00FE2AA9" w:rsidRDefault="00D07D7B" w:rsidP="00D07D7B">
            <w:pPr>
              <w:rPr>
                <w:rFonts w:ascii="Times New Roman" w:hAnsi="Times New Roman" w:cs="Times New Roman"/>
                <w:color w:val="000000"/>
                <w:sz w:val="15"/>
                <w:szCs w:val="15"/>
              </w:rPr>
            </w:pPr>
          </w:p>
        </w:tc>
        <w:tc>
          <w:tcPr>
            <w:tcW w:w="2158" w:type="dxa"/>
          </w:tcPr>
          <w:p w14:paraId="3EDD0829" w14:textId="1547A087" w:rsidR="00DE2E6A" w:rsidRPr="00DE2E6A" w:rsidRDefault="00DE2E6A" w:rsidP="00DE2E6A">
            <w:pPr>
              <w:rPr>
                <w:rFonts w:ascii="Times New Roman" w:hAnsi="Times New Roman" w:cs="Times New Roman"/>
                <w:sz w:val="15"/>
                <w:szCs w:val="15"/>
              </w:rPr>
            </w:pPr>
            <w:r w:rsidRPr="00DE2E6A">
              <w:rPr>
                <w:rFonts w:ascii="Times New Roman" w:hAnsi="Times New Roman" w:cs="Times New Roman"/>
                <w:sz w:val="15"/>
                <w:szCs w:val="15"/>
              </w:rPr>
              <w:t>0.000</w:t>
            </w:r>
            <w:r w:rsidR="004217C5">
              <w:rPr>
                <w:rFonts w:ascii="Times New Roman" w:hAnsi="Times New Roman" w:cs="Times New Roman"/>
                <w:color w:val="000000"/>
                <w:sz w:val="15"/>
                <w:szCs w:val="15"/>
              </w:rPr>
              <w:t>***</w:t>
            </w:r>
          </w:p>
          <w:p w14:paraId="6F64DEE9" w14:textId="132CE6ED" w:rsidR="00342292" w:rsidRPr="00DE2E6A" w:rsidRDefault="00342292" w:rsidP="00342292">
            <w:pPr>
              <w:rPr>
                <w:rFonts w:ascii="Times New Roman" w:hAnsi="Times New Roman" w:cs="Times New Roman"/>
                <w:sz w:val="15"/>
                <w:szCs w:val="15"/>
              </w:rPr>
            </w:pPr>
            <w:r w:rsidRPr="00DE2E6A">
              <w:rPr>
                <w:rFonts w:ascii="Times New Roman" w:hAnsi="Times New Roman" w:cs="Times New Roman"/>
                <w:sz w:val="15"/>
                <w:szCs w:val="15"/>
              </w:rPr>
              <w:t>0.000</w:t>
            </w:r>
            <w:r w:rsidR="004217C5">
              <w:rPr>
                <w:rFonts w:ascii="Times New Roman" w:hAnsi="Times New Roman" w:cs="Times New Roman"/>
                <w:color w:val="000000"/>
                <w:sz w:val="15"/>
                <w:szCs w:val="15"/>
              </w:rPr>
              <w:t>***</w:t>
            </w:r>
          </w:p>
          <w:p w14:paraId="22B5CE91" w14:textId="7C025D02" w:rsidR="00DE2E6A" w:rsidRPr="00DE2E6A" w:rsidRDefault="00DE2E6A" w:rsidP="00DE2E6A">
            <w:pPr>
              <w:rPr>
                <w:rFonts w:ascii="Times New Roman" w:hAnsi="Times New Roman" w:cs="Times New Roman"/>
                <w:sz w:val="15"/>
                <w:szCs w:val="15"/>
              </w:rPr>
            </w:pPr>
            <w:r w:rsidRPr="00DE2E6A">
              <w:rPr>
                <w:rFonts w:ascii="Times New Roman" w:hAnsi="Times New Roman" w:cs="Times New Roman"/>
                <w:sz w:val="15"/>
                <w:szCs w:val="15"/>
              </w:rPr>
              <w:t>0.000</w:t>
            </w:r>
            <w:r w:rsidR="004217C5">
              <w:rPr>
                <w:rFonts w:ascii="Times New Roman" w:hAnsi="Times New Roman" w:cs="Times New Roman"/>
                <w:color w:val="000000"/>
                <w:sz w:val="15"/>
                <w:szCs w:val="15"/>
              </w:rPr>
              <w:t>***</w:t>
            </w:r>
          </w:p>
          <w:p w14:paraId="123F0416" w14:textId="5A683B7F" w:rsidR="00DE2E6A" w:rsidRPr="00DE2E6A" w:rsidRDefault="00DE2E6A" w:rsidP="00DE2E6A">
            <w:pPr>
              <w:rPr>
                <w:rFonts w:ascii="Times New Roman" w:hAnsi="Times New Roman" w:cs="Times New Roman"/>
                <w:sz w:val="15"/>
                <w:szCs w:val="15"/>
              </w:rPr>
            </w:pPr>
            <w:r w:rsidRPr="00DE2E6A">
              <w:rPr>
                <w:rFonts w:ascii="Times New Roman" w:hAnsi="Times New Roman" w:cs="Times New Roman"/>
                <w:sz w:val="15"/>
                <w:szCs w:val="15"/>
              </w:rPr>
              <w:t>0.000</w:t>
            </w:r>
            <w:r w:rsidR="004217C5">
              <w:rPr>
                <w:rFonts w:ascii="Times New Roman" w:hAnsi="Times New Roman" w:cs="Times New Roman"/>
                <w:color w:val="000000"/>
                <w:sz w:val="15"/>
                <w:szCs w:val="15"/>
              </w:rPr>
              <w:t>***</w:t>
            </w:r>
          </w:p>
          <w:p w14:paraId="45DFDEF9" w14:textId="61470919" w:rsidR="00D07D7B" w:rsidRPr="00FE2AA9" w:rsidRDefault="0034570A" w:rsidP="00D07D7B">
            <w:pPr>
              <w:rPr>
                <w:rFonts w:ascii="Times New Roman" w:hAnsi="Times New Roman" w:cs="Times New Roman"/>
                <w:sz w:val="15"/>
                <w:szCs w:val="15"/>
              </w:rPr>
            </w:pPr>
            <w:r w:rsidRPr="0034570A">
              <w:rPr>
                <w:rFonts w:ascii="Times New Roman" w:hAnsi="Times New Roman" w:cs="Times New Roman"/>
                <w:sz w:val="15"/>
                <w:szCs w:val="15"/>
              </w:rPr>
              <w:t>0.000</w:t>
            </w:r>
            <w:r w:rsidR="004217C5">
              <w:rPr>
                <w:rFonts w:ascii="Times New Roman" w:hAnsi="Times New Roman" w:cs="Times New Roman"/>
                <w:color w:val="000000"/>
                <w:sz w:val="15"/>
                <w:szCs w:val="15"/>
              </w:rPr>
              <w:t>***</w:t>
            </w:r>
          </w:p>
        </w:tc>
      </w:tr>
      <w:tr w:rsidR="00D07D7B" w14:paraId="769823C1" w14:textId="77777777" w:rsidTr="005A295F">
        <w:tc>
          <w:tcPr>
            <w:tcW w:w="2157" w:type="dxa"/>
          </w:tcPr>
          <w:p w14:paraId="3549D8FF"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 xml:space="preserve">Pro. Services </w:t>
            </w:r>
          </w:p>
        </w:tc>
        <w:tc>
          <w:tcPr>
            <w:tcW w:w="1888" w:type="dxa"/>
          </w:tcPr>
          <w:p w14:paraId="1BB6723E" w14:textId="77777777" w:rsidR="008023B0" w:rsidRPr="008023B0" w:rsidRDefault="008023B0" w:rsidP="008023B0">
            <w:pPr>
              <w:rPr>
                <w:rFonts w:ascii="Times New Roman" w:hAnsi="Times New Roman" w:cs="Times New Roman"/>
                <w:color w:val="000000"/>
                <w:sz w:val="15"/>
                <w:szCs w:val="15"/>
              </w:rPr>
            </w:pPr>
            <w:r w:rsidRPr="008023B0">
              <w:rPr>
                <w:rFonts w:ascii="Times New Roman" w:hAnsi="Times New Roman" w:cs="Times New Roman"/>
                <w:color w:val="000000"/>
                <w:sz w:val="15"/>
                <w:szCs w:val="15"/>
              </w:rPr>
              <w:t>0.278</w:t>
            </w:r>
          </w:p>
          <w:p w14:paraId="1F3422DD" w14:textId="77777777" w:rsidR="004C4B6E" w:rsidRPr="004C4B6E" w:rsidRDefault="004C4B6E" w:rsidP="004C4B6E">
            <w:pPr>
              <w:rPr>
                <w:rFonts w:ascii="Times New Roman" w:hAnsi="Times New Roman" w:cs="Times New Roman"/>
                <w:color w:val="000000"/>
                <w:sz w:val="15"/>
                <w:szCs w:val="15"/>
              </w:rPr>
            </w:pPr>
            <w:r w:rsidRPr="004C4B6E">
              <w:rPr>
                <w:rFonts w:ascii="Times New Roman" w:hAnsi="Times New Roman" w:cs="Times New Roman"/>
                <w:color w:val="000000"/>
                <w:sz w:val="15"/>
                <w:szCs w:val="15"/>
              </w:rPr>
              <w:t>0.078</w:t>
            </w:r>
          </w:p>
          <w:p w14:paraId="215A3EF7" w14:textId="7E5C9CE1" w:rsidR="004C4B6E" w:rsidRPr="004C4B6E" w:rsidRDefault="004C4B6E" w:rsidP="004C4B6E">
            <w:pPr>
              <w:rPr>
                <w:rFonts w:ascii="Times New Roman" w:hAnsi="Times New Roman" w:cs="Times New Roman"/>
                <w:color w:val="000000"/>
                <w:sz w:val="15"/>
                <w:szCs w:val="15"/>
              </w:rPr>
            </w:pPr>
            <w:r w:rsidRPr="004C4B6E">
              <w:rPr>
                <w:rFonts w:ascii="Times New Roman" w:hAnsi="Times New Roman" w:cs="Times New Roman"/>
                <w:color w:val="000000"/>
                <w:sz w:val="15"/>
                <w:szCs w:val="15"/>
              </w:rPr>
              <w:t>0.039</w:t>
            </w:r>
            <w:r w:rsidR="004217C5">
              <w:rPr>
                <w:rFonts w:ascii="Times New Roman" w:hAnsi="Times New Roman" w:cs="Times New Roman"/>
                <w:color w:val="000000"/>
                <w:sz w:val="15"/>
                <w:szCs w:val="15"/>
              </w:rPr>
              <w:t>*</w:t>
            </w:r>
          </w:p>
          <w:p w14:paraId="1ED9B7AA" w14:textId="77777777" w:rsidR="004C4B6E" w:rsidRPr="004C4B6E" w:rsidRDefault="004C4B6E" w:rsidP="004C4B6E">
            <w:pPr>
              <w:rPr>
                <w:rFonts w:ascii="Times New Roman" w:hAnsi="Times New Roman" w:cs="Times New Roman"/>
                <w:color w:val="000000"/>
                <w:sz w:val="15"/>
                <w:szCs w:val="15"/>
              </w:rPr>
            </w:pPr>
            <w:r w:rsidRPr="004C4B6E">
              <w:rPr>
                <w:rFonts w:ascii="Times New Roman" w:hAnsi="Times New Roman" w:cs="Times New Roman"/>
                <w:color w:val="000000"/>
                <w:sz w:val="15"/>
                <w:szCs w:val="15"/>
              </w:rPr>
              <w:t>0.087</w:t>
            </w:r>
          </w:p>
          <w:p w14:paraId="0B6BD83C" w14:textId="47BC791E" w:rsidR="00D07D7B" w:rsidRPr="00FE2AA9" w:rsidRDefault="004C4B6E" w:rsidP="00D07D7B">
            <w:pPr>
              <w:rPr>
                <w:rFonts w:ascii="Times New Roman" w:hAnsi="Times New Roman" w:cs="Times New Roman"/>
                <w:color w:val="000000"/>
                <w:sz w:val="15"/>
                <w:szCs w:val="15"/>
              </w:rPr>
            </w:pPr>
            <w:r w:rsidRPr="004C4B6E">
              <w:rPr>
                <w:rFonts w:ascii="Times New Roman" w:hAnsi="Times New Roman" w:cs="Times New Roman"/>
                <w:color w:val="000000"/>
                <w:sz w:val="15"/>
                <w:szCs w:val="15"/>
              </w:rPr>
              <w:t>0.121</w:t>
            </w:r>
          </w:p>
        </w:tc>
        <w:tc>
          <w:tcPr>
            <w:tcW w:w="2427" w:type="dxa"/>
          </w:tcPr>
          <w:p w14:paraId="108FAECB" w14:textId="77777777" w:rsidR="005A2D69" w:rsidRPr="005A2D69" w:rsidRDefault="005A2D69" w:rsidP="005A2D69">
            <w:pPr>
              <w:rPr>
                <w:rFonts w:ascii="Times New Roman" w:hAnsi="Times New Roman" w:cs="Times New Roman"/>
                <w:sz w:val="15"/>
                <w:szCs w:val="15"/>
              </w:rPr>
            </w:pPr>
            <w:r w:rsidRPr="005A2D69">
              <w:rPr>
                <w:rFonts w:ascii="Times New Roman" w:hAnsi="Times New Roman" w:cs="Times New Roman"/>
                <w:sz w:val="15"/>
                <w:szCs w:val="15"/>
              </w:rPr>
              <w:t>0.431</w:t>
            </w:r>
          </w:p>
          <w:p w14:paraId="457345A5" w14:textId="77777777" w:rsidR="005A2D69" w:rsidRPr="005A2D69" w:rsidRDefault="005A2D69" w:rsidP="005A2D69">
            <w:pPr>
              <w:rPr>
                <w:rFonts w:ascii="Times New Roman" w:hAnsi="Times New Roman" w:cs="Times New Roman"/>
                <w:sz w:val="15"/>
                <w:szCs w:val="15"/>
              </w:rPr>
            </w:pPr>
            <w:r w:rsidRPr="005A2D69">
              <w:rPr>
                <w:rFonts w:ascii="Times New Roman" w:hAnsi="Times New Roman" w:cs="Times New Roman"/>
                <w:sz w:val="15"/>
                <w:szCs w:val="15"/>
              </w:rPr>
              <w:t>0.200</w:t>
            </w:r>
          </w:p>
          <w:p w14:paraId="3452BF7B" w14:textId="2CB19607" w:rsidR="005A2D69" w:rsidRPr="005A2D69" w:rsidRDefault="005A2D69" w:rsidP="005A2D69">
            <w:pPr>
              <w:rPr>
                <w:rFonts w:ascii="Times New Roman" w:hAnsi="Times New Roman" w:cs="Times New Roman"/>
                <w:sz w:val="15"/>
                <w:szCs w:val="15"/>
              </w:rPr>
            </w:pPr>
            <w:r w:rsidRPr="005A2D69">
              <w:rPr>
                <w:rFonts w:ascii="Times New Roman" w:hAnsi="Times New Roman" w:cs="Times New Roman"/>
                <w:sz w:val="15"/>
                <w:szCs w:val="15"/>
              </w:rPr>
              <w:t>0.033</w:t>
            </w:r>
            <w:r w:rsidR="004217C5">
              <w:rPr>
                <w:rFonts w:ascii="Times New Roman" w:hAnsi="Times New Roman" w:cs="Times New Roman"/>
                <w:color w:val="000000"/>
                <w:sz w:val="15"/>
                <w:szCs w:val="15"/>
              </w:rPr>
              <w:t>*</w:t>
            </w:r>
          </w:p>
          <w:p w14:paraId="55BF0AE6" w14:textId="33D55F37" w:rsidR="005A2D69" w:rsidRPr="005A2D69" w:rsidRDefault="005A2D69" w:rsidP="005A2D69">
            <w:pPr>
              <w:rPr>
                <w:rFonts w:ascii="Times New Roman" w:hAnsi="Times New Roman" w:cs="Times New Roman"/>
                <w:sz w:val="15"/>
                <w:szCs w:val="15"/>
              </w:rPr>
            </w:pPr>
            <w:r w:rsidRPr="005A2D69">
              <w:rPr>
                <w:rFonts w:ascii="Times New Roman" w:hAnsi="Times New Roman" w:cs="Times New Roman"/>
                <w:sz w:val="15"/>
                <w:szCs w:val="15"/>
              </w:rPr>
              <w:t>0.049</w:t>
            </w:r>
            <w:r w:rsidR="004217C5">
              <w:rPr>
                <w:rFonts w:ascii="Times New Roman" w:hAnsi="Times New Roman" w:cs="Times New Roman"/>
                <w:color w:val="000000"/>
                <w:sz w:val="15"/>
                <w:szCs w:val="15"/>
              </w:rPr>
              <w:t>*</w:t>
            </w:r>
          </w:p>
          <w:p w14:paraId="74A76C65" w14:textId="77777777" w:rsidR="00D07D7B" w:rsidRPr="00FE2AA9" w:rsidRDefault="00D07D7B" w:rsidP="00D07D7B">
            <w:pPr>
              <w:rPr>
                <w:rFonts w:ascii="Times New Roman" w:hAnsi="Times New Roman" w:cs="Times New Roman"/>
                <w:sz w:val="15"/>
                <w:szCs w:val="15"/>
              </w:rPr>
            </w:pPr>
          </w:p>
        </w:tc>
        <w:tc>
          <w:tcPr>
            <w:tcW w:w="2158" w:type="dxa"/>
          </w:tcPr>
          <w:p w14:paraId="665EF42D" w14:textId="77777777" w:rsidR="004C4B6E" w:rsidRPr="004C4B6E" w:rsidRDefault="004C4B6E" w:rsidP="004C4B6E">
            <w:pPr>
              <w:rPr>
                <w:rFonts w:ascii="Times New Roman" w:hAnsi="Times New Roman" w:cs="Times New Roman"/>
                <w:sz w:val="15"/>
                <w:szCs w:val="15"/>
              </w:rPr>
            </w:pPr>
            <w:r w:rsidRPr="004C4B6E">
              <w:rPr>
                <w:rFonts w:ascii="Times New Roman" w:hAnsi="Times New Roman" w:cs="Times New Roman"/>
                <w:sz w:val="15"/>
                <w:szCs w:val="15"/>
              </w:rPr>
              <w:t>0.660</w:t>
            </w:r>
          </w:p>
          <w:p w14:paraId="2C099D95" w14:textId="77777777" w:rsidR="004C4B6E" w:rsidRPr="004C4B6E" w:rsidRDefault="004C4B6E" w:rsidP="004C4B6E">
            <w:pPr>
              <w:rPr>
                <w:rFonts w:ascii="Times New Roman" w:hAnsi="Times New Roman" w:cs="Times New Roman"/>
                <w:sz w:val="15"/>
                <w:szCs w:val="15"/>
              </w:rPr>
            </w:pPr>
            <w:r w:rsidRPr="004C4B6E">
              <w:rPr>
                <w:rFonts w:ascii="Times New Roman" w:hAnsi="Times New Roman" w:cs="Times New Roman"/>
                <w:sz w:val="15"/>
                <w:szCs w:val="15"/>
              </w:rPr>
              <w:t>0.546</w:t>
            </w:r>
          </w:p>
          <w:p w14:paraId="6CDB4A7A" w14:textId="77777777" w:rsidR="004C4B6E" w:rsidRPr="004C4B6E" w:rsidRDefault="004C4B6E" w:rsidP="004C4B6E">
            <w:pPr>
              <w:rPr>
                <w:rFonts w:ascii="Times New Roman" w:hAnsi="Times New Roman" w:cs="Times New Roman"/>
                <w:sz w:val="15"/>
                <w:szCs w:val="15"/>
              </w:rPr>
            </w:pPr>
            <w:r w:rsidRPr="004C4B6E">
              <w:rPr>
                <w:rFonts w:ascii="Times New Roman" w:hAnsi="Times New Roman" w:cs="Times New Roman"/>
                <w:sz w:val="15"/>
                <w:szCs w:val="15"/>
              </w:rPr>
              <w:t>0.540</w:t>
            </w:r>
          </w:p>
          <w:p w14:paraId="016F1673" w14:textId="77777777" w:rsidR="004C4B6E" w:rsidRPr="004C4B6E" w:rsidRDefault="004C4B6E" w:rsidP="004C4B6E">
            <w:pPr>
              <w:rPr>
                <w:rFonts w:ascii="Times New Roman" w:hAnsi="Times New Roman" w:cs="Times New Roman"/>
                <w:sz w:val="15"/>
                <w:szCs w:val="15"/>
              </w:rPr>
            </w:pPr>
            <w:r w:rsidRPr="004C4B6E">
              <w:rPr>
                <w:rFonts w:ascii="Times New Roman" w:hAnsi="Times New Roman" w:cs="Times New Roman"/>
                <w:sz w:val="15"/>
                <w:szCs w:val="15"/>
              </w:rPr>
              <w:t>0.740</w:t>
            </w:r>
          </w:p>
          <w:p w14:paraId="72A9C930" w14:textId="26976140" w:rsidR="00D07D7B" w:rsidRPr="00FE2AA9" w:rsidRDefault="004C4B6E" w:rsidP="00D07D7B">
            <w:pPr>
              <w:rPr>
                <w:rFonts w:ascii="Times New Roman" w:hAnsi="Times New Roman" w:cs="Times New Roman"/>
                <w:sz w:val="15"/>
                <w:szCs w:val="15"/>
              </w:rPr>
            </w:pPr>
            <w:r w:rsidRPr="004C4B6E">
              <w:rPr>
                <w:rFonts w:ascii="Times New Roman" w:hAnsi="Times New Roman" w:cs="Times New Roman"/>
                <w:sz w:val="15"/>
                <w:szCs w:val="15"/>
              </w:rPr>
              <w:t>0.889</w:t>
            </w:r>
          </w:p>
        </w:tc>
      </w:tr>
      <w:tr w:rsidR="00D07D7B" w14:paraId="4E2DD966" w14:textId="77777777" w:rsidTr="005A295F">
        <w:trPr>
          <w:trHeight w:val="224"/>
        </w:trPr>
        <w:tc>
          <w:tcPr>
            <w:tcW w:w="2157" w:type="dxa"/>
          </w:tcPr>
          <w:p w14:paraId="45A0A3EA"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 xml:space="preserve">Human Services </w:t>
            </w:r>
          </w:p>
        </w:tc>
        <w:tc>
          <w:tcPr>
            <w:tcW w:w="1888" w:type="dxa"/>
          </w:tcPr>
          <w:p w14:paraId="258E0AA4" w14:textId="7AE355B9"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0.004</w:t>
            </w:r>
            <w:r w:rsidR="004217C5">
              <w:rPr>
                <w:rFonts w:ascii="Times New Roman" w:hAnsi="Times New Roman" w:cs="Times New Roman"/>
                <w:color w:val="000000"/>
                <w:sz w:val="15"/>
                <w:szCs w:val="15"/>
              </w:rPr>
              <w:t>**</w:t>
            </w:r>
          </w:p>
          <w:p w14:paraId="6CCF2E9C" w14:textId="6A65C9DE"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0.000</w:t>
            </w:r>
            <w:r w:rsidR="004217C5">
              <w:rPr>
                <w:rFonts w:ascii="Times New Roman" w:hAnsi="Times New Roman" w:cs="Times New Roman"/>
                <w:color w:val="000000"/>
                <w:sz w:val="15"/>
                <w:szCs w:val="15"/>
              </w:rPr>
              <w:t>***</w:t>
            </w:r>
          </w:p>
          <w:p w14:paraId="021F7475" w14:textId="229A64E2"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0.000</w:t>
            </w:r>
            <w:r w:rsidR="004217C5">
              <w:rPr>
                <w:rFonts w:ascii="Times New Roman" w:hAnsi="Times New Roman" w:cs="Times New Roman"/>
                <w:color w:val="000000"/>
                <w:sz w:val="15"/>
                <w:szCs w:val="15"/>
              </w:rPr>
              <w:t>***</w:t>
            </w:r>
          </w:p>
          <w:p w14:paraId="41C57A97" w14:textId="2AE8B44A"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0.005</w:t>
            </w:r>
            <w:r w:rsidR="004217C5">
              <w:rPr>
                <w:rFonts w:ascii="Times New Roman" w:hAnsi="Times New Roman" w:cs="Times New Roman"/>
                <w:color w:val="000000"/>
                <w:sz w:val="15"/>
                <w:szCs w:val="15"/>
              </w:rPr>
              <w:t>**</w:t>
            </w:r>
          </w:p>
          <w:p w14:paraId="26E6717C" w14:textId="4EBD4DA9" w:rsidR="00D07D7B" w:rsidRPr="00FE2AA9" w:rsidRDefault="00876BFA" w:rsidP="00D07D7B">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0.012</w:t>
            </w:r>
            <w:r w:rsidR="004217C5">
              <w:rPr>
                <w:rFonts w:ascii="Times New Roman" w:hAnsi="Times New Roman" w:cs="Times New Roman"/>
                <w:color w:val="000000"/>
                <w:sz w:val="15"/>
                <w:szCs w:val="15"/>
              </w:rPr>
              <w:t>*</w:t>
            </w:r>
          </w:p>
        </w:tc>
        <w:tc>
          <w:tcPr>
            <w:tcW w:w="2427" w:type="dxa"/>
          </w:tcPr>
          <w:p w14:paraId="22569D47" w14:textId="1BB27E33"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0.010</w:t>
            </w:r>
            <w:r w:rsidR="004217C5">
              <w:rPr>
                <w:rFonts w:ascii="Times New Roman" w:hAnsi="Times New Roman" w:cs="Times New Roman"/>
                <w:color w:val="000000"/>
                <w:sz w:val="15"/>
                <w:szCs w:val="15"/>
              </w:rPr>
              <w:t>*</w:t>
            </w:r>
          </w:p>
          <w:p w14:paraId="698DEB94" w14:textId="70D4A43E"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0.000</w:t>
            </w:r>
            <w:r w:rsidR="004217C5">
              <w:rPr>
                <w:rFonts w:ascii="Times New Roman" w:hAnsi="Times New Roman" w:cs="Times New Roman"/>
                <w:color w:val="000000"/>
                <w:sz w:val="15"/>
                <w:szCs w:val="15"/>
              </w:rPr>
              <w:t>***</w:t>
            </w:r>
          </w:p>
          <w:p w14:paraId="488F98A9" w14:textId="1DE9D7F7"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0.000</w:t>
            </w:r>
            <w:r w:rsidR="004217C5">
              <w:rPr>
                <w:rFonts w:ascii="Times New Roman" w:hAnsi="Times New Roman" w:cs="Times New Roman"/>
                <w:color w:val="000000"/>
                <w:sz w:val="15"/>
                <w:szCs w:val="15"/>
              </w:rPr>
              <w:t>***</w:t>
            </w:r>
          </w:p>
          <w:p w14:paraId="28F4B216" w14:textId="3AEC3711"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0.000</w:t>
            </w:r>
            <w:r w:rsidR="004217C5">
              <w:rPr>
                <w:rFonts w:ascii="Times New Roman" w:hAnsi="Times New Roman" w:cs="Times New Roman"/>
                <w:color w:val="000000"/>
                <w:sz w:val="15"/>
                <w:szCs w:val="15"/>
              </w:rPr>
              <w:t>***</w:t>
            </w:r>
          </w:p>
          <w:p w14:paraId="1862B7BD" w14:textId="645CD2EE" w:rsidR="00D07D7B" w:rsidRPr="00FE2AA9" w:rsidRDefault="00D07D7B" w:rsidP="00342292">
            <w:pPr>
              <w:rPr>
                <w:rFonts w:ascii="Times New Roman" w:hAnsi="Times New Roman" w:cs="Times New Roman"/>
                <w:color w:val="000000"/>
                <w:sz w:val="15"/>
                <w:szCs w:val="15"/>
              </w:rPr>
            </w:pPr>
          </w:p>
        </w:tc>
        <w:tc>
          <w:tcPr>
            <w:tcW w:w="2158" w:type="dxa"/>
          </w:tcPr>
          <w:p w14:paraId="2D3D8843" w14:textId="77777777"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0.090</w:t>
            </w:r>
          </w:p>
          <w:p w14:paraId="08BA8311" w14:textId="77777777"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0.125</w:t>
            </w:r>
          </w:p>
          <w:p w14:paraId="437C0277" w14:textId="77777777"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0.058</w:t>
            </w:r>
          </w:p>
          <w:p w14:paraId="46358490" w14:textId="77777777" w:rsidR="00876BFA" w:rsidRPr="00876BFA" w:rsidRDefault="00876BFA" w:rsidP="00876BFA">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0.072</w:t>
            </w:r>
          </w:p>
          <w:p w14:paraId="0BD6E578" w14:textId="435A635A" w:rsidR="00D07D7B" w:rsidRPr="00FE2AA9" w:rsidRDefault="00876BFA" w:rsidP="00D07D7B">
            <w:pPr>
              <w:rPr>
                <w:rFonts w:ascii="Times New Roman" w:hAnsi="Times New Roman" w:cs="Times New Roman"/>
                <w:color w:val="000000"/>
                <w:sz w:val="15"/>
                <w:szCs w:val="15"/>
              </w:rPr>
            </w:pPr>
            <w:r w:rsidRPr="00876BFA">
              <w:rPr>
                <w:rFonts w:ascii="Times New Roman" w:hAnsi="Times New Roman" w:cs="Times New Roman"/>
                <w:color w:val="000000"/>
                <w:sz w:val="15"/>
                <w:szCs w:val="15"/>
              </w:rPr>
              <w:t>0.192</w:t>
            </w:r>
          </w:p>
        </w:tc>
      </w:tr>
    </w:tbl>
    <w:p w14:paraId="4FFA0FB8" w14:textId="77777777" w:rsidR="00FE2AA9" w:rsidRDefault="00FE2AA9" w:rsidP="00FE2AA9">
      <w:pPr>
        <w:spacing w:line="480" w:lineRule="auto"/>
        <w:rPr>
          <w:rFonts w:ascii="Times New Roman" w:hAnsi="Times New Roman" w:cs="Times New Roman"/>
        </w:rPr>
      </w:pPr>
      <w:r>
        <w:rPr>
          <w:rFonts w:ascii="Times New Roman" w:hAnsi="Times New Roman" w:cs="Times New Roman"/>
        </w:rPr>
        <w:t>* p&lt;0.05, **p&lt;0.01, ***p&lt;0.001</w:t>
      </w:r>
    </w:p>
    <w:p w14:paraId="5B707B86" w14:textId="77777777" w:rsidR="006E100A" w:rsidRDefault="006E100A" w:rsidP="006E100A">
      <w:pPr>
        <w:rPr>
          <w:rFonts w:ascii="Times New Roman" w:hAnsi="Times New Roman" w:cs="Times New Roman"/>
          <w:b/>
          <w:bCs/>
        </w:rPr>
      </w:pPr>
    </w:p>
    <w:p w14:paraId="7008A8CA" w14:textId="77777777" w:rsidR="00334A8E" w:rsidRDefault="00334A8E" w:rsidP="00334A8E">
      <w:pPr>
        <w:pStyle w:val="Caption"/>
        <w:spacing w:before="0" w:after="0" w:line="240" w:lineRule="auto"/>
      </w:pPr>
      <w:bookmarkStart w:id="199" w:name="_Toc179888490"/>
      <w:bookmarkStart w:id="200" w:name="_Toc181297771"/>
      <w:bookmarkStart w:id="201" w:name="_Toc180144578"/>
    </w:p>
    <w:p w14:paraId="14B475DE" w14:textId="77777777" w:rsidR="00334A8E" w:rsidRPr="00334A8E" w:rsidRDefault="00334A8E" w:rsidP="00334A8E"/>
    <w:p w14:paraId="23FA628E" w14:textId="0A5B6A46" w:rsidR="00FE2AA9" w:rsidRPr="00245787" w:rsidRDefault="00FE2AA9" w:rsidP="00334A8E">
      <w:pPr>
        <w:pStyle w:val="Caption"/>
        <w:spacing w:before="0" w:after="0" w:line="240" w:lineRule="auto"/>
      </w:pPr>
      <w:r w:rsidRPr="00245787">
        <w:lastRenderedPageBreak/>
        <w:t xml:space="preserve">Table </w:t>
      </w:r>
      <w:r>
        <w:t>16</w:t>
      </w:r>
      <w:bookmarkEnd w:id="199"/>
      <w:bookmarkEnd w:id="200"/>
      <w:bookmarkEnd w:id="201"/>
    </w:p>
    <w:p w14:paraId="57A39C1B" w14:textId="77777777" w:rsidR="00FE2AA9" w:rsidRDefault="00FE2AA9" w:rsidP="00334A8E">
      <w:pPr>
        <w:rPr>
          <w:rFonts w:ascii="Times New Roman" w:hAnsi="Times New Roman" w:cs="Times New Roman"/>
          <w:i/>
          <w:iCs/>
        </w:rPr>
      </w:pPr>
      <w:r>
        <w:rPr>
          <w:rFonts w:ascii="Times New Roman" w:hAnsi="Times New Roman" w:cs="Times New Roman"/>
          <w:i/>
          <w:iCs/>
        </w:rPr>
        <w:t xml:space="preserve">Significance Pre-treatment Parallel Trends – Joint Period Test at State Funded Institutions Only </w:t>
      </w:r>
    </w:p>
    <w:p w14:paraId="3AA88C54" w14:textId="77777777" w:rsidR="00FE2AA9" w:rsidRDefault="00FE2AA9" w:rsidP="00FE2AA9">
      <w:pPr>
        <w:rPr>
          <w:rFonts w:ascii="Times New Roman" w:hAnsi="Times New Roman" w:cs="Times New Roman"/>
          <w:i/>
          <w:iCs/>
        </w:rPr>
      </w:pPr>
    </w:p>
    <w:tbl>
      <w:tblPr>
        <w:tblStyle w:val="TableGrid"/>
        <w:tblW w:w="0" w:type="auto"/>
        <w:tblLook w:val="04A0" w:firstRow="1" w:lastRow="0" w:firstColumn="1" w:lastColumn="0" w:noHBand="0" w:noVBand="1"/>
      </w:tblPr>
      <w:tblGrid>
        <w:gridCol w:w="2157"/>
        <w:gridCol w:w="2157"/>
        <w:gridCol w:w="2158"/>
        <w:gridCol w:w="2158"/>
      </w:tblGrid>
      <w:tr w:rsidR="00FE2AA9" w14:paraId="06D82555" w14:textId="77777777" w:rsidTr="006B7087">
        <w:tc>
          <w:tcPr>
            <w:tcW w:w="2157" w:type="dxa"/>
          </w:tcPr>
          <w:p w14:paraId="6F1C4828" w14:textId="77777777" w:rsidR="00FE2AA9" w:rsidRPr="00D2786A" w:rsidRDefault="00FE2AA9" w:rsidP="006B7087">
            <w:pPr>
              <w:rPr>
                <w:rFonts w:ascii="Times New Roman" w:hAnsi="Times New Roman" w:cs="Times New Roman"/>
              </w:rPr>
            </w:pPr>
          </w:p>
        </w:tc>
        <w:tc>
          <w:tcPr>
            <w:tcW w:w="2157" w:type="dxa"/>
          </w:tcPr>
          <w:p w14:paraId="2B0917F9" w14:textId="77777777" w:rsidR="00FE2AA9" w:rsidRPr="00D2786A" w:rsidRDefault="00FE2AA9" w:rsidP="006B7087">
            <w:pPr>
              <w:rPr>
                <w:rFonts w:ascii="Times New Roman" w:hAnsi="Times New Roman" w:cs="Times New Roman"/>
              </w:rPr>
            </w:pPr>
            <w:r w:rsidRPr="00D2786A">
              <w:rPr>
                <w:rFonts w:ascii="Times New Roman" w:hAnsi="Times New Roman" w:cs="Times New Roman"/>
              </w:rPr>
              <w:t>Ordinary Least Squares</w:t>
            </w:r>
          </w:p>
        </w:tc>
        <w:tc>
          <w:tcPr>
            <w:tcW w:w="2158" w:type="dxa"/>
          </w:tcPr>
          <w:p w14:paraId="16E98573" w14:textId="77777777" w:rsidR="00FE2AA9" w:rsidRPr="00D2786A" w:rsidRDefault="00FE2AA9" w:rsidP="006B7087">
            <w:pPr>
              <w:rPr>
                <w:rFonts w:ascii="Times New Roman" w:hAnsi="Times New Roman" w:cs="Times New Roman"/>
              </w:rPr>
            </w:pPr>
            <w:r w:rsidRPr="00D2786A">
              <w:rPr>
                <w:rFonts w:ascii="Times New Roman" w:hAnsi="Times New Roman" w:cs="Times New Roman"/>
              </w:rPr>
              <w:t>Sun &amp; Abraham (Event Study Interact)</w:t>
            </w:r>
          </w:p>
        </w:tc>
        <w:tc>
          <w:tcPr>
            <w:tcW w:w="2158" w:type="dxa"/>
          </w:tcPr>
          <w:p w14:paraId="17B14606" w14:textId="77777777" w:rsidR="00FE2AA9" w:rsidRPr="00D2786A" w:rsidRDefault="00FE2AA9" w:rsidP="006B7087">
            <w:pPr>
              <w:rPr>
                <w:rFonts w:ascii="Times New Roman" w:hAnsi="Times New Roman" w:cs="Times New Roman"/>
              </w:rPr>
            </w:pPr>
            <w:r w:rsidRPr="00D2786A">
              <w:rPr>
                <w:rFonts w:ascii="Times New Roman" w:hAnsi="Times New Roman" w:cs="Times New Roman"/>
              </w:rPr>
              <w:t>Borusyak et al (DID Imputation)</w:t>
            </w:r>
          </w:p>
        </w:tc>
      </w:tr>
      <w:tr w:rsidR="00FE2AA9" w14:paraId="3359EA7D" w14:textId="77777777" w:rsidTr="006B7087">
        <w:tc>
          <w:tcPr>
            <w:tcW w:w="2157" w:type="dxa"/>
          </w:tcPr>
          <w:p w14:paraId="2D1CD67E"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All Awards</w:t>
            </w:r>
          </w:p>
        </w:tc>
        <w:tc>
          <w:tcPr>
            <w:tcW w:w="2157" w:type="dxa"/>
            <w:vAlign w:val="bottom"/>
          </w:tcPr>
          <w:p w14:paraId="465D647C" w14:textId="308D3253" w:rsidR="00FE2AA9" w:rsidRPr="00A2327E" w:rsidRDefault="00FD42E7" w:rsidP="00FE2AA9">
            <w:pPr>
              <w:rPr>
                <w:rFonts w:ascii="Times New Roman" w:hAnsi="Times New Roman" w:cs="Times New Roman"/>
              </w:rPr>
            </w:pPr>
            <w:r w:rsidRPr="00FD42E7">
              <w:rPr>
                <w:rFonts w:ascii="Times New Roman" w:hAnsi="Times New Roman" w:cs="Times New Roman"/>
              </w:rPr>
              <w:t>0.1315</w:t>
            </w:r>
          </w:p>
        </w:tc>
        <w:tc>
          <w:tcPr>
            <w:tcW w:w="2158" w:type="dxa"/>
          </w:tcPr>
          <w:p w14:paraId="07E4B22E" w14:textId="58ADD155" w:rsidR="00FE2AA9" w:rsidRPr="00A2327E" w:rsidRDefault="00FD42E7" w:rsidP="00FE2AA9">
            <w:pPr>
              <w:rPr>
                <w:rFonts w:ascii="Times New Roman" w:hAnsi="Times New Roman" w:cs="Times New Roman"/>
                <w:color w:val="000000"/>
                <w:sz w:val="22"/>
                <w:szCs w:val="22"/>
              </w:rPr>
            </w:pPr>
            <w:r w:rsidRPr="00FD42E7">
              <w:rPr>
                <w:rFonts w:ascii="Times New Roman" w:hAnsi="Times New Roman" w:cs="Times New Roman"/>
                <w:color w:val="000000"/>
                <w:sz w:val="22"/>
                <w:szCs w:val="22"/>
              </w:rPr>
              <w:t>0.2842</w:t>
            </w:r>
          </w:p>
        </w:tc>
        <w:tc>
          <w:tcPr>
            <w:tcW w:w="2158" w:type="dxa"/>
            <w:vAlign w:val="bottom"/>
          </w:tcPr>
          <w:p w14:paraId="6B944CF9" w14:textId="12020808" w:rsidR="00FE2AA9" w:rsidRPr="00A2327E" w:rsidRDefault="00FD42E7" w:rsidP="00FE2AA9">
            <w:pPr>
              <w:rPr>
                <w:rFonts w:ascii="Times New Roman" w:hAnsi="Times New Roman" w:cs="Times New Roman"/>
              </w:rPr>
            </w:pPr>
            <w:r w:rsidRPr="00FD42E7">
              <w:rPr>
                <w:rFonts w:ascii="Times New Roman" w:hAnsi="Times New Roman" w:cs="Times New Roman"/>
              </w:rPr>
              <w:t>0.0140</w:t>
            </w:r>
            <w:r w:rsidR="00203A7E">
              <w:rPr>
                <w:rFonts w:ascii="Times New Roman" w:hAnsi="Times New Roman" w:cs="Times New Roman"/>
              </w:rPr>
              <w:t>*</w:t>
            </w:r>
          </w:p>
        </w:tc>
      </w:tr>
      <w:tr w:rsidR="00FE2AA9" w14:paraId="01B3750D" w14:textId="77777777" w:rsidTr="006B7087">
        <w:tc>
          <w:tcPr>
            <w:tcW w:w="2157" w:type="dxa"/>
          </w:tcPr>
          <w:p w14:paraId="1B8584D2"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Associates Only</w:t>
            </w:r>
          </w:p>
        </w:tc>
        <w:tc>
          <w:tcPr>
            <w:tcW w:w="2157" w:type="dxa"/>
            <w:vAlign w:val="bottom"/>
          </w:tcPr>
          <w:p w14:paraId="6C4523BC" w14:textId="160572EF" w:rsidR="00FE2AA9" w:rsidRPr="00A2327E" w:rsidRDefault="00FD42E7" w:rsidP="00FE2AA9">
            <w:pPr>
              <w:rPr>
                <w:rFonts w:ascii="Times New Roman" w:hAnsi="Times New Roman" w:cs="Times New Roman"/>
              </w:rPr>
            </w:pPr>
            <w:r w:rsidRPr="00FD42E7">
              <w:rPr>
                <w:rFonts w:ascii="Times New Roman" w:hAnsi="Times New Roman" w:cs="Times New Roman"/>
              </w:rPr>
              <w:t>0.0942</w:t>
            </w:r>
          </w:p>
        </w:tc>
        <w:tc>
          <w:tcPr>
            <w:tcW w:w="2158" w:type="dxa"/>
          </w:tcPr>
          <w:p w14:paraId="3378CD06" w14:textId="54D36EB8" w:rsidR="00FE2AA9" w:rsidRPr="00A2327E" w:rsidRDefault="009571C0" w:rsidP="00FE2AA9">
            <w:pPr>
              <w:rPr>
                <w:rFonts w:ascii="Times New Roman" w:hAnsi="Times New Roman" w:cs="Times New Roman"/>
                <w:color w:val="000000"/>
                <w:sz w:val="22"/>
                <w:szCs w:val="22"/>
              </w:rPr>
            </w:pPr>
            <w:r w:rsidRPr="009571C0">
              <w:rPr>
                <w:rFonts w:ascii="Times New Roman" w:hAnsi="Times New Roman" w:cs="Times New Roman"/>
                <w:color w:val="000000"/>
                <w:sz w:val="22"/>
                <w:szCs w:val="22"/>
              </w:rPr>
              <w:t>0.2248</w:t>
            </w:r>
          </w:p>
        </w:tc>
        <w:tc>
          <w:tcPr>
            <w:tcW w:w="2158" w:type="dxa"/>
            <w:vAlign w:val="bottom"/>
          </w:tcPr>
          <w:p w14:paraId="3C5E1E0C" w14:textId="75A33A57" w:rsidR="00FE2AA9" w:rsidRPr="00A2327E" w:rsidRDefault="00D428F0" w:rsidP="00FE2AA9">
            <w:pPr>
              <w:rPr>
                <w:rFonts w:ascii="Times New Roman" w:hAnsi="Times New Roman" w:cs="Times New Roman"/>
              </w:rPr>
            </w:pPr>
            <w:r w:rsidRPr="00D428F0">
              <w:rPr>
                <w:rFonts w:ascii="Times New Roman" w:hAnsi="Times New Roman" w:cs="Times New Roman"/>
              </w:rPr>
              <w:t>0.0078</w:t>
            </w:r>
            <w:r w:rsidR="00203A7E">
              <w:rPr>
                <w:rFonts w:ascii="Times New Roman" w:hAnsi="Times New Roman" w:cs="Times New Roman"/>
              </w:rPr>
              <w:t>**</w:t>
            </w:r>
          </w:p>
        </w:tc>
      </w:tr>
      <w:tr w:rsidR="00FE2AA9" w14:paraId="64366E90" w14:textId="77777777" w:rsidTr="006B7087">
        <w:tc>
          <w:tcPr>
            <w:tcW w:w="2157" w:type="dxa"/>
          </w:tcPr>
          <w:p w14:paraId="5C9E1A29"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All Credentials</w:t>
            </w:r>
          </w:p>
        </w:tc>
        <w:tc>
          <w:tcPr>
            <w:tcW w:w="2157" w:type="dxa"/>
            <w:vAlign w:val="bottom"/>
          </w:tcPr>
          <w:p w14:paraId="385E77B4" w14:textId="66EE465E" w:rsidR="00FE2AA9" w:rsidRPr="00A2327E" w:rsidRDefault="009571C0" w:rsidP="00FE2AA9">
            <w:pPr>
              <w:rPr>
                <w:rFonts w:ascii="Times New Roman" w:hAnsi="Times New Roman" w:cs="Times New Roman"/>
              </w:rPr>
            </w:pPr>
            <w:r w:rsidRPr="009571C0">
              <w:rPr>
                <w:rFonts w:ascii="Times New Roman" w:hAnsi="Times New Roman" w:cs="Times New Roman"/>
              </w:rPr>
              <w:t>0.1270</w:t>
            </w:r>
          </w:p>
        </w:tc>
        <w:tc>
          <w:tcPr>
            <w:tcW w:w="2158" w:type="dxa"/>
          </w:tcPr>
          <w:p w14:paraId="1B2318F2" w14:textId="7D223300" w:rsidR="00FE2AA9" w:rsidRPr="00A2327E" w:rsidRDefault="009571C0" w:rsidP="00FE2AA9">
            <w:pPr>
              <w:rPr>
                <w:rFonts w:ascii="Times New Roman" w:hAnsi="Times New Roman" w:cs="Times New Roman"/>
                <w:color w:val="000000"/>
                <w:sz w:val="22"/>
                <w:szCs w:val="22"/>
              </w:rPr>
            </w:pPr>
            <w:r w:rsidRPr="009571C0">
              <w:rPr>
                <w:rFonts w:ascii="Times New Roman" w:hAnsi="Times New Roman" w:cs="Times New Roman"/>
                <w:color w:val="000000"/>
                <w:sz w:val="22"/>
                <w:szCs w:val="22"/>
              </w:rPr>
              <w:t>0.0265</w:t>
            </w:r>
            <w:r w:rsidR="00203A7E">
              <w:rPr>
                <w:rFonts w:ascii="Times New Roman" w:hAnsi="Times New Roman" w:cs="Times New Roman"/>
                <w:color w:val="000000"/>
                <w:sz w:val="22"/>
                <w:szCs w:val="22"/>
              </w:rPr>
              <w:t>*</w:t>
            </w:r>
          </w:p>
        </w:tc>
        <w:tc>
          <w:tcPr>
            <w:tcW w:w="2158" w:type="dxa"/>
            <w:vAlign w:val="bottom"/>
          </w:tcPr>
          <w:p w14:paraId="2C80CC9D" w14:textId="010E7FAF" w:rsidR="00FE2AA9" w:rsidRPr="00A2327E" w:rsidRDefault="009571C0" w:rsidP="00FE2AA9">
            <w:pPr>
              <w:rPr>
                <w:rFonts w:ascii="Times New Roman" w:hAnsi="Times New Roman" w:cs="Times New Roman"/>
              </w:rPr>
            </w:pPr>
            <w:r w:rsidRPr="009571C0">
              <w:rPr>
                <w:rFonts w:ascii="Times New Roman" w:hAnsi="Times New Roman" w:cs="Times New Roman"/>
              </w:rPr>
              <w:t>0.0527</w:t>
            </w:r>
          </w:p>
        </w:tc>
      </w:tr>
      <w:tr w:rsidR="00FE2AA9" w14:paraId="6376253F" w14:textId="77777777" w:rsidTr="006B7087">
        <w:tc>
          <w:tcPr>
            <w:tcW w:w="2157" w:type="dxa"/>
          </w:tcPr>
          <w:p w14:paraId="173C67C0" w14:textId="187AD3A3" w:rsidR="00FE2AA9" w:rsidRPr="00D2786A" w:rsidRDefault="00275D9D" w:rsidP="00FE2AA9">
            <w:pPr>
              <w:rPr>
                <w:rFonts w:ascii="Times New Roman" w:hAnsi="Times New Roman" w:cs="Times New Roman"/>
              </w:rPr>
            </w:pPr>
            <w:r>
              <w:rPr>
                <w:rFonts w:ascii="Times New Roman" w:hAnsi="Times New Roman" w:cs="Times New Roman"/>
              </w:rPr>
              <w:t>One</w:t>
            </w:r>
            <w:r w:rsidR="002C3000">
              <w:rPr>
                <w:rFonts w:ascii="Times New Roman" w:hAnsi="Times New Roman" w:cs="Times New Roman"/>
              </w:rPr>
              <w:t>-</w:t>
            </w:r>
            <w:r>
              <w:rPr>
                <w:rFonts w:ascii="Times New Roman" w:hAnsi="Times New Roman" w:cs="Times New Roman"/>
              </w:rPr>
              <w:t>to</w:t>
            </w:r>
            <w:r w:rsidR="002C3000">
              <w:rPr>
                <w:rFonts w:ascii="Times New Roman" w:hAnsi="Times New Roman" w:cs="Times New Roman"/>
              </w:rPr>
              <w:t>-</w:t>
            </w:r>
            <w:r>
              <w:rPr>
                <w:rFonts w:ascii="Times New Roman" w:hAnsi="Times New Roman" w:cs="Times New Roman"/>
              </w:rPr>
              <w:t>Two</w:t>
            </w:r>
            <w:r w:rsidR="00FE2AA9" w:rsidRPr="00D2786A">
              <w:rPr>
                <w:rFonts w:ascii="Times New Roman" w:hAnsi="Times New Roman" w:cs="Times New Roman"/>
              </w:rPr>
              <w:t xml:space="preserve"> Year Credentials</w:t>
            </w:r>
          </w:p>
        </w:tc>
        <w:tc>
          <w:tcPr>
            <w:tcW w:w="2157" w:type="dxa"/>
          </w:tcPr>
          <w:p w14:paraId="0364F7A3" w14:textId="7D99AB8E" w:rsidR="00FE2AA9" w:rsidRPr="00A2327E" w:rsidRDefault="004700B7" w:rsidP="00FE2AA9">
            <w:pPr>
              <w:rPr>
                <w:rFonts w:ascii="Times New Roman" w:hAnsi="Times New Roman" w:cs="Times New Roman"/>
              </w:rPr>
            </w:pPr>
            <w:r w:rsidRPr="004700B7">
              <w:rPr>
                <w:rFonts w:ascii="Times New Roman" w:hAnsi="Times New Roman" w:cs="Times New Roman"/>
              </w:rPr>
              <w:t>0.0992</w:t>
            </w:r>
          </w:p>
        </w:tc>
        <w:tc>
          <w:tcPr>
            <w:tcW w:w="2158" w:type="dxa"/>
          </w:tcPr>
          <w:p w14:paraId="537CD53F" w14:textId="19DAE224" w:rsidR="00FE2AA9" w:rsidRPr="00A2327E" w:rsidRDefault="00ED4861" w:rsidP="00FE2AA9">
            <w:pPr>
              <w:rPr>
                <w:rFonts w:ascii="Times New Roman" w:hAnsi="Times New Roman" w:cs="Times New Roman"/>
                <w:color w:val="000000"/>
                <w:sz w:val="22"/>
                <w:szCs w:val="22"/>
              </w:rPr>
            </w:pPr>
            <w:r w:rsidRPr="00ED4861">
              <w:rPr>
                <w:rFonts w:ascii="Times New Roman" w:hAnsi="Times New Roman" w:cs="Times New Roman"/>
                <w:color w:val="000000"/>
                <w:sz w:val="22"/>
                <w:szCs w:val="22"/>
              </w:rPr>
              <w:t>0.0028</w:t>
            </w:r>
            <w:r w:rsidR="00203A7E">
              <w:rPr>
                <w:rFonts w:ascii="Times New Roman" w:hAnsi="Times New Roman" w:cs="Times New Roman"/>
                <w:color w:val="000000"/>
                <w:sz w:val="22"/>
                <w:szCs w:val="22"/>
              </w:rPr>
              <w:t>**</w:t>
            </w:r>
          </w:p>
        </w:tc>
        <w:tc>
          <w:tcPr>
            <w:tcW w:w="2158" w:type="dxa"/>
          </w:tcPr>
          <w:p w14:paraId="770DB217" w14:textId="7C1C8EFF" w:rsidR="00FE2AA9" w:rsidRPr="00A2327E" w:rsidRDefault="00ED4861" w:rsidP="00FE2AA9">
            <w:pPr>
              <w:rPr>
                <w:rFonts w:ascii="Times New Roman" w:hAnsi="Times New Roman" w:cs="Times New Roman"/>
              </w:rPr>
            </w:pPr>
            <w:r w:rsidRPr="00ED4861">
              <w:rPr>
                <w:rFonts w:ascii="Times New Roman" w:hAnsi="Times New Roman" w:cs="Times New Roman"/>
              </w:rPr>
              <w:t>0.7263</w:t>
            </w:r>
          </w:p>
        </w:tc>
      </w:tr>
      <w:tr w:rsidR="00FE2AA9" w14:paraId="3BD691E8" w14:textId="77777777" w:rsidTr="006B7087">
        <w:tc>
          <w:tcPr>
            <w:tcW w:w="2157" w:type="dxa"/>
          </w:tcPr>
          <w:p w14:paraId="467FDCB2"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&lt; 1 Year Credentials </w:t>
            </w:r>
          </w:p>
        </w:tc>
        <w:tc>
          <w:tcPr>
            <w:tcW w:w="2157" w:type="dxa"/>
          </w:tcPr>
          <w:p w14:paraId="32426757" w14:textId="6CB52D79" w:rsidR="00FE2AA9" w:rsidRPr="00A2327E" w:rsidRDefault="00F00931" w:rsidP="00FE2AA9">
            <w:pPr>
              <w:rPr>
                <w:rFonts w:ascii="Times New Roman" w:hAnsi="Times New Roman" w:cs="Times New Roman"/>
              </w:rPr>
            </w:pPr>
            <w:r w:rsidRPr="00F00931">
              <w:rPr>
                <w:rFonts w:ascii="Times New Roman" w:hAnsi="Times New Roman" w:cs="Times New Roman"/>
              </w:rPr>
              <w:t>0.1391</w:t>
            </w:r>
          </w:p>
        </w:tc>
        <w:tc>
          <w:tcPr>
            <w:tcW w:w="2158" w:type="dxa"/>
          </w:tcPr>
          <w:p w14:paraId="388343CE" w14:textId="1DA7BD52" w:rsidR="00FE2AA9" w:rsidRPr="00A2327E" w:rsidRDefault="00F00931" w:rsidP="00FE2AA9">
            <w:pPr>
              <w:rPr>
                <w:rFonts w:ascii="Times New Roman" w:hAnsi="Times New Roman" w:cs="Times New Roman"/>
                <w:color w:val="000000"/>
                <w:sz w:val="22"/>
                <w:szCs w:val="22"/>
              </w:rPr>
            </w:pPr>
            <w:r w:rsidRPr="00F00931">
              <w:rPr>
                <w:rFonts w:ascii="Times New Roman" w:hAnsi="Times New Roman" w:cs="Times New Roman"/>
                <w:color w:val="000000"/>
                <w:sz w:val="22"/>
                <w:szCs w:val="22"/>
              </w:rPr>
              <w:t>0.0959</w:t>
            </w:r>
          </w:p>
        </w:tc>
        <w:tc>
          <w:tcPr>
            <w:tcW w:w="2158" w:type="dxa"/>
          </w:tcPr>
          <w:p w14:paraId="1ECD0F74" w14:textId="496A3F25" w:rsidR="00FE2AA9" w:rsidRPr="00A2327E" w:rsidRDefault="00F00931" w:rsidP="00FE2AA9">
            <w:pPr>
              <w:rPr>
                <w:rFonts w:ascii="Times New Roman" w:hAnsi="Times New Roman" w:cs="Times New Roman"/>
              </w:rPr>
            </w:pPr>
            <w:r w:rsidRPr="00F00931">
              <w:rPr>
                <w:rFonts w:ascii="Times New Roman" w:hAnsi="Times New Roman" w:cs="Times New Roman"/>
              </w:rPr>
              <w:t>0.0793</w:t>
            </w:r>
          </w:p>
        </w:tc>
      </w:tr>
      <w:tr w:rsidR="00FE2AA9" w14:paraId="5A38DFAD" w14:textId="77777777" w:rsidTr="006B7087">
        <w:tc>
          <w:tcPr>
            <w:tcW w:w="2157" w:type="dxa"/>
          </w:tcPr>
          <w:p w14:paraId="31A85709"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STEM</w:t>
            </w:r>
          </w:p>
        </w:tc>
        <w:tc>
          <w:tcPr>
            <w:tcW w:w="2157" w:type="dxa"/>
          </w:tcPr>
          <w:p w14:paraId="221FC15F" w14:textId="242C728B" w:rsidR="00FE2AA9" w:rsidRPr="00A2327E" w:rsidRDefault="00F00931" w:rsidP="00FE2AA9">
            <w:pPr>
              <w:rPr>
                <w:rFonts w:ascii="Times New Roman" w:hAnsi="Times New Roman" w:cs="Times New Roman"/>
                <w:color w:val="000000"/>
                <w:sz w:val="22"/>
                <w:szCs w:val="22"/>
              </w:rPr>
            </w:pPr>
            <w:r w:rsidRPr="00F00931">
              <w:rPr>
                <w:rFonts w:ascii="Times New Roman" w:hAnsi="Times New Roman" w:cs="Times New Roman"/>
                <w:color w:val="000000"/>
                <w:sz w:val="22"/>
                <w:szCs w:val="22"/>
              </w:rPr>
              <w:t>0.1455</w:t>
            </w:r>
          </w:p>
        </w:tc>
        <w:tc>
          <w:tcPr>
            <w:tcW w:w="2158" w:type="dxa"/>
          </w:tcPr>
          <w:p w14:paraId="374A2FD4" w14:textId="5E338FC2" w:rsidR="00FE2AA9" w:rsidRPr="00A2327E" w:rsidRDefault="00F00931" w:rsidP="00FE2AA9">
            <w:pPr>
              <w:rPr>
                <w:rFonts w:ascii="Times New Roman" w:hAnsi="Times New Roman" w:cs="Times New Roman"/>
                <w:color w:val="000000"/>
                <w:sz w:val="22"/>
                <w:szCs w:val="22"/>
              </w:rPr>
            </w:pPr>
            <w:r w:rsidRPr="00F00931">
              <w:rPr>
                <w:rFonts w:ascii="Times New Roman" w:hAnsi="Times New Roman" w:cs="Times New Roman"/>
                <w:color w:val="000000"/>
                <w:sz w:val="22"/>
                <w:szCs w:val="22"/>
              </w:rPr>
              <w:t>0.1566</w:t>
            </w:r>
          </w:p>
        </w:tc>
        <w:tc>
          <w:tcPr>
            <w:tcW w:w="2158" w:type="dxa"/>
          </w:tcPr>
          <w:p w14:paraId="3419BB72" w14:textId="26343C07" w:rsidR="00FE2AA9" w:rsidRPr="00A2327E" w:rsidRDefault="00F00931" w:rsidP="00FE2AA9">
            <w:pPr>
              <w:rPr>
                <w:rFonts w:ascii="Times New Roman" w:hAnsi="Times New Roman" w:cs="Times New Roman"/>
                <w:color w:val="000000"/>
                <w:sz w:val="22"/>
                <w:szCs w:val="22"/>
              </w:rPr>
            </w:pPr>
            <w:r w:rsidRPr="00F00931">
              <w:rPr>
                <w:rFonts w:ascii="Times New Roman" w:hAnsi="Times New Roman" w:cs="Times New Roman"/>
                <w:color w:val="000000"/>
                <w:sz w:val="22"/>
                <w:szCs w:val="22"/>
              </w:rPr>
              <w:t>0.1163</w:t>
            </w:r>
          </w:p>
        </w:tc>
      </w:tr>
      <w:tr w:rsidR="00FE2AA9" w14:paraId="18014A47" w14:textId="77777777" w:rsidTr="006B7087">
        <w:tc>
          <w:tcPr>
            <w:tcW w:w="2157" w:type="dxa"/>
          </w:tcPr>
          <w:p w14:paraId="52E9D2D4"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Trades</w:t>
            </w:r>
          </w:p>
        </w:tc>
        <w:tc>
          <w:tcPr>
            <w:tcW w:w="2157" w:type="dxa"/>
          </w:tcPr>
          <w:p w14:paraId="6F49E6D4" w14:textId="15020CCF" w:rsidR="00FE2AA9" w:rsidRPr="00A2327E" w:rsidRDefault="00196D62" w:rsidP="00FE2AA9">
            <w:pPr>
              <w:rPr>
                <w:rFonts w:ascii="Times New Roman" w:hAnsi="Times New Roman" w:cs="Times New Roman"/>
                <w:color w:val="000000"/>
                <w:sz w:val="22"/>
                <w:szCs w:val="22"/>
              </w:rPr>
            </w:pPr>
            <w:r w:rsidRPr="00196D62">
              <w:rPr>
                <w:rFonts w:ascii="Times New Roman" w:hAnsi="Times New Roman" w:cs="Times New Roman"/>
                <w:color w:val="000000"/>
                <w:sz w:val="22"/>
                <w:szCs w:val="22"/>
              </w:rPr>
              <w:t>0.3106</w:t>
            </w:r>
          </w:p>
        </w:tc>
        <w:tc>
          <w:tcPr>
            <w:tcW w:w="2158" w:type="dxa"/>
          </w:tcPr>
          <w:p w14:paraId="01294EBA" w14:textId="0415B54F" w:rsidR="00FE2AA9" w:rsidRPr="00A2327E" w:rsidRDefault="00196D62" w:rsidP="00FE2AA9">
            <w:pPr>
              <w:rPr>
                <w:rFonts w:ascii="Times New Roman" w:hAnsi="Times New Roman" w:cs="Times New Roman"/>
                <w:color w:val="000000"/>
                <w:sz w:val="22"/>
                <w:szCs w:val="22"/>
              </w:rPr>
            </w:pPr>
            <w:r w:rsidRPr="00196D62">
              <w:rPr>
                <w:rFonts w:ascii="Times New Roman" w:hAnsi="Times New Roman" w:cs="Times New Roman"/>
                <w:color w:val="000000"/>
                <w:sz w:val="22"/>
                <w:szCs w:val="22"/>
              </w:rPr>
              <w:t>0.5414</w:t>
            </w:r>
          </w:p>
        </w:tc>
        <w:tc>
          <w:tcPr>
            <w:tcW w:w="2158" w:type="dxa"/>
          </w:tcPr>
          <w:p w14:paraId="28BDE4DA" w14:textId="3F29564B" w:rsidR="00FE2AA9" w:rsidRPr="00A2327E" w:rsidRDefault="00196D62" w:rsidP="00FE2AA9">
            <w:pPr>
              <w:rPr>
                <w:rFonts w:ascii="Times New Roman" w:hAnsi="Times New Roman" w:cs="Times New Roman"/>
              </w:rPr>
            </w:pPr>
            <w:r w:rsidRPr="00196D62">
              <w:rPr>
                <w:rFonts w:ascii="Times New Roman" w:hAnsi="Times New Roman" w:cs="Times New Roman"/>
              </w:rPr>
              <w:t>0.0221</w:t>
            </w:r>
          </w:p>
        </w:tc>
      </w:tr>
      <w:tr w:rsidR="00FE2AA9" w14:paraId="23DA34FA" w14:textId="77777777" w:rsidTr="006B7087">
        <w:tc>
          <w:tcPr>
            <w:tcW w:w="2157" w:type="dxa"/>
          </w:tcPr>
          <w:p w14:paraId="048B44ED"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Lib Arts</w:t>
            </w:r>
          </w:p>
        </w:tc>
        <w:tc>
          <w:tcPr>
            <w:tcW w:w="2157" w:type="dxa"/>
          </w:tcPr>
          <w:p w14:paraId="6DDFD9A0" w14:textId="68998FB5" w:rsidR="00FE2AA9" w:rsidRPr="00A2327E" w:rsidRDefault="00196D62" w:rsidP="00FE2AA9">
            <w:pPr>
              <w:rPr>
                <w:rFonts w:ascii="Times New Roman" w:hAnsi="Times New Roman" w:cs="Times New Roman"/>
                <w:color w:val="000000"/>
                <w:sz w:val="22"/>
                <w:szCs w:val="22"/>
              </w:rPr>
            </w:pPr>
            <w:r w:rsidRPr="00196D62">
              <w:rPr>
                <w:rFonts w:ascii="Times New Roman" w:hAnsi="Times New Roman" w:cs="Times New Roman"/>
                <w:color w:val="000000"/>
                <w:sz w:val="22"/>
                <w:szCs w:val="22"/>
              </w:rPr>
              <w:t>0.0079</w:t>
            </w:r>
            <w:r w:rsidR="00203A7E">
              <w:rPr>
                <w:rFonts w:ascii="Times New Roman" w:hAnsi="Times New Roman" w:cs="Times New Roman"/>
                <w:color w:val="000000"/>
                <w:sz w:val="22"/>
                <w:szCs w:val="22"/>
              </w:rPr>
              <w:t>**</w:t>
            </w:r>
          </w:p>
        </w:tc>
        <w:tc>
          <w:tcPr>
            <w:tcW w:w="2158" w:type="dxa"/>
          </w:tcPr>
          <w:p w14:paraId="3FACC70C" w14:textId="5B830C8A" w:rsidR="00FE2AA9" w:rsidRPr="00A2327E" w:rsidRDefault="00196D62" w:rsidP="00FE2AA9">
            <w:pPr>
              <w:rPr>
                <w:rFonts w:ascii="Times New Roman" w:hAnsi="Times New Roman" w:cs="Times New Roman"/>
                <w:color w:val="000000"/>
                <w:sz w:val="22"/>
                <w:szCs w:val="22"/>
              </w:rPr>
            </w:pPr>
            <w:r w:rsidRPr="00196D62">
              <w:rPr>
                <w:rFonts w:ascii="Times New Roman" w:hAnsi="Times New Roman" w:cs="Times New Roman"/>
                <w:color w:val="000000"/>
                <w:sz w:val="22"/>
                <w:szCs w:val="22"/>
              </w:rPr>
              <w:t>0.0683</w:t>
            </w:r>
          </w:p>
        </w:tc>
        <w:tc>
          <w:tcPr>
            <w:tcW w:w="2158" w:type="dxa"/>
          </w:tcPr>
          <w:p w14:paraId="625CF970" w14:textId="14676261" w:rsidR="00FE2AA9" w:rsidRPr="00A2327E" w:rsidRDefault="00196D62" w:rsidP="00FE2AA9">
            <w:pPr>
              <w:rPr>
                <w:rFonts w:ascii="Times New Roman" w:hAnsi="Times New Roman" w:cs="Times New Roman"/>
              </w:rPr>
            </w:pPr>
            <w:r w:rsidRPr="00196D62">
              <w:rPr>
                <w:rFonts w:ascii="Times New Roman" w:hAnsi="Times New Roman" w:cs="Times New Roman"/>
              </w:rPr>
              <w:t>0.0000</w:t>
            </w:r>
            <w:r w:rsidR="00203A7E">
              <w:rPr>
                <w:rFonts w:ascii="Times New Roman" w:hAnsi="Times New Roman" w:cs="Times New Roman"/>
              </w:rPr>
              <w:t>***</w:t>
            </w:r>
          </w:p>
        </w:tc>
      </w:tr>
      <w:tr w:rsidR="00FE2AA9" w14:paraId="214C7717" w14:textId="77777777" w:rsidTr="006B7087">
        <w:tc>
          <w:tcPr>
            <w:tcW w:w="2157" w:type="dxa"/>
          </w:tcPr>
          <w:p w14:paraId="052F14E5"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Pro. Services </w:t>
            </w:r>
          </w:p>
        </w:tc>
        <w:tc>
          <w:tcPr>
            <w:tcW w:w="2157" w:type="dxa"/>
          </w:tcPr>
          <w:p w14:paraId="7A413FE6" w14:textId="615CB551" w:rsidR="00FE2AA9" w:rsidRPr="00A2327E" w:rsidRDefault="00275E11" w:rsidP="00FE2AA9">
            <w:pPr>
              <w:rPr>
                <w:rFonts w:ascii="Times New Roman" w:hAnsi="Times New Roman" w:cs="Times New Roman"/>
              </w:rPr>
            </w:pPr>
            <w:r w:rsidRPr="00275E11">
              <w:rPr>
                <w:rFonts w:ascii="Times New Roman" w:hAnsi="Times New Roman" w:cs="Times New Roman"/>
              </w:rPr>
              <w:t>0.6909</w:t>
            </w:r>
          </w:p>
        </w:tc>
        <w:tc>
          <w:tcPr>
            <w:tcW w:w="2158" w:type="dxa"/>
          </w:tcPr>
          <w:p w14:paraId="343D48ED" w14:textId="15B4DFDB" w:rsidR="00FE2AA9" w:rsidRPr="00A2327E" w:rsidRDefault="00275E11" w:rsidP="00FE2AA9">
            <w:pPr>
              <w:rPr>
                <w:rFonts w:ascii="Times New Roman" w:hAnsi="Times New Roman" w:cs="Times New Roman"/>
                <w:color w:val="000000"/>
                <w:sz w:val="22"/>
                <w:szCs w:val="22"/>
              </w:rPr>
            </w:pPr>
            <w:r w:rsidRPr="00275E11">
              <w:rPr>
                <w:rFonts w:ascii="Times New Roman" w:hAnsi="Times New Roman" w:cs="Times New Roman"/>
                <w:color w:val="000000"/>
                <w:sz w:val="22"/>
                <w:szCs w:val="22"/>
              </w:rPr>
              <w:t>0.5980</w:t>
            </w:r>
          </w:p>
        </w:tc>
        <w:tc>
          <w:tcPr>
            <w:tcW w:w="2158" w:type="dxa"/>
          </w:tcPr>
          <w:p w14:paraId="2E237501" w14:textId="1E071236" w:rsidR="00FE2AA9" w:rsidRPr="00A2327E" w:rsidRDefault="00275E11" w:rsidP="00FE2AA9">
            <w:pPr>
              <w:rPr>
                <w:rFonts w:ascii="Times New Roman" w:hAnsi="Times New Roman" w:cs="Times New Roman"/>
                <w:color w:val="000000"/>
                <w:sz w:val="22"/>
                <w:szCs w:val="22"/>
              </w:rPr>
            </w:pPr>
            <w:r w:rsidRPr="00275E11">
              <w:rPr>
                <w:rFonts w:ascii="Times New Roman" w:hAnsi="Times New Roman" w:cs="Times New Roman"/>
                <w:color w:val="000000"/>
                <w:sz w:val="22"/>
                <w:szCs w:val="22"/>
              </w:rPr>
              <w:t>0.6709</w:t>
            </w:r>
          </w:p>
        </w:tc>
      </w:tr>
      <w:tr w:rsidR="00FE2AA9" w14:paraId="377C79C7" w14:textId="77777777" w:rsidTr="006B7087">
        <w:tc>
          <w:tcPr>
            <w:tcW w:w="2157" w:type="dxa"/>
          </w:tcPr>
          <w:p w14:paraId="0D816B06"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Human Services </w:t>
            </w:r>
          </w:p>
        </w:tc>
        <w:tc>
          <w:tcPr>
            <w:tcW w:w="2157" w:type="dxa"/>
          </w:tcPr>
          <w:p w14:paraId="38F38B77" w14:textId="44F0AE25" w:rsidR="00FE2AA9" w:rsidRPr="00A2327E" w:rsidRDefault="00275E11" w:rsidP="00FE2AA9">
            <w:pPr>
              <w:rPr>
                <w:rFonts w:ascii="Times New Roman" w:hAnsi="Times New Roman" w:cs="Times New Roman"/>
                <w:color w:val="000000"/>
                <w:sz w:val="22"/>
                <w:szCs w:val="22"/>
              </w:rPr>
            </w:pPr>
            <w:r w:rsidRPr="00275E11">
              <w:rPr>
                <w:rFonts w:ascii="Times New Roman" w:hAnsi="Times New Roman" w:cs="Times New Roman"/>
                <w:color w:val="000000"/>
                <w:sz w:val="22"/>
                <w:szCs w:val="22"/>
              </w:rPr>
              <w:t>0.0646</w:t>
            </w:r>
          </w:p>
        </w:tc>
        <w:tc>
          <w:tcPr>
            <w:tcW w:w="2158" w:type="dxa"/>
          </w:tcPr>
          <w:p w14:paraId="723A163D" w14:textId="24016F2D" w:rsidR="00FE2AA9" w:rsidRPr="00A2327E" w:rsidRDefault="00173B2C" w:rsidP="00FE2AA9">
            <w:pPr>
              <w:rPr>
                <w:rFonts w:ascii="Times New Roman" w:hAnsi="Times New Roman" w:cs="Times New Roman"/>
                <w:color w:val="000000"/>
                <w:sz w:val="22"/>
                <w:szCs w:val="22"/>
              </w:rPr>
            </w:pPr>
            <w:r w:rsidRPr="006A32BC">
              <w:rPr>
                <w:rFonts w:ascii="Times New Roman" w:hAnsi="Times New Roman" w:cs="Times New Roman"/>
                <w:color w:val="000000"/>
                <w:sz w:val="22"/>
                <w:szCs w:val="22"/>
              </w:rPr>
              <w:t>0.0033</w:t>
            </w:r>
            <w:r w:rsidR="009707C3">
              <w:rPr>
                <w:rFonts w:ascii="Times New Roman" w:hAnsi="Times New Roman" w:cs="Times New Roman"/>
                <w:color w:val="000000"/>
                <w:sz w:val="22"/>
                <w:szCs w:val="22"/>
              </w:rPr>
              <w:t>**</w:t>
            </w:r>
          </w:p>
        </w:tc>
        <w:tc>
          <w:tcPr>
            <w:tcW w:w="2158" w:type="dxa"/>
          </w:tcPr>
          <w:p w14:paraId="39742356" w14:textId="270C1187" w:rsidR="00FE2AA9" w:rsidRPr="00A2327E" w:rsidRDefault="00173B2C" w:rsidP="00FE2AA9">
            <w:pPr>
              <w:rPr>
                <w:rFonts w:ascii="Times New Roman" w:hAnsi="Times New Roman" w:cs="Times New Roman"/>
                <w:color w:val="000000"/>
                <w:sz w:val="22"/>
                <w:szCs w:val="22"/>
              </w:rPr>
            </w:pPr>
            <w:r w:rsidRPr="00173B2C">
              <w:rPr>
                <w:rFonts w:ascii="Times New Roman" w:hAnsi="Times New Roman" w:cs="Times New Roman"/>
                <w:color w:val="000000"/>
                <w:sz w:val="22"/>
                <w:szCs w:val="22"/>
              </w:rPr>
              <w:t>0.0987</w:t>
            </w:r>
          </w:p>
        </w:tc>
      </w:tr>
    </w:tbl>
    <w:p w14:paraId="01649A17" w14:textId="7983352B" w:rsidR="00FE2AA9" w:rsidRPr="00DB7170" w:rsidRDefault="00FE2AA9" w:rsidP="00DB7170">
      <w:pPr>
        <w:spacing w:line="480" w:lineRule="auto"/>
        <w:rPr>
          <w:rFonts w:ascii="Times New Roman" w:hAnsi="Times New Roman" w:cs="Times New Roman"/>
        </w:rPr>
      </w:pPr>
      <w:r>
        <w:rPr>
          <w:rFonts w:ascii="Times New Roman" w:hAnsi="Times New Roman" w:cs="Times New Roman"/>
        </w:rPr>
        <w:t>* p&lt;0.05, **p&lt;0.01, ***p&lt;0.001</w:t>
      </w:r>
    </w:p>
    <w:p w14:paraId="053FB8F2" w14:textId="69A2ADDA" w:rsidR="006E100A" w:rsidRPr="00245787" w:rsidRDefault="006E100A" w:rsidP="00334A8E">
      <w:pPr>
        <w:pStyle w:val="Caption"/>
        <w:spacing w:before="0" w:after="0" w:line="240" w:lineRule="auto"/>
      </w:pPr>
      <w:bookmarkStart w:id="202" w:name="_Toc179888491"/>
      <w:bookmarkStart w:id="203" w:name="_Toc181297772"/>
      <w:bookmarkStart w:id="204" w:name="_Toc180144579"/>
      <w:r w:rsidRPr="00245787">
        <w:t xml:space="preserve">Table </w:t>
      </w:r>
      <w:r>
        <w:t>1</w:t>
      </w:r>
      <w:r w:rsidR="00FE2AA9">
        <w:t>7</w:t>
      </w:r>
      <w:bookmarkEnd w:id="202"/>
      <w:bookmarkEnd w:id="203"/>
      <w:bookmarkEnd w:id="204"/>
    </w:p>
    <w:p w14:paraId="78A6D9A7" w14:textId="2080F8BA" w:rsidR="006E100A" w:rsidRDefault="006E100A" w:rsidP="00334A8E">
      <w:pPr>
        <w:rPr>
          <w:rFonts w:ascii="Times New Roman" w:hAnsi="Times New Roman" w:cs="Times New Roman"/>
          <w:i/>
          <w:iCs/>
        </w:rPr>
      </w:pPr>
      <w:r>
        <w:rPr>
          <w:rFonts w:ascii="Times New Roman" w:hAnsi="Times New Roman" w:cs="Times New Roman"/>
          <w:i/>
          <w:iCs/>
        </w:rPr>
        <w:t xml:space="preserve">Significance Pre-treatment Parallel Trends – Joint Period Test at Non-Profit Institutions Only </w:t>
      </w:r>
    </w:p>
    <w:p w14:paraId="33F8CF49" w14:textId="77777777" w:rsidR="006E100A" w:rsidRDefault="006E100A" w:rsidP="006E100A">
      <w:pPr>
        <w:rPr>
          <w:rFonts w:ascii="Times New Roman" w:hAnsi="Times New Roman" w:cs="Times New Roman"/>
          <w:i/>
          <w:iCs/>
        </w:rPr>
      </w:pPr>
    </w:p>
    <w:tbl>
      <w:tblPr>
        <w:tblStyle w:val="TableGrid"/>
        <w:tblW w:w="0" w:type="auto"/>
        <w:tblLook w:val="04A0" w:firstRow="1" w:lastRow="0" w:firstColumn="1" w:lastColumn="0" w:noHBand="0" w:noVBand="1"/>
      </w:tblPr>
      <w:tblGrid>
        <w:gridCol w:w="2157"/>
        <w:gridCol w:w="2157"/>
        <w:gridCol w:w="2158"/>
        <w:gridCol w:w="2158"/>
      </w:tblGrid>
      <w:tr w:rsidR="006E100A" w14:paraId="504E358A" w14:textId="77777777" w:rsidTr="006B7087">
        <w:tc>
          <w:tcPr>
            <w:tcW w:w="2157" w:type="dxa"/>
          </w:tcPr>
          <w:p w14:paraId="6B34E17C" w14:textId="77777777" w:rsidR="006E100A" w:rsidRPr="00D2786A" w:rsidRDefault="006E100A" w:rsidP="006B7087">
            <w:pPr>
              <w:rPr>
                <w:rFonts w:ascii="Times New Roman" w:hAnsi="Times New Roman" w:cs="Times New Roman"/>
              </w:rPr>
            </w:pPr>
          </w:p>
        </w:tc>
        <w:tc>
          <w:tcPr>
            <w:tcW w:w="2157" w:type="dxa"/>
          </w:tcPr>
          <w:p w14:paraId="66BB3433" w14:textId="77777777" w:rsidR="006E100A" w:rsidRPr="00D2786A" w:rsidRDefault="006E100A" w:rsidP="006B7087">
            <w:pPr>
              <w:rPr>
                <w:rFonts w:ascii="Times New Roman" w:hAnsi="Times New Roman" w:cs="Times New Roman"/>
              </w:rPr>
            </w:pPr>
            <w:r w:rsidRPr="00D2786A">
              <w:rPr>
                <w:rFonts w:ascii="Times New Roman" w:hAnsi="Times New Roman" w:cs="Times New Roman"/>
              </w:rPr>
              <w:t>Ordinary Least Squares</w:t>
            </w:r>
          </w:p>
        </w:tc>
        <w:tc>
          <w:tcPr>
            <w:tcW w:w="2158" w:type="dxa"/>
          </w:tcPr>
          <w:p w14:paraId="36CE86C8" w14:textId="77777777" w:rsidR="006E100A" w:rsidRPr="00D2786A" w:rsidRDefault="006E100A" w:rsidP="006B7087">
            <w:pPr>
              <w:rPr>
                <w:rFonts w:ascii="Times New Roman" w:hAnsi="Times New Roman" w:cs="Times New Roman"/>
              </w:rPr>
            </w:pPr>
            <w:r w:rsidRPr="00D2786A">
              <w:rPr>
                <w:rFonts w:ascii="Times New Roman" w:hAnsi="Times New Roman" w:cs="Times New Roman"/>
              </w:rPr>
              <w:t>Sun &amp; Abraham (Event Study Interact)</w:t>
            </w:r>
          </w:p>
        </w:tc>
        <w:tc>
          <w:tcPr>
            <w:tcW w:w="2158" w:type="dxa"/>
          </w:tcPr>
          <w:p w14:paraId="2C1582F8" w14:textId="77777777" w:rsidR="006E100A" w:rsidRPr="00D2786A" w:rsidRDefault="006E100A" w:rsidP="006B7087">
            <w:pPr>
              <w:rPr>
                <w:rFonts w:ascii="Times New Roman" w:hAnsi="Times New Roman" w:cs="Times New Roman"/>
              </w:rPr>
            </w:pPr>
            <w:r w:rsidRPr="00D2786A">
              <w:rPr>
                <w:rFonts w:ascii="Times New Roman" w:hAnsi="Times New Roman" w:cs="Times New Roman"/>
              </w:rPr>
              <w:t>Borusyak et al (DID Imputation)</w:t>
            </w:r>
          </w:p>
        </w:tc>
      </w:tr>
      <w:tr w:rsidR="00FE2AA9" w14:paraId="45FB89BF" w14:textId="77777777" w:rsidTr="006B7087">
        <w:tc>
          <w:tcPr>
            <w:tcW w:w="2157" w:type="dxa"/>
          </w:tcPr>
          <w:p w14:paraId="6368D9FB"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All Awards</w:t>
            </w:r>
          </w:p>
        </w:tc>
        <w:tc>
          <w:tcPr>
            <w:tcW w:w="2157" w:type="dxa"/>
            <w:vAlign w:val="bottom"/>
          </w:tcPr>
          <w:p w14:paraId="487F4CC6" w14:textId="55D0365E" w:rsidR="00FE2AA9" w:rsidRPr="00A2327E" w:rsidRDefault="003A5D87" w:rsidP="00FE2AA9">
            <w:pPr>
              <w:rPr>
                <w:rFonts w:ascii="Times New Roman" w:hAnsi="Times New Roman" w:cs="Times New Roman"/>
              </w:rPr>
            </w:pPr>
            <w:r w:rsidRPr="003A5D87">
              <w:rPr>
                <w:rFonts w:ascii="Times New Roman" w:hAnsi="Times New Roman" w:cs="Times New Roman"/>
              </w:rPr>
              <w:t>0.5657</w:t>
            </w:r>
          </w:p>
        </w:tc>
        <w:tc>
          <w:tcPr>
            <w:tcW w:w="2158" w:type="dxa"/>
          </w:tcPr>
          <w:p w14:paraId="56B1128F" w14:textId="37CB103A" w:rsidR="00FE2AA9" w:rsidRPr="00A2327E" w:rsidRDefault="003A5D87" w:rsidP="00FE2AA9">
            <w:pPr>
              <w:rPr>
                <w:rFonts w:ascii="Times New Roman" w:hAnsi="Times New Roman" w:cs="Times New Roman"/>
                <w:color w:val="000000"/>
                <w:sz w:val="22"/>
                <w:szCs w:val="22"/>
              </w:rPr>
            </w:pPr>
            <w:r w:rsidRPr="003A5D87">
              <w:rPr>
                <w:rFonts w:ascii="Times New Roman" w:hAnsi="Times New Roman" w:cs="Times New Roman"/>
                <w:color w:val="000000"/>
                <w:sz w:val="22"/>
                <w:szCs w:val="22"/>
              </w:rPr>
              <w:t>0.2501</w:t>
            </w:r>
          </w:p>
        </w:tc>
        <w:tc>
          <w:tcPr>
            <w:tcW w:w="2158" w:type="dxa"/>
            <w:vAlign w:val="bottom"/>
          </w:tcPr>
          <w:p w14:paraId="6221CE7D" w14:textId="201570CF" w:rsidR="00FE2AA9" w:rsidRPr="00A2327E" w:rsidRDefault="003A5D87" w:rsidP="00FE2AA9">
            <w:pPr>
              <w:rPr>
                <w:rFonts w:ascii="Times New Roman" w:hAnsi="Times New Roman" w:cs="Times New Roman"/>
              </w:rPr>
            </w:pPr>
            <w:r w:rsidRPr="003A5D87">
              <w:rPr>
                <w:rFonts w:ascii="Times New Roman" w:hAnsi="Times New Roman" w:cs="Times New Roman"/>
              </w:rPr>
              <w:t>0.0682</w:t>
            </w:r>
          </w:p>
        </w:tc>
      </w:tr>
      <w:tr w:rsidR="00FE2AA9" w14:paraId="09F87E0D" w14:textId="77777777" w:rsidTr="006B7087">
        <w:tc>
          <w:tcPr>
            <w:tcW w:w="2157" w:type="dxa"/>
          </w:tcPr>
          <w:p w14:paraId="5DE03349"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Associates Only</w:t>
            </w:r>
          </w:p>
        </w:tc>
        <w:tc>
          <w:tcPr>
            <w:tcW w:w="2157" w:type="dxa"/>
            <w:vAlign w:val="bottom"/>
          </w:tcPr>
          <w:p w14:paraId="7D1C5B9F" w14:textId="5AF2586B" w:rsidR="00FE2AA9" w:rsidRPr="00A2327E" w:rsidRDefault="003A5D87" w:rsidP="00FE2AA9">
            <w:pPr>
              <w:rPr>
                <w:rFonts w:ascii="Times New Roman" w:hAnsi="Times New Roman" w:cs="Times New Roman"/>
              </w:rPr>
            </w:pPr>
            <w:r w:rsidRPr="003A5D87">
              <w:rPr>
                <w:rFonts w:ascii="Times New Roman" w:hAnsi="Times New Roman" w:cs="Times New Roman"/>
              </w:rPr>
              <w:t>0.5358</w:t>
            </w:r>
          </w:p>
        </w:tc>
        <w:tc>
          <w:tcPr>
            <w:tcW w:w="2158" w:type="dxa"/>
          </w:tcPr>
          <w:p w14:paraId="43F3D660" w14:textId="4CCCD02E" w:rsidR="00FE2AA9" w:rsidRPr="00A2327E" w:rsidRDefault="003A5D87" w:rsidP="00FE2AA9">
            <w:pPr>
              <w:rPr>
                <w:rFonts w:ascii="Times New Roman" w:hAnsi="Times New Roman" w:cs="Times New Roman"/>
                <w:color w:val="000000"/>
                <w:sz w:val="22"/>
                <w:szCs w:val="22"/>
              </w:rPr>
            </w:pPr>
            <w:r w:rsidRPr="003A5D87">
              <w:rPr>
                <w:rFonts w:ascii="Times New Roman" w:hAnsi="Times New Roman" w:cs="Times New Roman"/>
                <w:color w:val="000000"/>
                <w:sz w:val="22"/>
                <w:szCs w:val="22"/>
              </w:rPr>
              <w:t>0.2644</w:t>
            </w:r>
          </w:p>
        </w:tc>
        <w:tc>
          <w:tcPr>
            <w:tcW w:w="2158" w:type="dxa"/>
            <w:vAlign w:val="bottom"/>
          </w:tcPr>
          <w:p w14:paraId="7C740533" w14:textId="057C1D1B" w:rsidR="00FE2AA9" w:rsidRPr="00A2327E" w:rsidRDefault="003A5D87" w:rsidP="00FE2AA9">
            <w:pPr>
              <w:rPr>
                <w:rFonts w:ascii="Times New Roman" w:hAnsi="Times New Roman" w:cs="Times New Roman"/>
              </w:rPr>
            </w:pPr>
            <w:r w:rsidRPr="003A5D87">
              <w:rPr>
                <w:rFonts w:ascii="Times New Roman" w:hAnsi="Times New Roman" w:cs="Times New Roman"/>
              </w:rPr>
              <w:t>0.0112</w:t>
            </w:r>
            <w:r>
              <w:rPr>
                <w:rFonts w:ascii="Times New Roman" w:hAnsi="Times New Roman" w:cs="Times New Roman"/>
              </w:rPr>
              <w:t>*</w:t>
            </w:r>
          </w:p>
        </w:tc>
      </w:tr>
      <w:tr w:rsidR="00FE2AA9" w14:paraId="734749BD" w14:textId="77777777" w:rsidTr="006B7087">
        <w:tc>
          <w:tcPr>
            <w:tcW w:w="2157" w:type="dxa"/>
          </w:tcPr>
          <w:p w14:paraId="1D086A41"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All Credentials</w:t>
            </w:r>
          </w:p>
        </w:tc>
        <w:tc>
          <w:tcPr>
            <w:tcW w:w="2157" w:type="dxa"/>
            <w:vAlign w:val="bottom"/>
          </w:tcPr>
          <w:p w14:paraId="66E0F58F" w14:textId="71D849AE" w:rsidR="00FE2AA9" w:rsidRPr="00A2327E" w:rsidRDefault="003A5D87" w:rsidP="00FE2AA9">
            <w:pPr>
              <w:rPr>
                <w:rFonts w:ascii="Times New Roman" w:hAnsi="Times New Roman" w:cs="Times New Roman"/>
              </w:rPr>
            </w:pPr>
            <w:r w:rsidRPr="003A5D87">
              <w:rPr>
                <w:rFonts w:ascii="Times New Roman" w:hAnsi="Times New Roman" w:cs="Times New Roman"/>
              </w:rPr>
              <w:t>0.3131</w:t>
            </w:r>
          </w:p>
        </w:tc>
        <w:tc>
          <w:tcPr>
            <w:tcW w:w="2158" w:type="dxa"/>
          </w:tcPr>
          <w:p w14:paraId="5F3966C2" w14:textId="7C236EC8" w:rsidR="00FE2AA9" w:rsidRPr="00A2327E" w:rsidRDefault="001C5588" w:rsidP="00FE2AA9">
            <w:pPr>
              <w:rPr>
                <w:rFonts w:ascii="Times New Roman" w:hAnsi="Times New Roman" w:cs="Times New Roman"/>
                <w:color w:val="000000"/>
                <w:sz w:val="22"/>
                <w:szCs w:val="22"/>
              </w:rPr>
            </w:pPr>
            <w:r w:rsidRPr="001C5588">
              <w:rPr>
                <w:rFonts w:ascii="Times New Roman" w:hAnsi="Times New Roman" w:cs="Times New Roman"/>
                <w:color w:val="000000"/>
                <w:sz w:val="22"/>
                <w:szCs w:val="22"/>
              </w:rPr>
              <w:t>0.0936</w:t>
            </w:r>
          </w:p>
        </w:tc>
        <w:tc>
          <w:tcPr>
            <w:tcW w:w="2158" w:type="dxa"/>
            <w:vAlign w:val="bottom"/>
          </w:tcPr>
          <w:p w14:paraId="38280B53" w14:textId="359F5EFB" w:rsidR="00FE2AA9" w:rsidRPr="00A2327E" w:rsidRDefault="001C5588" w:rsidP="00FE2AA9">
            <w:pPr>
              <w:rPr>
                <w:rFonts w:ascii="Times New Roman" w:hAnsi="Times New Roman" w:cs="Times New Roman"/>
              </w:rPr>
            </w:pPr>
            <w:r w:rsidRPr="001C5588">
              <w:rPr>
                <w:rFonts w:ascii="Times New Roman" w:hAnsi="Times New Roman" w:cs="Times New Roman"/>
              </w:rPr>
              <w:t>0.0712</w:t>
            </w:r>
          </w:p>
        </w:tc>
      </w:tr>
      <w:tr w:rsidR="00FE2AA9" w14:paraId="5E97AD4A" w14:textId="77777777" w:rsidTr="006B7087">
        <w:tc>
          <w:tcPr>
            <w:tcW w:w="2157" w:type="dxa"/>
          </w:tcPr>
          <w:p w14:paraId="10E4C8A8" w14:textId="4D12C750" w:rsidR="00FE2AA9" w:rsidRPr="00D2786A" w:rsidRDefault="00275D9D" w:rsidP="00FE2AA9">
            <w:pPr>
              <w:rPr>
                <w:rFonts w:ascii="Times New Roman" w:hAnsi="Times New Roman" w:cs="Times New Roman"/>
              </w:rPr>
            </w:pPr>
            <w:r>
              <w:rPr>
                <w:rFonts w:ascii="Times New Roman" w:hAnsi="Times New Roman" w:cs="Times New Roman"/>
              </w:rPr>
              <w:t>One</w:t>
            </w:r>
            <w:r w:rsidR="002C3000">
              <w:rPr>
                <w:rFonts w:ascii="Times New Roman" w:hAnsi="Times New Roman" w:cs="Times New Roman"/>
              </w:rPr>
              <w:t>-</w:t>
            </w:r>
            <w:r>
              <w:rPr>
                <w:rFonts w:ascii="Times New Roman" w:hAnsi="Times New Roman" w:cs="Times New Roman"/>
              </w:rPr>
              <w:t>to</w:t>
            </w:r>
            <w:r w:rsidR="002C3000">
              <w:rPr>
                <w:rFonts w:ascii="Times New Roman" w:hAnsi="Times New Roman" w:cs="Times New Roman"/>
              </w:rPr>
              <w:t>-</w:t>
            </w:r>
            <w:r>
              <w:rPr>
                <w:rFonts w:ascii="Times New Roman" w:hAnsi="Times New Roman" w:cs="Times New Roman"/>
              </w:rPr>
              <w:t>Two</w:t>
            </w:r>
            <w:r w:rsidR="00FE2AA9" w:rsidRPr="00D2786A">
              <w:rPr>
                <w:rFonts w:ascii="Times New Roman" w:hAnsi="Times New Roman" w:cs="Times New Roman"/>
              </w:rPr>
              <w:t xml:space="preserve"> Year Credentials</w:t>
            </w:r>
          </w:p>
        </w:tc>
        <w:tc>
          <w:tcPr>
            <w:tcW w:w="2157" w:type="dxa"/>
          </w:tcPr>
          <w:p w14:paraId="33F28536" w14:textId="510C3C06" w:rsidR="00FE2AA9" w:rsidRPr="00A2327E" w:rsidRDefault="001C5588" w:rsidP="001C5588">
            <w:pPr>
              <w:rPr>
                <w:rFonts w:ascii="Times New Roman" w:hAnsi="Times New Roman" w:cs="Times New Roman"/>
              </w:rPr>
            </w:pPr>
            <w:r w:rsidRPr="001C5588">
              <w:rPr>
                <w:rFonts w:ascii="Times New Roman" w:hAnsi="Times New Roman" w:cs="Times New Roman"/>
              </w:rPr>
              <w:t>0.0548</w:t>
            </w:r>
          </w:p>
        </w:tc>
        <w:tc>
          <w:tcPr>
            <w:tcW w:w="2158" w:type="dxa"/>
          </w:tcPr>
          <w:p w14:paraId="79ED3A96" w14:textId="3EE8B890" w:rsidR="00FE2AA9" w:rsidRPr="009707C3" w:rsidRDefault="001C5588" w:rsidP="00FE2AA9">
            <w:pPr>
              <w:rPr>
                <w:rFonts w:ascii="Times New Roman" w:hAnsi="Times New Roman" w:cs="Times New Roman"/>
              </w:rPr>
            </w:pPr>
            <w:r w:rsidRPr="001C5588">
              <w:rPr>
                <w:rFonts w:ascii="Times New Roman" w:hAnsi="Times New Roman" w:cs="Times New Roman"/>
              </w:rPr>
              <w:t>0.0007</w:t>
            </w:r>
            <w:r w:rsidR="003A5D87">
              <w:rPr>
                <w:rFonts w:ascii="Times New Roman" w:hAnsi="Times New Roman" w:cs="Times New Roman"/>
              </w:rPr>
              <w:t>**</w:t>
            </w:r>
          </w:p>
        </w:tc>
        <w:tc>
          <w:tcPr>
            <w:tcW w:w="2158" w:type="dxa"/>
          </w:tcPr>
          <w:p w14:paraId="1CED81C2" w14:textId="574ED78E" w:rsidR="00FE2AA9" w:rsidRPr="00A2327E" w:rsidRDefault="001C5588" w:rsidP="001C5588">
            <w:pPr>
              <w:rPr>
                <w:rFonts w:ascii="Times New Roman" w:hAnsi="Times New Roman" w:cs="Times New Roman"/>
              </w:rPr>
            </w:pPr>
            <w:r w:rsidRPr="001C5588">
              <w:rPr>
                <w:rFonts w:ascii="Times New Roman" w:hAnsi="Times New Roman" w:cs="Times New Roman"/>
              </w:rPr>
              <w:t>0.8113</w:t>
            </w:r>
          </w:p>
        </w:tc>
      </w:tr>
      <w:tr w:rsidR="00FE2AA9" w14:paraId="76A77BDF" w14:textId="77777777" w:rsidTr="006B7087">
        <w:tc>
          <w:tcPr>
            <w:tcW w:w="2157" w:type="dxa"/>
          </w:tcPr>
          <w:p w14:paraId="7BDFEA76"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&lt; 1 Year Credentials </w:t>
            </w:r>
          </w:p>
        </w:tc>
        <w:tc>
          <w:tcPr>
            <w:tcW w:w="2157" w:type="dxa"/>
          </w:tcPr>
          <w:p w14:paraId="5832B75D" w14:textId="0A59CF7A" w:rsidR="00FE2AA9" w:rsidRPr="00A2327E" w:rsidRDefault="008670EB" w:rsidP="00FE2AA9">
            <w:pPr>
              <w:rPr>
                <w:rFonts w:ascii="Times New Roman" w:hAnsi="Times New Roman" w:cs="Times New Roman"/>
              </w:rPr>
            </w:pPr>
            <w:r w:rsidRPr="008670EB">
              <w:rPr>
                <w:rFonts w:ascii="Times New Roman" w:hAnsi="Times New Roman" w:cs="Times New Roman"/>
              </w:rPr>
              <w:t>0.1303</w:t>
            </w:r>
          </w:p>
        </w:tc>
        <w:tc>
          <w:tcPr>
            <w:tcW w:w="2158" w:type="dxa"/>
          </w:tcPr>
          <w:p w14:paraId="2CB1466D" w14:textId="7E5ABF3D" w:rsidR="00FE2AA9" w:rsidRPr="00A2327E" w:rsidRDefault="008670EB" w:rsidP="00FE2AA9">
            <w:pPr>
              <w:rPr>
                <w:rFonts w:ascii="Times New Roman" w:hAnsi="Times New Roman" w:cs="Times New Roman"/>
                <w:color w:val="000000"/>
                <w:sz w:val="22"/>
                <w:szCs w:val="22"/>
              </w:rPr>
            </w:pPr>
            <w:r w:rsidRPr="008670EB">
              <w:rPr>
                <w:rFonts w:ascii="Times New Roman" w:hAnsi="Times New Roman" w:cs="Times New Roman"/>
                <w:color w:val="000000"/>
                <w:sz w:val="22"/>
                <w:szCs w:val="22"/>
              </w:rPr>
              <w:t>0.0317</w:t>
            </w:r>
            <w:r w:rsidR="003A5D87">
              <w:rPr>
                <w:rFonts w:ascii="Times New Roman" w:hAnsi="Times New Roman" w:cs="Times New Roman"/>
                <w:color w:val="000000"/>
                <w:sz w:val="22"/>
                <w:szCs w:val="22"/>
              </w:rPr>
              <w:t>*</w:t>
            </w:r>
          </w:p>
        </w:tc>
        <w:tc>
          <w:tcPr>
            <w:tcW w:w="2158" w:type="dxa"/>
          </w:tcPr>
          <w:p w14:paraId="27E77CB2" w14:textId="09588E1E" w:rsidR="00FE2AA9" w:rsidRPr="00A2327E" w:rsidRDefault="008670EB" w:rsidP="00FE2AA9">
            <w:pPr>
              <w:rPr>
                <w:rFonts w:ascii="Times New Roman" w:hAnsi="Times New Roman" w:cs="Times New Roman"/>
              </w:rPr>
            </w:pPr>
            <w:r w:rsidRPr="008670EB">
              <w:rPr>
                <w:rFonts w:ascii="Times New Roman" w:hAnsi="Times New Roman" w:cs="Times New Roman"/>
              </w:rPr>
              <w:t>0.1903</w:t>
            </w:r>
          </w:p>
        </w:tc>
      </w:tr>
      <w:tr w:rsidR="00FE2AA9" w14:paraId="322064C3" w14:textId="77777777" w:rsidTr="006B7087">
        <w:tc>
          <w:tcPr>
            <w:tcW w:w="2157" w:type="dxa"/>
          </w:tcPr>
          <w:p w14:paraId="12481798"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STEM</w:t>
            </w:r>
          </w:p>
        </w:tc>
        <w:tc>
          <w:tcPr>
            <w:tcW w:w="2157" w:type="dxa"/>
          </w:tcPr>
          <w:p w14:paraId="72BDE62D" w14:textId="2EF8B2AE" w:rsidR="00FE2AA9" w:rsidRPr="00A2327E" w:rsidRDefault="008670EB" w:rsidP="00FE2AA9">
            <w:pPr>
              <w:rPr>
                <w:rFonts w:ascii="Times New Roman" w:hAnsi="Times New Roman" w:cs="Times New Roman"/>
                <w:color w:val="000000"/>
                <w:sz w:val="22"/>
                <w:szCs w:val="22"/>
              </w:rPr>
            </w:pPr>
            <w:r w:rsidRPr="008670EB">
              <w:rPr>
                <w:rFonts w:ascii="Times New Roman" w:hAnsi="Times New Roman" w:cs="Times New Roman"/>
                <w:color w:val="000000"/>
                <w:sz w:val="22"/>
                <w:szCs w:val="22"/>
              </w:rPr>
              <w:t>0.4669</w:t>
            </w:r>
          </w:p>
        </w:tc>
        <w:tc>
          <w:tcPr>
            <w:tcW w:w="2158" w:type="dxa"/>
          </w:tcPr>
          <w:p w14:paraId="7A3442E2" w14:textId="728E7B63" w:rsidR="00FE2AA9" w:rsidRPr="00A2327E" w:rsidRDefault="008670EB" w:rsidP="00FE2AA9">
            <w:pPr>
              <w:rPr>
                <w:rFonts w:ascii="Times New Roman" w:hAnsi="Times New Roman" w:cs="Times New Roman"/>
                <w:color w:val="000000"/>
                <w:sz w:val="22"/>
                <w:szCs w:val="22"/>
              </w:rPr>
            </w:pPr>
            <w:r w:rsidRPr="008670EB">
              <w:rPr>
                <w:rFonts w:ascii="Times New Roman" w:hAnsi="Times New Roman" w:cs="Times New Roman"/>
                <w:color w:val="000000"/>
                <w:sz w:val="22"/>
                <w:szCs w:val="22"/>
              </w:rPr>
              <w:t>0.1317</w:t>
            </w:r>
          </w:p>
        </w:tc>
        <w:tc>
          <w:tcPr>
            <w:tcW w:w="2158" w:type="dxa"/>
          </w:tcPr>
          <w:p w14:paraId="41F6BF94" w14:textId="48C6895A" w:rsidR="00FE2AA9" w:rsidRPr="00A2327E" w:rsidRDefault="008670EB" w:rsidP="00FE2AA9">
            <w:pPr>
              <w:rPr>
                <w:rFonts w:ascii="Times New Roman" w:hAnsi="Times New Roman" w:cs="Times New Roman"/>
                <w:color w:val="000000"/>
                <w:sz w:val="22"/>
                <w:szCs w:val="22"/>
              </w:rPr>
            </w:pPr>
            <w:r w:rsidRPr="008670EB">
              <w:rPr>
                <w:rFonts w:ascii="Times New Roman" w:hAnsi="Times New Roman" w:cs="Times New Roman"/>
                <w:color w:val="000000"/>
                <w:sz w:val="22"/>
                <w:szCs w:val="22"/>
              </w:rPr>
              <w:t>0.4703</w:t>
            </w:r>
          </w:p>
        </w:tc>
      </w:tr>
      <w:tr w:rsidR="00FE2AA9" w14:paraId="54DA17CC" w14:textId="77777777" w:rsidTr="006B7087">
        <w:tc>
          <w:tcPr>
            <w:tcW w:w="2157" w:type="dxa"/>
          </w:tcPr>
          <w:p w14:paraId="1FC65812"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Trades</w:t>
            </w:r>
          </w:p>
        </w:tc>
        <w:tc>
          <w:tcPr>
            <w:tcW w:w="2157" w:type="dxa"/>
          </w:tcPr>
          <w:p w14:paraId="172D6C1B" w14:textId="1165AA39" w:rsidR="00FE2AA9" w:rsidRPr="00A2327E" w:rsidRDefault="00ED783F" w:rsidP="00FE2AA9">
            <w:pPr>
              <w:rPr>
                <w:rFonts w:ascii="Times New Roman" w:hAnsi="Times New Roman" w:cs="Times New Roman"/>
                <w:color w:val="000000"/>
                <w:sz w:val="22"/>
                <w:szCs w:val="22"/>
              </w:rPr>
            </w:pPr>
            <w:r w:rsidRPr="00ED783F">
              <w:rPr>
                <w:rFonts w:ascii="Times New Roman" w:hAnsi="Times New Roman" w:cs="Times New Roman"/>
                <w:color w:val="000000"/>
                <w:sz w:val="22"/>
                <w:szCs w:val="22"/>
              </w:rPr>
              <w:t>0.1980</w:t>
            </w:r>
          </w:p>
        </w:tc>
        <w:tc>
          <w:tcPr>
            <w:tcW w:w="2158" w:type="dxa"/>
          </w:tcPr>
          <w:p w14:paraId="4498F8D0" w14:textId="2B55B9DF" w:rsidR="00FE2AA9" w:rsidRPr="00A2327E" w:rsidRDefault="00ED783F" w:rsidP="00FE2AA9">
            <w:pPr>
              <w:rPr>
                <w:rFonts w:ascii="Times New Roman" w:hAnsi="Times New Roman" w:cs="Times New Roman"/>
                <w:color w:val="000000"/>
                <w:sz w:val="22"/>
                <w:szCs w:val="22"/>
              </w:rPr>
            </w:pPr>
            <w:r w:rsidRPr="00ED783F">
              <w:rPr>
                <w:rFonts w:ascii="Times New Roman" w:hAnsi="Times New Roman" w:cs="Times New Roman"/>
                <w:color w:val="000000"/>
                <w:sz w:val="22"/>
                <w:szCs w:val="22"/>
              </w:rPr>
              <w:t>0.2120</w:t>
            </w:r>
          </w:p>
        </w:tc>
        <w:tc>
          <w:tcPr>
            <w:tcW w:w="2158" w:type="dxa"/>
          </w:tcPr>
          <w:p w14:paraId="3B8E1576" w14:textId="56B4CBAA" w:rsidR="00FE2AA9" w:rsidRPr="00A2327E" w:rsidRDefault="00ED783F" w:rsidP="00FE2AA9">
            <w:pPr>
              <w:rPr>
                <w:rFonts w:ascii="Times New Roman" w:hAnsi="Times New Roman" w:cs="Times New Roman"/>
              </w:rPr>
            </w:pPr>
            <w:r w:rsidRPr="00ED783F">
              <w:rPr>
                <w:rFonts w:ascii="Times New Roman" w:hAnsi="Times New Roman" w:cs="Times New Roman"/>
              </w:rPr>
              <w:t>0.0269</w:t>
            </w:r>
          </w:p>
        </w:tc>
      </w:tr>
      <w:tr w:rsidR="00FE2AA9" w14:paraId="588306EE" w14:textId="77777777" w:rsidTr="006B7087">
        <w:tc>
          <w:tcPr>
            <w:tcW w:w="2157" w:type="dxa"/>
          </w:tcPr>
          <w:p w14:paraId="4DCFD556"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Lib Arts</w:t>
            </w:r>
          </w:p>
        </w:tc>
        <w:tc>
          <w:tcPr>
            <w:tcW w:w="2157" w:type="dxa"/>
          </w:tcPr>
          <w:p w14:paraId="3938111F" w14:textId="65EEB611" w:rsidR="00FE2AA9" w:rsidRPr="00A2327E" w:rsidRDefault="00ED783F" w:rsidP="00FE2AA9">
            <w:pPr>
              <w:rPr>
                <w:rFonts w:ascii="Times New Roman" w:hAnsi="Times New Roman" w:cs="Times New Roman"/>
                <w:color w:val="000000"/>
                <w:sz w:val="22"/>
                <w:szCs w:val="22"/>
              </w:rPr>
            </w:pPr>
            <w:r w:rsidRPr="00ED783F">
              <w:rPr>
                <w:rFonts w:ascii="Times New Roman" w:hAnsi="Times New Roman" w:cs="Times New Roman"/>
                <w:color w:val="000000"/>
                <w:sz w:val="22"/>
                <w:szCs w:val="22"/>
              </w:rPr>
              <w:t>0.0112</w:t>
            </w:r>
            <w:r w:rsidR="003A5D87">
              <w:rPr>
                <w:rFonts w:ascii="Times New Roman" w:hAnsi="Times New Roman" w:cs="Times New Roman"/>
                <w:color w:val="000000"/>
                <w:sz w:val="22"/>
                <w:szCs w:val="22"/>
              </w:rPr>
              <w:t>*</w:t>
            </w:r>
          </w:p>
        </w:tc>
        <w:tc>
          <w:tcPr>
            <w:tcW w:w="2158" w:type="dxa"/>
          </w:tcPr>
          <w:p w14:paraId="36F593AD" w14:textId="62EE94EB" w:rsidR="00FE2AA9" w:rsidRPr="00A2327E" w:rsidRDefault="00ED783F" w:rsidP="00FE2AA9">
            <w:pPr>
              <w:rPr>
                <w:rFonts w:ascii="Times New Roman" w:hAnsi="Times New Roman" w:cs="Times New Roman"/>
                <w:color w:val="000000"/>
                <w:sz w:val="22"/>
                <w:szCs w:val="22"/>
              </w:rPr>
            </w:pPr>
            <w:r w:rsidRPr="00ED783F">
              <w:rPr>
                <w:rFonts w:ascii="Times New Roman" w:hAnsi="Times New Roman" w:cs="Times New Roman"/>
                <w:color w:val="000000"/>
                <w:sz w:val="22"/>
                <w:szCs w:val="22"/>
              </w:rPr>
              <w:t>0.0538</w:t>
            </w:r>
          </w:p>
        </w:tc>
        <w:tc>
          <w:tcPr>
            <w:tcW w:w="2158" w:type="dxa"/>
          </w:tcPr>
          <w:p w14:paraId="062F1D48" w14:textId="706FF994" w:rsidR="00FE2AA9" w:rsidRPr="00A2327E" w:rsidRDefault="00ED783F" w:rsidP="00FE2AA9">
            <w:pPr>
              <w:rPr>
                <w:rFonts w:ascii="Times New Roman" w:hAnsi="Times New Roman" w:cs="Times New Roman"/>
              </w:rPr>
            </w:pPr>
            <w:r w:rsidRPr="00ED783F">
              <w:rPr>
                <w:rFonts w:ascii="Times New Roman" w:hAnsi="Times New Roman" w:cs="Times New Roman"/>
              </w:rPr>
              <w:t>0.0000</w:t>
            </w:r>
            <w:r w:rsidR="003A5D87">
              <w:rPr>
                <w:rFonts w:ascii="Times New Roman" w:hAnsi="Times New Roman" w:cs="Times New Roman"/>
              </w:rPr>
              <w:t>***</w:t>
            </w:r>
          </w:p>
        </w:tc>
      </w:tr>
      <w:tr w:rsidR="00FE2AA9" w14:paraId="4D3D1C9B" w14:textId="77777777" w:rsidTr="006B7087">
        <w:tc>
          <w:tcPr>
            <w:tcW w:w="2157" w:type="dxa"/>
          </w:tcPr>
          <w:p w14:paraId="35ADC602"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Pro. Services </w:t>
            </w:r>
          </w:p>
        </w:tc>
        <w:tc>
          <w:tcPr>
            <w:tcW w:w="2157" w:type="dxa"/>
          </w:tcPr>
          <w:p w14:paraId="669203A1" w14:textId="794695BB" w:rsidR="00FE2AA9" w:rsidRPr="00A2327E" w:rsidRDefault="00AD392E" w:rsidP="00FE2AA9">
            <w:pPr>
              <w:rPr>
                <w:rFonts w:ascii="Times New Roman" w:hAnsi="Times New Roman" w:cs="Times New Roman"/>
              </w:rPr>
            </w:pPr>
            <w:r w:rsidRPr="00AD392E">
              <w:rPr>
                <w:rFonts w:ascii="Times New Roman" w:hAnsi="Times New Roman" w:cs="Times New Roman"/>
              </w:rPr>
              <w:t>0.7019</w:t>
            </w:r>
          </w:p>
        </w:tc>
        <w:tc>
          <w:tcPr>
            <w:tcW w:w="2158" w:type="dxa"/>
          </w:tcPr>
          <w:p w14:paraId="0AA22D94" w14:textId="25DB6596" w:rsidR="00FE2AA9" w:rsidRPr="00A2327E" w:rsidRDefault="00AD392E" w:rsidP="00FE2AA9">
            <w:pPr>
              <w:rPr>
                <w:rFonts w:ascii="Times New Roman" w:hAnsi="Times New Roman" w:cs="Times New Roman"/>
                <w:color w:val="000000"/>
                <w:sz w:val="22"/>
                <w:szCs w:val="22"/>
              </w:rPr>
            </w:pPr>
            <w:r w:rsidRPr="00AD392E">
              <w:rPr>
                <w:rFonts w:ascii="Times New Roman" w:hAnsi="Times New Roman" w:cs="Times New Roman"/>
                <w:color w:val="000000"/>
                <w:sz w:val="22"/>
                <w:szCs w:val="22"/>
              </w:rPr>
              <w:t>0.4800</w:t>
            </w:r>
          </w:p>
        </w:tc>
        <w:tc>
          <w:tcPr>
            <w:tcW w:w="2158" w:type="dxa"/>
          </w:tcPr>
          <w:p w14:paraId="0ABB446F" w14:textId="3CC49241" w:rsidR="00FE2AA9" w:rsidRPr="00A2327E" w:rsidRDefault="00AD392E" w:rsidP="00FE2AA9">
            <w:pPr>
              <w:rPr>
                <w:rFonts w:ascii="Times New Roman" w:hAnsi="Times New Roman" w:cs="Times New Roman"/>
                <w:color w:val="000000"/>
                <w:sz w:val="22"/>
                <w:szCs w:val="22"/>
              </w:rPr>
            </w:pPr>
            <w:r w:rsidRPr="00AD392E">
              <w:rPr>
                <w:rFonts w:ascii="Times New Roman" w:hAnsi="Times New Roman" w:cs="Times New Roman"/>
                <w:color w:val="000000"/>
                <w:sz w:val="22"/>
                <w:szCs w:val="22"/>
              </w:rPr>
              <w:t>0.7534</w:t>
            </w:r>
          </w:p>
        </w:tc>
      </w:tr>
      <w:tr w:rsidR="00FE2AA9" w14:paraId="64AD0D40" w14:textId="77777777" w:rsidTr="006B7087">
        <w:tc>
          <w:tcPr>
            <w:tcW w:w="2157" w:type="dxa"/>
          </w:tcPr>
          <w:p w14:paraId="3C7F4EAF" w14:textId="77777777" w:rsidR="00FE2AA9" w:rsidRPr="00D2786A" w:rsidRDefault="00FE2AA9" w:rsidP="00FE2AA9">
            <w:pPr>
              <w:rPr>
                <w:rFonts w:ascii="Times New Roman" w:hAnsi="Times New Roman" w:cs="Times New Roman"/>
              </w:rPr>
            </w:pPr>
            <w:r w:rsidRPr="00D2786A">
              <w:rPr>
                <w:rFonts w:ascii="Times New Roman" w:hAnsi="Times New Roman" w:cs="Times New Roman"/>
              </w:rPr>
              <w:t xml:space="preserve">Human Services </w:t>
            </w:r>
          </w:p>
        </w:tc>
        <w:tc>
          <w:tcPr>
            <w:tcW w:w="2157" w:type="dxa"/>
          </w:tcPr>
          <w:p w14:paraId="7AFA6A62" w14:textId="4B2A3D18" w:rsidR="00FE2AA9" w:rsidRPr="00A2327E" w:rsidRDefault="00AD392E" w:rsidP="00FE2AA9">
            <w:pPr>
              <w:rPr>
                <w:rFonts w:ascii="Times New Roman" w:hAnsi="Times New Roman" w:cs="Times New Roman"/>
                <w:color w:val="000000"/>
                <w:sz w:val="22"/>
                <w:szCs w:val="22"/>
              </w:rPr>
            </w:pPr>
            <w:r w:rsidRPr="00AD392E">
              <w:rPr>
                <w:rFonts w:ascii="Times New Roman" w:hAnsi="Times New Roman" w:cs="Times New Roman"/>
                <w:color w:val="000000"/>
                <w:sz w:val="22"/>
                <w:szCs w:val="22"/>
              </w:rPr>
              <w:t>0.0228</w:t>
            </w:r>
            <w:r w:rsidR="003A5D87">
              <w:rPr>
                <w:rFonts w:ascii="Times New Roman" w:hAnsi="Times New Roman" w:cs="Times New Roman"/>
                <w:color w:val="000000"/>
                <w:sz w:val="22"/>
                <w:szCs w:val="22"/>
              </w:rPr>
              <w:t>*</w:t>
            </w:r>
          </w:p>
        </w:tc>
        <w:tc>
          <w:tcPr>
            <w:tcW w:w="2158" w:type="dxa"/>
          </w:tcPr>
          <w:p w14:paraId="73D0377F" w14:textId="7C3EB93E" w:rsidR="00FE2AA9" w:rsidRPr="00A2327E" w:rsidRDefault="00465DFF" w:rsidP="00FE2AA9">
            <w:pPr>
              <w:rPr>
                <w:rFonts w:ascii="Times New Roman" w:hAnsi="Times New Roman" w:cs="Times New Roman"/>
                <w:color w:val="000000"/>
                <w:sz w:val="22"/>
                <w:szCs w:val="22"/>
              </w:rPr>
            </w:pPr>
            <w:r w:rsidRPr="00465DFF">
              <w:rPr>
                <w:rFonts w:ascii="Times New Roman" w:hAnsi="Times New Roman" w:cs="Times New Roman"/>
                <w:color w:val="000000"/>
                <w:sz w:val="22"/>
                <w:szCs w:val="22"/>
              </w:rPr>
              <w:t>0.0003</w:t>
            </w:r>
            <w:r w:rsidR="003A5D87">
              <w:rPr>
                <w:rFonts w:ascii="Times New Roman" w:hAnsi="Times New Roman" w:cs="Times New Roman"/>
                <w:color w:val="000000"/>
                <w:sz w:val="22"/>
                <w:szCs w:val="22"/>
              </w:rPr>
              <w:t>**</w:t>
            </w:r>
          </w:p>
        </w:tc>
        <w:tc>
          <w:tcPr>
            <w:tcW w:w="2158" w:type="dxa"/>
          </w:tcPr>
          <w:p w14:paraId="15EDF3C2" w14:textId="2D8CC1F8" w:rsidR="00FE2AA9" w:rsidRPr="00A2327E" w:rsidRDefault="00AD392E" w:rsidP="00FE2AA9">
            <w:pPr>
              <w:rPr>
                <w:rFonts w:ascii="Times New Roman" w:hAnsi="Times New Roman" w:cs="Times New Roman"/>
                <w:color w:val="000000"/>
                <w:sz w:val="22"/>
                <w:szCs w:val="22"/>
              </w:rPr>
            </w:pPr>
            <w:r w:rsidRPr="00AD392E">
              <w:rPr>
                <w:rFonts w:ascii="Times New Roman" w:hAnsi="Times New Roman" w:cs="Times New Roman"/>
                <w:color w:val="000000"/>
                <w:sz w:val="22"/>
                <w:szCs w:val="22"/>
              </w:rPr>
              <w:t>0.2580</w:t>
            </w:r>
          </w:p>
        </w:tc>
      </w:tr>
    </w:tbl>
    <w:p w14:paraId="5DE23DCB" w14:textId="77777777" w:rsidR="006E100A" w:rsidRPr="00742705" w:rsidRDefault="006E100A" w:rsidP="006E100A">
      <w:pPr>
        <w:spacing w:line="480" w:lineRule="auto"/>
        <w:rPr>
          <w:rFonts w:ascii="Times New Roman" w:hAnsi="Times New Roman" w:cs="Times New Roman"/>
        </w:rPr>
      </w:pPr>
      <w:r>
        <w:rPr>
          <w:rFonts w:ascii="Times New Roman" w:hAnsi="Times New Roman" w:cs="Times New Roman"/>
        </w:rPr>
        <w:t>* p&lt;0.05, **p&lt;0.01, ***p&lt;0.001</w:t>
      </w:r>
    </w:p>
    <w:p w14:paraId="2AAC0BDE" w14:textId="77777777" w:rsidR="00334A8E" w:rsidRDefault="00334A8E" w:rsidP="00334A8E">
      <w:pPr>
        <w:pStyle w:val="Caption"/>
        <w:spacing w:before="0" w:after="0" w:line="240" w:lineRule="auto"/>
      </w:pPr>
      <w:bookmarkStart w:id="205" w:name="_Toc179888492"/>
      <w:bookmarkStart w:id="206" w:name="_Toc181297773"/>
      <w:bookmarkStart w:id="207" w:name="_Toc180144580"/>
    </w:p>
    <w:p w14:paraId="7065417F" w14:textId="52DAB058" w:rsidR="006E100A" w:rsidRPr="00245787" w:rsidRDefault="006E100A" w:rsidP="00334A8E">
      <w:pPr>
        <w:pStyle w:val="Caption"/>
        <w:spacing w:before="0" w:after="0" w:line="240" w:lineRule="auto"/>
      </w:pPr>
      <w:r w:rsidRPr="00245787">
        <w:t xml:space="preserve">Table </w:t>
      </w:r>
      <w:r>
        <w:t>1</w:t>
      </w:r>
      <w:r w:rsidR="00FE2AA9">
        <w:t>8</w:t>
      </w:r>
      <w:bookmarkEnd w:id="205"/>
      <w:bookmarkEnd w:id="206"/>
      <w:bookmarkEnd w:id="207"/>
    </w:p>
    <w:p w14:paraId="778EA8B5" w14:textId="34B3A459" w:rsidR="006E100A" w:rsidRDefault="006E100A" w:rsidP="00334A8E">
      <w:pPr>
        <w:rPr>
          <w:rFonts w:ascii="Times New Roman" w:hAnsi="Times New Roman" w:cs="Times New Roman"/>
          <w:i/>
          <w:iCs/>
        </w:rPr>
      </w:pPr>
      <w:r>
        <w:rPr>
          <w:rFonts w:ascii="Times New Roman" w:hAnsi="Times New Roman" w:cs="Times New Roman"/>
          <w:i/>
          <w:iCs/>
        </w:rPr>
        <w:t xml:space="preserve">Significance Pre-treatment Parallel Trends – Joint Period Test at </w:t>
      </w:r>
      <w:r w:rsidR="00FE2AA9">
        <w:rPr>
          <w:rFonts w:ascii="Times New Roman" w:hAnsi="Times New Roman" w:cs="Times New Roman"/>
          <w:i/>
          <w:iCs/>
        </w:rPr>
        <w:t>All</w:t>
      </w:r>
      <w:r>
        <w:rPr>
          <w:rFonts w:ascii="Times New Roman" w:hAnsi="Times New Roman" w:cs="Times New Roman"/>
          <w:i/>
          <w:iCs/>
        </w:rPr>
        <w:t xml:space="preserve"> Institutions Only </w:t>
      </w:r>
    </w:p>
    <w:p w14:paraId="36EB2675" w14:textId="77777777" w:rsidR="006E100A" w:rsidRDefault="006E100A" w:rsidP="006E100A">
      <w:pPr>
        <w:rPr>
          <w:rFonts w:ascii="Times New Roman" w:hAnsi="Times New Roman" w:cs="Times New Roman"/>
          <w:i/>
          <w:iCs/>
        </w:rPr>
      </w:pPr>
    </w:p>
    <w:tbl>
      <w:tblPr>
        <w:tblStyle w:val="TableGrid"/>
        <w:tblW w:w="0" w:type="auto"/>
        <w:tblLook w:val="04A0" w:firstRow="1" w:lastRow="0" w:firstColumn="1" w:lastColumn="0" w:noHBand="0" w:noVBand="1"/>
      </w:tblPr>
      <w:tblGrid>
        <w:gridCol w:w="2157"/>
        <w:gridCol w:w="2157"/>
        <w:gridCol w:w="2158"/>
        <w:gridCol w:w="2158"/>
      </w:tblGrid>
      <w:tr w:rsidR="006E100A" w14:paraId="22917C10" w14:textId="77777777" w:rsidTr="006B7087">
        <w:tc>
          <w:tcPr>
            <w:tcW w:w="2157" w:type="dxa"/>
          </w:tcPr>
          <w:p w14:paraId="762F3656" w14:textId="77777777" w:rsidR="006E100A" w:rsidRPr="00D2786A" w:rsidRDefault="006E100A" w:rsidP="006B7087">
            <w:pPr>
              <w:rPr>
                <w:rFonts w:ascii="Times New Roman" w:hAnsi="Times New Roman" w:cs="Times New Roman"/>
              </w:rPr>
            </w:pPr>
          </w:p>
        </w:tc>
        <w:tc>
          <w:tcPr>
            <w:tcW w:w="2157" w:type="dxa"/>
          </w:tcPr>
          <w:p w14:paraId="0C44674C" w14:textId="77777777" w:rsidR="006E100A" w:rsidRPr="00D2786A" w:rsidRDefault="006E100A" w:rsidP="006B7087">
            <w:pPr>
              <w:rPr>
                <w:rFonts w:ascii="Times New Roman" w:hAnsi="Times New Roman" w:cs="Times New Roman"/>
              </w:rPr>
            </w:pPr>
            <w:r w:rsidRPr="00D2786A">
              <w:rPr>
                <w:rFonts w:ascii="Times New Roman" w:hAnsi="Times New Roman" w:cs="Times New Roman"/>
              </w:rPr>
              <w:t>Ordinary Least Squares</w:t>
            </w:r>
          </w:p>
        </w:tc>
        <w:tc>
          <w:tcPr>
            <w:tcW w:w="2158" w:type="dxa"/>
          </w:tcPr>
          <w:p w14:paraId="373B9139" w14:textId="77777777" w:rsidR="006E100A" w:rsidRPr="00D2786A" w:rsidRDefault="006E100A" w:rsidP="006B7087">
            <w:pPr>
              <w:rPr>
                <w:rFonts w:ascii="Times New Roman" w:hAnsi="Times New Roman" w:cs="Times New Roman"/>
              </w:rPr>
            </w:pPr>
            <w:r w:rsidRPr="00D2786A">
              <w:rPr>
                <w:rFonts w:ascii="Times New Roman" w:hAnsi="Times New Roman" w:cs="Times New Roman"/>
              </w:rPr>
              <w:t>Sun &amp; Abraham (Event Study Interact)</w:t>
            </w:r>
          </w:p>
        </w:tc>
        <w:tc>
          <w:tcPr>
            <w:tcW w:w="2158" w:type="dxa"/>
          </w:tcPr>
          <w:p w14:paraId="033EFD8B" w14:textId="77777777" w:rsidR="006E100A" w:rsidRPr="00D2786A" w:rsidRDefault="006E100A" w:rsidP="006B7087">
            <w:pPr>
              <w:rPr>
                <w:rFonts w:ascii="Times New Roman" w:hAnsi="Times New Roman" w:cs="Times New Roman"/>
              </w:rPr>
            </w:pPr>
            <w:r w:rsidRPr="00D2786A">
              <w:rPr>
                <w:rFonts w:ascii="Times New Roman" w:hAnsi="Times New Roman" w:cs="Times New Roman"/>
              </w:rPr>
              <w:t>Borusyak et al (DID Imputation)</w:t>
            </w:r>
          </w:p>
        </w:tc>
      </w:tr>
      <w:tr w:rsidR="00D07D7B" w14:paraId="7ED943EC" w14:textId="77777777" w:rsidTr="00F95D2E">
        <w:tc>
          <w:tcPr>
            <w:tcW w:w="2157" w:type="dxa"/>
          </w:tcPr>
          <w:p w14:paraId="42513EFE"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All Awards</w:t>
            </w:r>
          </w:p>
        </w:tc>
        <w:tc>
          <w:tcPr>
            <w:tcW w:w="2157" w:type="dxa"/>
          </w:tcPr>
          <w:p w14:paraId="41EA6433" w14:textId="075CDB68" w:rsidR="00D07D7B" w:rsidRPr="009707C3" w:rsidRDefault="00D07D7B" w:rsidP="00D07D7B">
            <w:pPr>
              <w:rPr>
                <w:rFonts w:ascii="Times New Roman" w:hAnsi="Times New Roman" w:cs="Times New Roman"/>
              </w:rPr>
            </w:pPr>
            <w:r w:rsidRPr="009707C3">
              <w:rPr>
                <w:rFonts w:ascii="Times New Roman" w:hAnsi="Times New Roman" w:cs="Times New Roman"/>
                <w:color w:val="000000"/>
              </w:rPr>
              <w:t>0.2295</w:t>
            </w:r>
          </w:p>
        </w:tc>
        <w:tc>
          <w:tcPr>
            <w:tcW w:w="2158" w:type="dxa"/>
          </w:tcPr>
          <w:p w14:paraId="5812CEC5" w14:textId="3BB84A54" w:rsidR="00D07D7B" w:rsidRPr="009707C3" w:rsidRDefault="00EA300C" w:rsidP="00D07D7B">
            <w:pPr>
              <w:rPr>
                <w:rFonts w:ascii="Times New Roman" w:hAnsi="Times New Roman" w:cs="Times New Roman"/>
                <w:color w:val="000000"/>
              </w:rPr>
            </w:pPr>
            <w:r w:rsidRPr="009707C3">
              <w:rPr>
                <w:rFonts w:ascii="Times New Roman" w:hAnsi="Times New Roman" w:cs="Times New Roman"/>
                <w:color w:val="000000"/>
              </w:rPr>
              <w:t>0.0034</w:t>
            </w:r>
            <w:r w:rsidR="003A5D87" w:rsidRPr="009707C3">
              <w:rPr>
                <w:rFonts w:ascii="Times New Roman" w:hAnsi="Times New Roman" w:cs="Times New Roman"/>
                <w:color w:val="000000"/>
              </w:rPr>
              <w:t>**</w:t>
            </w:r>
          </w:p>
        </w:tc>
        <w:tc>
          <w:tcPr>
            <w:tcW w:w="2158" w:type="dxa"/>
          </w:tcPr>
          <w:p w14:paraId="64933807" w14:textId="6DB9B600" w:rsidR="00D07D7B" w:rsidRPr="009707C3" w:rsidRDefault="00D07D7B" w:rsidP="00D07D7B">
            <w:pPr>
              <w:rPr>
                <w:rFonts w:ascii="Times New Roman" w:hAnsi="Times New Roman" w:cs="Times New Roman"/>
                <w:color w:val="000000"/>
              </w:rPr>
            </w:pPr>
            <w:r w:rsidRPr="009707C3">
              <w:rPr>
                <w:rFonts w:ascii="Times New Roman" w:hAnsi="Times New Roman" w:cs="Times New Roman"/>
                <w:color w:val="000000"/>
              </w:rPr>
              <w:t>0.0974</w:t>
            </w:r>
          </w:p>
        </w:tc>
      </w:tr>
      <w:tr w:rsidR="00D07D7B" w14:paraId="7ABC6EB2" w14:textId="77777777" w:rsidTr="006B7087">
        <w:tc>
          <w:tcPr>
            <w:tcW w:w="2157" w:type="dxa"/>
          </w:tcPr>
          <w:p w14:paraId="700FBDB3"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Associates Only</w:t>
            </w:r>
          </w:p>
        </w:tc>
        <w:tc>
          <w:tcPr>
            <w:tcW w:w="2157" w:type="dxa"/>
            <w:vAlign w:val="bottom"/>
          </w:tcPr>
          <w:p w14:paraId="26ED7DBB" w14:textId="4EA401AF" w:rsidR="00D07D7B" w:rsidRPr="009707C3" w:rsidRDefault="00057873" w:rsidP="00D07D7B">
            <w:pPr>
              <w:rPr>
                <w:rFonts w:ascii="Times New Roman" w:hAnsi="Times New Roman" w:cs="Times New Roman"/>
              </w:rPr>
            </w:pPr>
            <w:r w:rsidRPr="009707C3">
              <w:rPr>
                <w:rFonts w:ascii="Times New Roman" w:hAnsi="Times New Roman" w:cs="Times New Roman"/>
              </w:rPr>
              <w:t>0.2422</w:t>
            </w:r>
          </w:p>
        </w:tc>
        <w:tc>
          <w:tcPr>
            <w:tcW w:w="2158" w:type="dxa"/>
          </w:tcPr>
          <w:p w14:paraId="7FFD3297" w14:textId="21EAB034" w:rsidR="00D07D7B" w:rsidRPr="009707C3" w:rsidRDefault="001058D7" w:rsidP="00D07D7B">
            <w:pPr>
              <w:rPr>
                <w:rFonts w:ascii="Times New Roman" w:hAnsi="Times New Roman" w:cs="Times New Roman"/>
                <w:color w:val="000000"/>
              </w:rPr>
            </w:pPr>
            <w:r w:rsidRPr="009707C3">
              <w:rPr>
                <w:rFonts w:ascii="Times New Roman" w:hAnsi="Times New Roman" w:cs="Times New Roman"/>
                <w:color w:val="000000"/>
              </w:rPr>
              <w:t>0.1227</w:t>
            </w:r>
          </w:p>
        </w:tc>
        <w:tc>
          <w:tcPr>
            <w:tcW w:w="2158" w:type="dxa"/>
            <w:vAlign w:val="bottom"/>
          </w:tcPr>
          <w:p w14:paraId="2F8ACBE2" w14:textId="2EE50D06" w:rsidR="00D07D7B" w:rsidRPr="009707C3" w:rsidRDefault="00AC6754" w:rsidP="00D07D7B">
            <w:pPr>
              <w:rPr>
                <w:rFonts w:ascii="Times New Roman" w:hAnsi="Times New Roman" w:cs="Times New Roman"/>
              </w:rPr>
            </w:pPr>
            <w:r w:rsidRPr="009707C3">
              <w:rPr>
                <w:rFonts w:ascii="Times New Roman" w:hAnsi="Times New Roman" w:cs="Times New Roman"/>
              </w:rPr>
              <w:t>0.0073</w:t>
            </w:r>
            <w:r w:rsidR="003A5D87" w:rsidRPr="009707C3">
              <w:rPr>
                <w:rFonts w:ascii="Times New Roman" w:hAnsi="Times New Roman" w:cs="Times New Roman"/>
              </w:rPr>
              <w:t>**</w:t>
            </w:r>
          </w:p>
        </w:tc>
      </w:tr>
      <w:tr w:rsidR="00D07D7B" w14:paraId="520C4E69" w14:textId="77777777" w:rsidTr="006B7087">
        <w:tc>
          <w:tcPr>
            <w:tcW w:w="2157" w:type="dxa"/>
          </w:tcPr>
          <w:p w14:paraId="29EF9B73"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All Credentials</w:t>
            </w:r>
          </w:p>
        </w:tc>
        <w:tc>
          <w:tcPr>
            <w:tcW w:w="2157" w:type="dxa"/>
            <w:vAlign w:val="bottom"/>
          </w:tcPr>
          <w:p w14:paraId="682B5D1F" w14:textId="0048861C" w:rsidR="00D07D7B" w:rsidRPr="009707C3" w:rsidRDefault="001058D7" w:rsidP="00D07D7B">
            <w:pPr>
              <w:rPr>
                <w:rFonts w:ascii="Times New Roman" w:hAnsi="Times New Roman" w:cs="Times New Roman"/>
              </w:rPr>
            </w:pPr>
            <w:r w:rsidRPr="009707C3">
              <w:rPr>
                <w:rFonts w:ascii="Times New Roman" w:hAnsi="Times New Roman" w:cs="Times New Roman"/>
              </w:rPr>
              <w:t>0.4556</w:t>
            </w:r>
          </w:p>
        </w:tc>
        <w:tc>
          <w:tcPr>
            <w:tcW w:w="2158" w:type="dxa"/>
          </w:tcPr>
          <w:p w14:paraId="62A06000" w14:textId="52E19DEA" w:rsidR="00D07D7B" w:rsidRPr="009707C3" w:rsidRDefault="00E82B27" w:rsidP="00D07D7B">
            <w:pPr>
              <w:rPr>
                <w:rFonts w:ascii="Times New Roman" w:hAnsi="Times New Roman" w:cs="Times New Roman"/>
                <w:color w:val="000000"/>
              </w:rPr>
            </w:pPr>
            <w:r w:rsidRPr="009707C3">
              <w:rPr>
                <w:rFonts w:ascii="Times New Roman" w:hAnsi="Times New Roman" w:cs="Times New Roman"/>
                <w:color w:val="000000"/>
              </w:rPr>
              <w:t>0.1719</w:t>
            </w:r>
          </w:p>
        </w:tc>
        <w:tc>
          <w:tcPr>
            <w:tcW w:w="2158" w:type="dxa"/>
            <w:vAlign w:val="bottom"/>
          </w:tcPr>
          <w:p w14:paraId="3D8FD5DD" w14:textId="3D36928F" w:rsidR="00D07D7B" w:rsidRPr="009707C3" w:rsidRDefault="00E82B27" w:rsidP="00D07D7B">
            <w:pPr>
              <w:rPr>
                <w:rFonts w:ascii="Times New Roman" w:hAnsi="Times New Roman" w:cs="Times New Roman"/>
              </w:rPr>
            </w:pPr>
            <w:r w:rsidRPr="009707C3">
              <w:rPr>
                <w:rFonts w:ascii="Times New Roman" w:hAnsi="Times New Roman" w:cs="Times New Roman"/>
              </w:rPr>
              <w:t>0.0776</w:t>
            </w:r>
          </w:p>
        </w:tc>
      </w:tr>
      <w:tr w:rsidR="00D07D7B" w14:paraId="26DE9803" w14:textId="77777777" w:rsidTr="006B7087">
        <w:tc>
          <w:tcPr>
            <w:tcW w:w="2157" w:type="dxa"/>
          </w:tcPr>
          <w:p w14:paraId="3D28E4CA" w14:textId="532D89C7" w:rsidR="00D07D7B" w:rsidRPr="00D2786A" w:rsidRDefault="00275D9D" w:rsidP="00D07D7B">
            <w:pPr>
              <w:rPr>
                <w:rFonts w:ascii="Times New Roman" w:hAnsi="Times New Roman" w:cs="Times New Roman"/>
              </w:rPr>
            </w:pPr>
            <w:r>
              <w:rPr>
                <w:rFonts w:ascii="Times New Roman" w:hAnsi="Times New Roman" w:cs="Times New Roman"/>
              </w:rPr>
              <w:t>One</w:t>
            </w:r>
            <w:r w:rsidR="002C3000">
              <w:rPr>
                <w:rFonts w:ascii="Times New Roman" w:hAnsi="Times New Roman" w:cs="Times New Roman"/>
              </w:rPr>
              <w:t>-</w:t>
            </w:r>
            <w:r>
              <w:rPr>
                <w:rFonts w:ascii="Times New Roman" w:hAnsi="Times New Roman" w:cs="Times New Roman"/>
              </w:rPr>
              <w:t>to</w:t>
            </w:r>
            <w:r w:rsidR="002C3000">
              <w:rPr>
                <w:rFonts w:ascii="Times New Roman" w:hAnsi="Times New Roman" w:cs="Times New Roman"/>
              </w:rPr>
              <w:t>-</w:t>
            </w:r>
            <w:r>
              <w:rPr>
                <w:rFonts w:ascii="Times New Roman" w:hAnsi="Times New Roman" w:cs="Times New Roman"/>
              </w:rPr>
              <w:t>Two</w:t>
            </w:r>
            <w:r w:rsidR="00D07D7B" w:rsidRPr="00D2786A">
              <w:rPr>
                <w:rFonts w:ascii="Times New Roman" w:hAnsi="Times New Roman" w:cs="Times New Roman"/>
              </w:rPr>
              <w:t xml:space="preserve"> Year Credentials</w:t>
            </w:r>
          </w:p>
        </w:tc>
        <w:tc>
          <w:tcPr>
            <w:tcW w:w="2157" w:type="dxa"/>
          </w:tcPr>
          <w:p w14:paraId="64DE00A2" w14:textId="7C28D984" w:rsidR="00D07D7B" w:rsidRPr="009707C3" w:rsidRDefault="00251122" w:rsidP="00D07D7B">
            <w:pPr>
              <w:rPr>
                <w:rFonts w:ascii="Times New Roman" w:hAnsi="Times New Roman" w:cs="Times New Roman"/>
              </w:rPr>
            </w:pPr>
            <w:r w:rsidRPr="009707C3">
              <w:rPr>
                <w:rFonts w:ascii="Times New Roman" w:hAnsi="Times New Roman" w:cs="Times New Roman"/>
              </w:rPr>
              <w:t>0.0039</w:t>
            </w:r>
            <w:r w:rsidR="003A5D87" w:rsidRPr="009707C3">
              <w:rPr>
                <w:rFonts w:ascii="Times New Roman" w:hAnsi="Times New Roman" w:cs="Times New Roman"/>
              </w:rPr>
              <w:t>**</w:t>
            </w:r>
          </w:p>
        </w:tc>
        <w:tc>
          <w:tcPr>
            <w:tcW w:w="2158" w:type="dxa"/>
          </w:tcPr>
          <w:p w14:paraId="33CB2C3B" w14:textId="5F267A9A" w:rsidR="00D07D7B" w:rsidRPr="009707C3" w:rsidRDefault="00631EF1" w:rsidP="00D07D7B">
            <w:pPr>
              <w:rPr>
                <w:rFonts w:ascii="Times New Roman" w:hAnsi="Times New Roman" w:cs="Times New Roman"/>
                <w:color w:val="000000"/>
              </w:rPr>
            </w:pPr>
            <w:r w:rsidRPr="009707C3">
              <w:rPr>
                <w:rFonts w:ascii="Times New Roman" w:hAnsi="Times New Roman" w:cs="Times New Roman"/>
                <w:color w:val="000000"/>
              </w:rPr>
              <w:t>0.0000</w:t>
            </w:r>
            <w:r w:rsidR="003A5D87" w:rsidRPr="009707C3">
              <w:rPr>
                <w:rFonts w:ascii="Times New Roman" w:hAnsi="Times New Roman" w:cs="Times New Roman"/>
                <w:color w:val="000000"/>
              </w:rPr>
              <w:t>***</w:t>
            </w:r>
          </w:p>
        </w:tc>
        <w:tc>
          <w:tcPr>
            <w:tcW w:w="2158" w:type="dxa"/>
          </w:tcPr>
          <w:p w14:paraId="146CA40F" w14:textId="2ADF35CC" w:rsidR="00D07D7B" w:rsidRPr="009707C3" w:rsidRDefault="00436886" w:rsidP="00D07D7B">
            <w:pPr>
              <w:rPr>
                <w:rFonts w:ascii="Times New Roman" w:hAnsi="Times New Roman" w:cs="Times New Roman"/>
              </w:rPr>
            </w:pPr>
            <w:r w:rsidRPr="009707C3">
              <w:rPr>
                <w:rFonts w:ascii="Times New Roman" w:hAnsi="Times New Roman" w:cs="Times New Roman"/>
              </w:rPr>
              <w:t>0.8105</w:t>
            </w:r>
          </w:p>
        </w:tc>
      </w:tr>
      <w:tr w:rsidR="00D07D7B" w14:paraId="219E8116" w14:textId="77777777" w:rsidTr="006B7087">
        <w:tc>
          <w:tcPr>
            <w:tcW w:w="2157" w:type="dxa"/>
          </w:tcPr>
          <w:p w14:paraId="447A6649"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 xml:space="preserve">&lt; 1 Year Credentials </w:t>
            </w:r>
          </w:p>
        </w:tc>
        <w:tc>
          <w:tcPr>
            <w:tcW w:w="2157" w:type="dxa"/>
          </w:tcPr>
          <w:p w14:paraId="26B2C507" w14:textId="63D9CFE4" w:rsidR="00D07D7B" w:rsidRPr="009707C3" w:rsidRDefault="00733500" w:rsidP="00D07D7B">
            <w:pPr>
              <w:rPr>
                <w:rFonts w:ascii="Times New Roman" w:hAnsi="Times New Roman" w:cs="Times New Roman"/>
              </w:rPr>
            </w:pPr>
            <w:r w:rsidRPr="009707C3">
              <w:rPr>
                <w:rFonts w:ascii="Times New Roman" w:hAnsi="Times New Roman" w:cs="Times New Roman"/>
              </w:rPr>
              <w:t>0.0095</w:t>
            </w:r>
            <w:r w:rsidR="003A5D87" w:rsidRPr="009707C3">
              <w:rPr>
                <w:rFonts w:ascii="Times New Roman" w:hAnsi="Times New Roman" w:cs="Times New Roman"/>
              </w:rPr>
              <w:t>**</w:t>
            </w:r>
          </w:p>
        </w:tc>
        <w:tc>
          <w:tcPr>
            <w:tcW w:w="2158" w:type="dxa"/>
          </w:tcPr>
          <w:p w14:paraId="333D7476" w14:textId="7470014A" w:rsidR="00D07D7B" w:rsidRPr="009707C3" w:rsidRDefault="004C5276" w:rsidP="00D07D7B">
            <w:pPr>
              <w:rPr>
                <w:rFonts w:ascii="Times New Roman" w:hAnsi="Times New Roman" w:cs="Times New Roman"/>
                <w:color w:val="000000"/>
              </w:rPr>
            </w:pPr>
            <w:r w:rsidRPr="009707C3">
              <w:rPr>
                <w:rFonts w:ascii="Times New Roman" w:hAnsi="Times New Roman" w:cs="Times New Roman"/>
                <w:color w:val="000000"/>
              </w:rPr>
              <w:t>0.0013</w:t>
            </w:r>
            <w:r w:rsidR="003A5D87" w:rsidRPr="009707C3">
              <w:rPr>
                <w:rFonts w:ascii="Times New Roman" w:hAnsi="Times New Roman" w:cs="Times New Roman"/>
                <w:color w:val="000000"/>
              </w:rPr>
              <w:t>**</w:t>
            </w:r>
          </w:p>
        </w:tc>
        <w:tc>
          <w:tcPr>
            <w:tcW w:w="2158" w:type="dxa"/>
          </w:tcPr>
          <w:p w14:paraId="57A9A151" w14:textId="1A3984F2" w:rsidR="00D07D7B" w:rsidRPr="009707C3" w:rsidRDefault="004C5276" w:rsidP="00D07D7B">
            <w:pPr>
              <w:rPr>
                <w:rFonts w:ascii="Times New Roman" w:hAnsi="Times New Roman" w:cs="Times New Roman"/>
              </w:rPr>
            </w:pPr>
            <w:r w:rsidRPr="009707C3">
              <w:rPr>
                <w:rFonts w:ascii="Times New Roman" w:hAnsi="Times New Roman" w:cs="Times New Roman"/>
              </w:rPr>
              <w:t>0.1886</w:t>
            </w:r>
          </w:p>
        </w:tc>
      </w:tr>
      <w:tr w:rsidR="00D07D7B" w14:paraId="7971BE63" w14:textId="77777777" w:rsidTr="006B7087">
        <w:tc>
          <w:tcPr>
            <w:tcW w:w="2157" w:type="dxa"/>
          </w:tcPr>
          <w:p w14:paraId="58CAE89B"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STEM</w:t>
            </w:r>
          </w:p>
        </w:tc>
        <w:tc>
          <w:tcPr>
            <w:tcW w:w="2157" w:type="dxa"/>
          </w:tcPr>
          <w:p w14:paraId="7B4A6450" w14:textId="6C275B9C" w:rsidR="00D07D7B" w:rsidRPr="009707C3" w:rsidRDefault="00D76E6B" w:rsidP="00D07D7B">
            <w:pPr>
              <w:rPr>
                <w:rFonts w:ascii="Times New Roman" w:hAnsi="Times New Roman" w:cs="Times New Roman"/>
                <w:color w:val="000000"/>
              </w:rPr>
            </w:pPr>
            <w:r w:rsidRPr="009707C3">
              <w:rPr>
                <w:rFonts w:ascii="Times New Roman" w:hAnsi="Times New Roman" w:cs="Times New Roman"/>
                <w:color w:val="000000"/>
              </w:rPr>
              <w:t>0.2483</w:t>
            </w:r>
          </w:p>
        </w:tc>
        <w:tc>
          <w:tcPr>
            <w:tcW w:w="2158" w:type="dxa"/>
          </w:tcPr>
          <w:p w14:paraId="6FF74161" w14:textId="14D3D606" w:rsidR="00D07D7B" w:rsidRPr="009707C3" w:rsidRDefault="00D95C0C" w:rsidP="00D07D7B">
            <w:pPr>
              <w:rPr>
                <w:rFonts w:ascii="Times New Roman" w:hAnsi="Times New Roman" w:cs="Times New Roman"/>
                <w:color w:val="000000"/>
              </w:rPr>
            </w:pPr>
            <w:r w:rsidRPr="009707C3">
              <w:rPr>
                <w:rFonts w:ascii="Times New Roman" w:hAnsi="Times New Roman" w:cs="Times New Roman"/>
                <w:color w:val="000000"/>
              </w:rPr>
              <w:t>0.0208</w:t>
            </w:r>
            <w:r w:rsidR="003A5D87" w:rsidRPr="009707C3">
              <w:rPr>
                <w:rFonts w:ascii="Times New Roman" w:hAnsi="Times New Roman" w:cs="Times New Roman"/>
                <w:color w:val="000000"/>
              </w:rPr>
              <w:t>*</w:t>
            </w:r>
          </w:p>
        </w:tc>
        <w:tc>
          <w:tcPr>
            <w:tcW w:w="2158" w:type="dxa"/>
          </w:tcPr>
          <w:p w14:paraId="7B940ADD" w14:textId="3E03E687" w:rsidR="00D07D7B" w:rsidRPr="009707C3" w:rsidRDefault="008263AD" w:rsidP="00D07D7B">
            <w:pPr>
              <w:rPr>
                <w:rFonts w:ascii="Times New Roman" w:hAnsi="Times New Roman" w:cs="Times New Roman"/>
                <w:color w:val="000000"/>
              </w:rPr>
            </w:pPr>
            <w:r w:rsidRPr="009707C3">
              <w:rPr>
                <w:rFonts w:ascii="Times New Roman" w:hAnsi="Times New Roman" w:cs="Times New Roman"/>
                <w:color w:val="000000"/>
              </w:rPr>
              <w:t>0.5008</w:t>
            </w:r>
          </w:p>
        </w:tc>
      </w:tr>
      <w:tr w:rsidR="00D07D7B" w14:paraId="05BACAEC" w14:textId="77777777" w:rsidTr="006B7087">
        <w:tc>
          <w:tcPr>
            <w:tcW w:w="2157" w:type="dxa"/>
          </w:tcPr>
          <w:p w14:paraId="1BA1D0C8"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Trades</w:t>
            </w:r>
          </w:p>
        </w:tc>
        <w:tc>
          <w:tcPr>
            <w:tcW w:w="2157" w:type="dxa"/>
          </w:tcPr>
          <w:p w14:paraId="29D34307" w14:textId="017104AC" w:rsidR="00D07D7B" w:rsidRPr="009707C3" w:rsidRDefault="00D95C0C" w:rsidP="00D07D7B">
            <w:pPr>
              <w:rPr>
                <w:rFonts w:ascii="Times New Roman" w:hAnsi="Times New Roman" w:cs="Times New Roman"/>
                <w:color w:val="000000"/>
              </w:rPr>
            </w:pPr>
            <w:r w:rsidRPr="009707C3">
              <w:rPr>
                <w:rFonts w:ascii="Times New Roman" w:hAnsi="Times New Roman" w:cs="Times New Roman"/>
                <w:color w:val="000000"/>
              </w:rPr>
              <w:t>0.0882</w:t>
            </w:r>
          </w:p>
        </w:tc>
        <w:tc>
          <w:tcPr>
            <w:tcW w:w="2158" w:type="dxa"/>
          </w:tcPr>
          <w:p w14:paraId="28BF2A21" w14:textId="051BF140" w:rsidR="00D07D7B" w:rsidRPr="009707C3" w:rsidRDefault="00DE2E6A" w:rsidP="00D07D7B">
            <w:pPr>
              <w:rPr>
                <w:rFonts w:ascii="Times New Roman" w:hAnsi="Times New Roman" w:cs="Times New Roman"/>
                <w:color w:val="000000"/>
              </w:rPr>
            </w:pPr>
            <w:r w:rsidRPr="009707C3">
              <w:rPr>
                <w:rFonts w:ascii="Times New Roman" w:hAnsi="Times New Roman" w:cs="Times New Roman"/>
                <w:color w:val="000000"/>
              </w:rPr>
              <w:t>0.0734</w:t>
            </w:r>
          </w:p>
        </w:tc>
        <w:tc>
          <w:tcPr>
            <w:tcW w:w="2158" w:type="dxa"/>
          </w:tcPr>
          <w:p w14:paraId="48BFEB83" w14:textId="01878BBC" w:rsidR="00D07D7B" w:rsidRPr="009707C3" w:rsidRDefault="00D95C0C" w:rsidP="00D07D7B">
            <w:pPr>
              <w:rPr>
                <w:rFonts w:ascii="Times New Roman" w:hAnsi="Times New Roman" w:cs="Times New Roman"/>
              </w:rPr>
            </w:pPr>
            <w:r w:rsidRPr="009707C3">
              <w:rPr>
                <w:rFonts w:ascii="Times New Roman" w:hAnsi="Times New Roman" w:cs="Times New Roman"/>
              </w:rPr>
              <w:t>0.0306</w:t>
            </w:r>
            <w:r w:rsidR="003A5D87" w:rsidRPr="009707C3">
              <w:rPr>
                <w:rFonts w:ascii="Times New Roman" w:hAnsi="Times New Roman" w:cs="Times New Roman"/>
              </w:rPr>
              <w:t>*</w:t>
            </w:r>
          </w:p>
        </w:tc>
      </w:tr>
      <w:tr w:rsidR="00D07D7B" w14:paraId="3DD4DB35" w14:textId="77777777" w:rsidTr="006B7087">
        <w:tc>
          <w:tcPr>
            <w:tcW w:w="2157" w:type="dxa"/>
          </w:tcPr>
          <w:p w14:paraId="6A077A67"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Lib Arts</w:t>
            </w:r>
          </w:p>
        </w:tc>
        <w:tc>
          <w:tcPr>
            <w:tcW w:w="2157" w:type="dxa"/>
          </w:tcPr>
          <w:p w14:paraId="3BEFA3E0" w14:textId="7BB14303" w:rsidR="00D07D7B" w:rsidRPr="009707C3" w:rsidRDefault="00DE2E6A" w:rsidP="00D07D7B">
            <w:pPr>
              <w:rPr>
                <w:rFonts w:ascii="Times New Roman" w:hAnsi="Times New Roman" w:cs="Times New Roman"/>
                <w:color w:val="000000"/>
              </w:rPr>
            </w:pPr>
            <w:r w:rsidRPr="009707C3">
              <w:rPr>
                <w:rFonts w:ascii="Times New Roman" w:hAnsi="Times New Roman" w:cs="Times New Roman"/>
                <w:color w:val="000000"/>
              </w:rPr>
              <w:t>0.0352</w:t>
            </w:r>
            <w:r w:rsidR="003A5D87" w:rsidRPr="009707C3">
              <w:rPr>
                <w:rFonts w:ascii="Times New Roman" w:hAnsi="Times New Roman" w:cs="Times New Roman"/>
                <w:color w:val="000000"/>
              </w:rPr>
              <w:t>*</w:t>
            </w:r>
          </w:p>
        </w:tc>
        <w:tc>
          <w:tcPr>
            <w:tcW w:w="2158" w:type="dxa"/>
          </w:tcPr>
          <w:p w14:paraId="736E95C6" w14:textId="4010CE82" w:rsidR="00D07D7B" w:rsidRPr="009707C3" w:rsidRDefault="008023B0" w:rsidP="00D07D7B">
            <w:pPr>
              <w:rPr>
                <w:rFonts w:ascii="Times New Roman" w:hAnsi="Times New Roman" w:cs="Times New Roman"/>
                <w:color w:val="000000"/>
              </w:rPr>
            </w:pPr>
            <w:r w:rsidRPr="008023B0">
              <w:rPr>
                <w:rFonts w:ascii="Times New Roman" w:hAnsi="Times New Roman" w:cs="Times New Roman"/>
                <w:color w:val="000000"/>
              </w:rPr>
              <w:t>0.2470</w:t>
            </w:r>
          </w:p>
        </w:tc>
        <w:tc>
          <w:tcPr>
            <w:tcW w:w="2158" w:type="dxa"/>
          </w:tcPr>
          <w:p w14:paraId="7474BF1E" w14:textId="489AED61" w:rsidR="00D07D7B" w:rsidRPr="009707C3" w:rsidRDefault="008023B0" w:rsidP="00D07D7B">
            <w:pPr>
              <w:rPr>
                <w:rFonts w:ascii="Times New Roman" w:hAnsi="Times New Roman" w:cs="Times New Roman"/>
              </w:rPr>
            </w:pPr>
            <w:r w:rsidRPr="008023B0">
              <w:rPr>
                <w:rFonts w:ascii="Times New Roman" w:hAnsi="Times New Roman" w:cs="Times New Roman"/>
              </w:rPr>
              <w:t>0.0000</w:t>
            </w:r>
            <w:r w:rsidR="003A5D87" w:rsidRPr="009707C3">
              <w:rPr>
                <w:rFonts w:ascii="Times New Roman" w:hAnsi="Times New Roman" w:cs="Times New Roman"/>
              </w:rPr>
              <w:t>***</w:t>
            </w:r>
          </w:p>
        </w:tc>
      </w:tr>
      <w:tr w:rsidR="00D07D7B" w14:paraId="3B092B0D" w14:textId="77777777" w:rsidTr="006B7087">
        <w:tc>
          <w:tcPr>
            <w:tcW w:w="2157" w:type="dxa"/>
          </w:tcPr>
          <w:p w14:paraId="29EA5D17"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 xml:space="preserve">Pro. Services </w:t>
            </w:r>
          </w:p>
        </w:tc>
        <w:tc>
          <w:tcPr>
            <w:tcW w:w="2157" w:type="dxa"/>
          </w:tcPr>
          <w:p w14:paraId="1F021738" w14:textId="66FFFF43" w:rsidR="00D07D7B" w:rsidRPr="009707C3" w:rsidRDefault="004C4B6E" w:rsidP="00D07D7B">
            <w:pPr>
              <w:rPr>
                <w:rFonts w:ascii="Times New Roman" w:hAnsi="Times New Roman" w:cs="Times New Roman"/>
              </w:rPr>
            </w:pPr>
            <w:r w:rsidRPr="004C4B6E">
              <w:rPr>
                <w:rFonts w:ascii="Times New Roman" w:hAnsi="Times New Roman" w:cs="Times New Roman"/>
              </w:rPr>
              <w:t>0.4759</w:t>
            </w:r>
          </w:p>
        </w:tc>
        <w:tc>
          <w:tcPr>
            <w:tcW w:w="2158" w:type="dxa"/>
          </w:tcPr>
          <w:p w14:paraId="2E418D58" w14:textId="17A4102A" w:rsidR="00D07D7B" w:rsidRPr="009707C3" w:rsidRDefault="005A2D69" w:rsidP="00D07D7B">
            <w:pPr>
              <w:rPr>
                <w:rFonts w:ascii="Times New Roman" w:hAnsi="Times New Roman" w:cs="Times New Roman"/>
                <w:color w:val="000000"/>
              </w:rPr>
            </w:pPr>
            <w:r w:rsidRPr="005A2D69">
              <w:rPr>
                <w:rFonts w:ascii="Times New Roman" w:hAnsi="Times New Roman" w:cs="Times New Roman"/>
                <w:color w:val="000000"/>
              </w:rPr>
              <w:t>0.2593</w:t>
            </w:r>
          </w:p>
        </w:tc>
        <w:tc>
          <w:tcPr>
            <w:tcW w:w="2158" w:type="dxa"/>
          </w:tcPr>
          <w:p w14:paraId="23D8462E" w14:textId="158BA388" w:rsidR="00D07D7B" w:rsidRPr="009707C3" w:rsidRDefault="004C4B6E" w:rsidP="00D07D7B">
            <w:pPr>
              <w:rPr>
                <w:rFonts w:ascii="Times New Roman" w:hAnsi="Times New Roman" w:cs="Times New Roman"/>
                <w:color w:val="000000"/>
              </w:rPr>
            </w:pPr>
            <w:r w:rsidRPr="004C4B6E">
              <w:rPr>
                <w:rFonts w:ascii="Times New Roman" w:hAnsi="Times New Roman" w:cs="Times New Roman"/>
                <w:color w:val="000000"/>
              </w:rPr>
              <w:t>0.7586</w:t>
            </w:r>
          </w:p>
        </w:tc>
      </w:tr>
      <w:tr w:rsidR="00D07D7B" w14:paraId="2E6A856A" w14:textId="77777777" w:rsidTr="006B7087">
        <w:tc>
          <w:tcPr>
            <w:tcW w:w="2157" w:type="dxa"/>
          </w:tcPr>
          <w:p w14:paraId="69C5717B" w14:textId="77777777" w:rsidR="00D07D7B" w:rsidRPr="00D2786A" w:rsidRDefault="00D07D7B" w:rsidP="00D07D7B">
            <w:pPr>
              <w:rPr>
                <w:rFonts w:ascii="Times New Roman" w:hAnsi="Times New Roman" w:cs="Times New Roman"/>
              </w:rPr>
            </w:pPr>
            <w:r w:rsidRPr="00D2786A">
              <w:rPr>
                <w:rFonts w:ascii="Times New Roman" w:hAnsi="Times New Roman" w:cs="Times New Roman"/>
              </w:rPr>
              <w:t xml:space="preserve">Human Services </w:t>
            </w:r>
          </w:p>
        </w:tc>
        <w:tc>
          <w:tcPr>
            <w:tcW w:w="2157" w:type="dxa"/>
          </w:tcPr>
          <w:p w14:paraId="382D1029" w14:textId="545559B5" w:rsidR="00876BFA" w:rsidRPr="00876BFA" w:rsidRDefault="00876BFA" w:rsidP="00876BFA">
            <w:pPr>
              <w:rPr>
                <w:rFonts w:ascii="Times New Roman" w:hAnsi="Times New Roman" w:cs="Times New Roman"/>
                <w:color w:val="000000"/>
              </w:rPr>
            </w:pPr>
            <w:r w:rsidRPr="00876BFA">
              <w:rPr>
                <w:rFonts w:ascii="Times New Roman" w:hAnsi="Times New Roman" w:cs="Times New Roman"/>
                <w:color w:val="000000"/>
              </w:rPr>
              <w:t>0.0091</w:t>
            </w:r>
            <w:r w:rsidR="003A5D87" w:rsidRPr="009707C3">
              <w:rPr>
                <w:rFonts w:ascii="Times New Roman" w:hAnsi="Times New Roman" w:cs="Times New Roman"/>
                <w:color w:val="000000"/>
              </w:rPr>
              <w:t>**</w:t>
            </w:r>
          </w:p>
          <w:p w14:paraId="569F5AC4" w14:textId="6A15027F" w:rsidR="00D07D7B" w:rsidRPr="009707C3" w:rsidRDefault="00D07D7B" w:rsidP="00D07D7B">
            <w:pPr>
              <w:rPr>
                <w:rFonts w:ascii="Times New Roman" w:hAnsi="Times New Roman" w:cs="Times New Roman"/>
                <w:color w:val="000000"/>
              </w:rPr>
            </w:pPr>
          </w:p>
        </w:tc>
        <w:tc>
          <w:tcPr>
            <w:tcW w:w="2158" w:type="dxa"/>
          </w:tcPr>
          <w:p w14:paraId="3A69FE4D" w14:textId="1E0CAA89" w:rsidR="00D07D7B" w:rsidRPr="009707C3" w:rsidRDefault="00342292" w:rsidP="00D07D7B">
            <w:pPr>
              <w:rPr>
                <w:rFonts w:ascii="Times New Roman" w:hAnsi="Times New Roman" w:cs="Times New Roman"/>
                <w:color w:val="000000"/>
              </w:rPr>
            </w:pPr>
            <w:r w:rsidRPr="00342292">
              <w:rPr>
                <w:rFonts w:ascii="Times New Roman" w:hAnsi="Times New Roman" w:cs="Times New Roman"/>
                <w:color w:val="000000"/>
              </w:rPr>
              <w:t>0.0000</w:t>
            </w:r>
            <w:r w:rsidR="003A5D87" w:rsidRPr="009707C3">
              <w:rPr>
                <w:rFonts w:ascii="Times New Roman" w:hAnsi="Times New Roman" w:cs="Times New Roman"/>
                <w:color w:val="000000"/>
              </w:rPr>
              <w:t>***</w:t>
            </w:r>
          </w:p>
        </w:tc>
        <w:tc>
          <w:tcPr>
            <w:tcW w:w="2158" w:type="dxa"/>
          </w:tcPr>
          <w:p w14:paraId="165B7D00" w14:textId="77777777" w:rsidR="00876BFA" w:rsidRPr="00876BFA" w:rsidRDefault="00876BFA" w:rsidP="00876BFA">
            <w:pPr>
              <w:rPr>
                <w:rFonts w:ascii="Times New Roman" w:hAnsi="Times New Roman" w:cs="Times New Roman"/>
                <w:color w:val="000000"/>
              </w:rPr>
            </w:pPr>
            <w:r w:rsidRPr="00876BFA">
              <w:rPr>
                <w:rFonts w:ascii="Times New Roman" w:hAnsi="Times New Roman" w:cs="Times New Roman"/>
                <w:color w:val="000000"/>
              </w:rPr>
              <w:t>0.2552</w:t>
            </w:r>
          </w:p>
          <w:p w14:paraId="0F4D956F" w14:textId="5A2E9EC7" w:rsidR="00D07D7B" w:rsidRPr="009707C3" w:rsidRDefault="00D07D7B" w:rsidP="00D07D7B">
            <w:pPr>
              <w:rPr>
                <w:rFonts w:ascii="Times New Roman" w:hAnsi="Times New Roman" w:cs="Times New Roman"/>
                <w:color w:val="000000"/>
              </w:rPr>
            </w:pPr>
          </w:p>
        </w:tc>
      </w:tr>
    </w:tbl>
    <w:p w14:paraId="478CEEED" w14:textId="77777777" w:rsidR="006E100A" w:rsidRPr="00742705" w:rsidRDefault="006E100A" w:rsidP="006E100A">
      <w:pPr>
        <w:spacing w:line="480" w:lineRule="auto"/>
        <w:rPr>
          <w:rFonts w:ascii="Times New Roman" w:hAnsi="Times New Roman" w:cs="Times New Roman"/>
        </w:rPr>
      </w:pPr>
      <w:r>
        <w:rPr>
          <w:rFonts w:ascii="Times New Roman" w:hAnsi="Times New Roman" w:cs="Times New Roman"/>
        </w:rPr>
        <w:t>* p&lt;0.05, **p&lt;0.01, ***p&lt;0.001</w:t>
      </w:r>
    </w:p>
    <w:p w14:paraId="4BB3B4F2" w14:textId="38A96111" w:rsidR="00461EBF" w:rsidRDefault="00461EBF">
      <w:pPr>
        <w:rPr>
          <w:rFonts w:ascii="Times New Roman" w:hAnsi="Times New Roman" w:cs="Times New Roman"/>
          <w:b/>
          <w:bCs/>
          <w:caps/>
          <w:color w:val="000000" w:themeColor="text1"/>
        </w:rPr>
      </w:pPr>
      <w:r>
        <w:br w:type="page"/>
      </w:r>
    </w:p>
    <w:p w14:paraId="17AE4362" w14:textId="546555FD" w:rsidR="00EC3E7D" w:rsidRPr="00C63272" w:rsidRDefault="00EC3E7D" w:rsidP="00D165B0">
      <w:pPr>
        <w:pStyle w:val="Heading1"/>
      </w:pPr>
      <w:bookmarkStart w:id="208" w:name="_Toc183282301"/>
      <w:r w:rsidRPr="00C63272">
        <w:lastRenderedPageBreak/>
        <w:t>Appendix</w:t>
      </w:r>
      <w:r>
        <w:t xml:space="preserve"> </w:t>
      </w:r>
      <w:r w:rsidR="008A30D2">
        <w:t>F</w:t>
      </w:r>
      <w:bookmarkEnd w:id="208"/>
    </w:p>
    <w:p w14:paraId="4D37051F" w14:textId="0A68AF77" w:rsidR="00EC3E7D" w:rsidRDefault="00EC3E7D" w:rsidP="00EC3E7D">
      <w:pPr>
        <w:spacing w:line="480" w:lineRule="auto"/>
        <w:jc w:val="center"/>
        <w:rPr>
          <w:rFonts w:ascii="Times New Roman" w:hAnsi="Times New Roman" w:cs="Times New Roman"/>
        </w:rPr>
      </w:pPr>
      <w:r w:rsidRPr="00EC3E7D">
        <w:rPr>
          <w:rFonts w:ascii="Times New Roman" w:hAnsi="Times New Roman" w:cs="Times New Roman"/>
        </w:rPr>
        <w:t>Evidence of Pre-treatment Parallel Trends</w:t>
      </w:r>
      <w:r w:rsidR="00692CF8">
        <w:rPr>
          <w:rFonts w:ascii="Times New Roman" w:hAnsi="Times New Roman" w:cs="Times New Roman"/>
        </w:rPr>
        <w:t xml:space="preserve"> – Event Study Model, Public Sample</w:t>
      </w:r>
    </w:p>
    <w:p w14:paraId="73E18CE6" w14:textId="77777777" w:rsidR="0023782B" w:rsidRPr="00EF4B03" w:rsidRDefault="0023782B" w:rsidP="0023782B">
      <w:pPr>
        <w:rPr>
          <w:rFonts w:ascii="Times New Roman" w:hAnsi="Times New Roman" w:cs="Times New Roman"/>
          <w:b/>
          <w:bCs/>
        </w:rPr>
      </w:pPr>
    </w:p>
    <w:tbl>
      <w:tblPr>
        <w:tblStyle w:val="TableGrid"/>
        <w:tblW w:w="0" w:type="auto"/>
        <w:tblInd w:w="6" w:type="dxa"/>
        <w:tblLook w:val="04A0" w:firstRow="1" w:lastRow="0" w:firstColumn="1" w:lastColumn="0" w:noHBand="0" w:noVBand="1"/>
      </w:tblPr>
      <w:tblGrid>
        <w:gridCol w:w="4312"/>
        <w:gridCol w:w="4312"/>
      </w:tblGrid>
      <w:tr w:rsidR="0023782B" w14:paraId="1EA42A84" w14:textId="77777777" w:rsidTr="005A295F">
        <w:trPr>
          <w:trHeight w:val="3365"/>
        </w:trPr>
        <w:tc>
          <w:tcPr>
            <w:tcW w:w="4312" w:type="dxa"/>
          </w:tcPr>
          <w:p w14:paraId="78BC2B4B" w14:textId="2737B8E5" w:rsidR="0023782B" w:rsidRDefault="000B22BD">
            <w:pPr>
              <w:rPr>
                <w:rFonts w:ascii="Times New Roman" w:hAnsi="Times New Roman" w:cs="Times New Roman"/>
              </w:rPr>
            </w:pPr>
            <w:r w:rsidRPr="000B22BD">
              <w:rPr>
                <w:rFonts w:ascii="Times New Roman" w:hAnsi="Times New Roman" w:cs="Times New Roman"/>
                <w:b/>
                <w:bCs/>
              </w:rPr>
              <w:t>Panel A</w:t>
            </w:r>
            <w:r w:rsidR="00C82D13" w:rsidRPr="00C82D13">
              <w:rPr>
                <w:rFonts w:ascii="Times New Roman" w:hAnsi="Times New Roman" w:cs="Times New Roman"/>
                <w:noProof/>
              </w:rPr>
              <w:drawing>
                <wp:inline distT="0" distB="0" distL="0" distR="0" wp14:anchorId="6D9AC529" wp14:editId="556431AD">
                  <wp:extent cx="2573867" cy="1871902"/>
                  <wp:effectExtent l="0" t="0" r="4445" b="0"/>
                  <wp:docPr id="1515194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94619" name=""/>
                          <pic:cNvPicPr/>
                        </pic:nvPicPr>
                        <pic:blipFill>
                          <a:blip r:embed="rId44"/>
                          <a:stretch>
                            <a:fillRect/>
                          </a:stretch>
                        </pic:blipFill>
                        <pic:spPr>
                          <a:xfrm>
                            <a:off x="0" y="0"/>
                            <a:ext cx="2616578" cy="1902964"/>
                          </a:xfrm>
                          <a:prstGeom prst="rect">
                            <a:avLst/>
                          </a:prstGeom>
                        </pic:spPr>
                      </pic:pic>
                    </a:graphicData>
                  </a:graphic>
                </wp:inline>
              </w:drawing>
            </w:r>
          </w:p>
        </w:tc>
        <w:tc>
          <w:tcPr>
            <w:tcW w:w="4312" w:type="dxa"/>
          </w:tcPr>
          <w:p w14:paraId="30D99F33" w14:textId="3BCF1654" w:rsidR="000B22BD" w:rsidRPr="000B22BD" w:rsidRDefault="000B22BD" w:rsidP="000B22BD">
            <w:pPr>
              <w:rPr>
                <w:rFonts w:ascii="Times New Roman" w:hAnsi="Times New Roman" w:cs="Times New Roman"/>
                <w:b/>
                <w:bCs/>
              </w:rPr>
            </w:pPr>
            <w:r w:rsidRPr="000B22BD">
              <w:rPr>
                <w:rFonts w:ascii="Times New Roman" w:hAnsi="Times New Roman" w:cs="Times New Roman"/>
                <w:b/>
                <w:bCs/>
              </w:rPr>
              <w:t>Panel B</w:t>
            </w:r>
          </w:p>
          <w:p w14:paraId="57602624" w14:textId="77043D17" w:rsidR="003A1F54" w:rsidRDefault="00782AA4" w:rsidP="005A295F">
            <w:pPr>
              <w:jc w:val="right"/>
              <w:rPr>
                <w:rFonts w:ascii="Times New Roman" w:hAnsi="Times New Roman" w:cs="Times New Roman"/>
              </w:rPr>
            </w:pPr>
            <w:r w:rsidRPr="00782AA4">
              <w:rPr>
                <w:rFonts w:ascii="Times New Roman" w:hAnsi="Times New Roman" w:cs="Times New Roman"/>
                <w:noProof/>
              </w:rPr>
              <w:drawing>
                <wp:inline distT="0" distB="0" distL="0" distR="0" wp14:anchorId="3B305C0A" wp14:editId="0D4C964F">
                  <wp:extent cx="2573098" cy="1871345"/>
                  <wp:effectExtent l="0" t="0" r="5080" b="0"/>
                  <wp:docPr id="903083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83685" name=""/>
                          <pic:cNvPicPr/>
                        </pic:nvPicPr>
                        <pic:blipFill>
                          <a:blip r:embed="rId45"/>
                          <a:stretch>
                            <a:fillRect/>
                          </a:stretch>
                        </pic:blipFill>
                        <pic:spPr>
                          <a:xfrm>
                            <a:off x="0" y="0"/>
                            <a:ext cx="2612074" cy="1899691"/>
                          </a:xfrm>
                          <a:prstGeom prst="rect">
                            <a:avLst/>
                          </a:prstGeom>
                        </pic:spPr>
                      </pic:pic>
                    </a:graphicData>
                  </a:graphic>
                </wp:inline>
              </w:drawing>
            </w:r>
          </w:p>
        </w:tc>
      </w:tr>
      <w:tr w:rsidR="0023782B" w14:paraId="5D3BBA9B" w14:textId="77777777" w:rsidTr="005A295F">
        <w:tc>
          <w:tcPr>
            <w:tcW w:w="4312" w:type="dxa"/>
          </w:tcPr>
          <w:p w14:paraId="584AA256" w14:textId="5CFE7264" w:rsidR="000B22BD" w:rsidRPr="000B22BD" w:rsidRDefault="000B22BD">
            <w:pPr>
              <w:rPr>
                <w:rFonts w:ascii="Times New Roman" w:hAnsi="Times New Roman" w:cs="Times New Roman"/>
                <w:b/>
                <w:bCs/>
              </w:rPr>
            </w:pPr>
            <w:r w:rsidRPr="000B22BD">
              <w:rPr>
                <w:rFonts w:ascii="Times New Roman" w:hAnsi="Times New Roman" w:cs="Times New Roman"/>
                <w:b/>
                <w:bCs/>
              </w:rPr>
              <w:t>Panel C</w:t>
            </w:r>
          </w:p>
          <w:p w14:paraId="63269332" w14:textId="7F2562C2" w:rsidR="0023782B" w:rsidRDefault="00782AA4">
            <w:pPr>
              <w:rPr>
                <w:rFonts w:ascii="Times New Roman" w:hAnsi="Times New Roman" w:cs="Times New Roman"/>
              </w:rPr>
            </w:pPr>
            <w:r w:rsidRPr="00782AA4">
              <w:rPr>
                <w:rFonts w:ascii="Times New Roman" w:hAnsi="Times New Roman" w:cs="Times New Roman"/>
                <w:noProof/>
              </w:rPr>
              <w:drawing>
                <wp:inline distT="0" distB="0" distL="0" distR="0" wp14:anchorId="3C6F2459" wp14:editId="2A228A49">
                  <wp:extent cx="2572808" cy="1871133"/>
                  <wp:effectExtent l="0" t="0" r="5715" b="0"/>
                  <wp:docPr id="401432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32292" name=""/>
                          <pic:cNvPicPr/>
                        </pic:nvPicPr>
                        <pic:blipFill>
                          <a:blip r:embed="rId46"/>
                          <a:stretch>
                            <a:fillRect/>
                          </a:stretch>
                        </pic:blipFill>
                        <pic:spPr>
                          <a:xfrm>
                            <a:off x="0" y="0"/>
                            <a:ext cx="2589477" cy="1883256"/>
                          </a:xfrm>
                          <a:prstGeom prst="rect">
                            <a:avLst/>
                          </a:prstGeom>
                        </pic:spPr>
                      </pic:pic>
                    </a:graphicData>
                  </a:graphic>
                </wp:inline>
              </w:drawing>
            </w:r>
          </w:p>
        </w:tc>
        <w:tc>
          <w:tcPr>
            <w:tcW w:w="4312" w:type="dxa"/>
          </w:tcPr>
          <w:p w14:paraId="02895BED" w14:textId="13D93066" w:rsidR="000B22BD" w:rsidRPr="000B22BD" w:rsidRDefault="000B22BD" w:rsidP="000B22BD">
            <w:pPr>
              <w:rPr>
                <w:rFonts w:ascii="Times New Roman" w:hAnsi="Times New Roman" w:cs="Times New Roman"/>
                <w:b/>
                <w:bCs/>
              </w:rPr>
            </w:pPr>
            <w:r>
              <w:rPr>
                <w:rFonts w:ascii="Times New Roman" w:hAnsi="Times New Roman" w:cs="Times New Roman"/>
                <w:b/>
                <w:bCs/>
              </w:rPr>
              <w:t>Panel D</w:t>
            </w:r>
          </w:p>
          <w:p w14:paraId="7A81B64E" w14:textId="0B364F52" w:rsidR="003A1F54" w:rsidRDefault="00A7364D" w:rsidP="005A295F">
            <w:pPr>
              <w:jc w:val="right"/>
              <w:rPr>
                <w:rFonts w:ascii="Times New Roman" w:hAnsi="Times New Roman" w:cs="Times New Roman"/>
              </w:rPr>
            </w:pPr>
            <w:r w:rsidRPr="00A7364D">
              <w:rPr>
                <w:rFonts w:ascii="Times New Roman" w:hAnsi="Times New Roman" w:cs="Times New Roman"/>
                <w:noProof/>
              </w:rPr>
              <w:drawing>
                <wp:inline distT="0" distB="0" distL="0" distR="0" wp14:anchorId="67774B2C" wp14:editId="76D14144">
                  <wp:extent cx="2572226" cy="1870710"/>
                  <wp:effectExtent l="0" t="0" r="6350" b="0"/>
                  <wp:docPr id="1895569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69123" name=""/>
                          <pic:cNvPicPr/>
                        </pic:nvPicPr>
                        <pic:blipFill>
                          <a:blip r:embed="rId47"/>
                          <a:stretch>
                            <a:fillRect/>
                          </a:stretch>
                        </pic:blipFill>
                        <pic:spPr>
                          <a:xfrm>
                            <a:off x="0" y="0"/>
                            <a:ext cx="2584078" cy="1879330"/>
                          </a:xfrm>
                          <a:prstGeom prst="rect">
                            <a:avLst/>
                          </a:prstGeom>
                        </pic:spPr>
                      </pic:pic>
                    </a:graphicData>
                  </a:graphic>
                </wp:inline>
              </w:drawing>
            </w:r>
          </w:p>
        </w:tc>
      </w:tr>
      <w:tr w:rsidR="005A295F" w14:paraId="60E27D7C" w14:textId="77777777" w:rsidTr="005A295F">
        <w:tc>
          <w:tcPr>
            <w:tcW w:w="4312" w:type="dxa"/>
          </w:tcPr>
          <w:p w14:paraId="786E9D89" w14:textId="77777777" w:rsidR="005A295F" w:rsidRDefault="005A295F" w:rsidP="00321842">
            <w:pPr>
              <w:rPr>
                <w:rFonts w:ascii="Times New Roman" w:hAnsi="Times New Roman" w:cs="Times New Roman"/>
              </w:rPr>
            </w:pPr>
            <w:r>
              <w:rPr>
                <w:rFonts w:ascii="Times New Roman" w:hAnsi="Times New Roman" w:cs="Times New Roman"/>
                <w:b/>
                <w:bCs/>
              </w:rPr>
              <w:t>Panel E</w:t>
            </w:r>
            <w:r w:rsidRPr="00E27A1D">
              <w:rPr>
                <w:rFonts w:ascii="Times New Roman" w:hAnsi="Times New Roman" w:cs="Times New Roman"/>
                <w:noProof/>
              </w:rPr>
              <w:drawing>
                <wp:inline distT="0" distB="0" distL="0" distR="0" wp14:anchorId="6BF4F854" wp14:editId="2FE79924">
                  <wp:extent cx="2572385" cy="1870826"/>
                  <wp:effectExtent l="0" t="0" r="5715" b="0"/>
                  <wp:docPr id="486827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27206" name=""/>
                          <pic:cNvPicPr/>
                        </pic:nvPicPr>
                        <pic:blipFill>
                          <a:blip r:embed="rId48"/>
                          <a:stretch>
                            <a:fillRect/>
                          </a:stretch>
                        </pic:blipFill>
                        <pic:spPr>
                          <a:xfrm>
                            <a:off x="0" y="0"/>
                            <a:ext cx="2613870" cy="1900997"/>
                          </a:xfrm>
                          <a:prstGeom prst="rect">
                            <a:avLst/>
                          </a:prstGeom>
                        </pic:spPr>
                      </pic:pic>
                    </a:graphicData>
                  </a:graphic>
                </wp:inline>
              </w:drawing>
            </w:r>
          </w:p>
        </w:tc>
        <w:tc>
          <w:tcPr>
            <w:tcW w:w="4312" w:type="dxa"/>
          </w:tcPr>
          <w:p w14:paraId="469E8F2C" w14:textId="77777777" w:rsidR="005A295F" w:rsidRPr="000B22BD" w:rsidRDefault="005A295F" w:rsidP="00321842">
            <w:pPr>
              <w:rPr>
                <w:rFonts w:ascii="Times New Roman" w:hAnsi="Times New Roman" w:cs="Times New Roman"/>
                <w:b/>
                <w:bCs/>
              </w:rPr>
            </w:pPr>
            <w:r>
              <w:rPr>
                <w:rFonts w:ascii="Times New Roman" w:hAnsi="Times New Roman" w:cs="Times New Roman"/>
                <w:b/>
                <w:bCs/>
              </w:rPr>
              <w:t>Panel F</w:t>
            </w:r>
          </w:p>
          <w:p w14:paraId="4BE7754F" w14:textId="77777777" w:rsidR="005A295F" w:rsidRDefault="005A295F" w:rsidP="00321842">
            <w:pPr>
              <w:jc w:val="right"/>
              <w:rPr>
                <w:rFonts w:ascii="Times New Roman" w:hAnsi="Times New Roman" w:cs="Times New Roman"/>
              </w:rPr>
            </w:pPr>
            <w:r w:rsidRPr="00C066C4">
              <w:rPr>
                <w:rFonts w:ascii="Times New Roman" w:hAnsi="Times New Roman" w:cs="Times New Roman"/>
                <w:noProof/>
              </w:rPr>
              <w:drawing>
                <wp:inline distT="0" distB="0" distL="0" distR="0" wp14:anchorId="62EABFD6" wp14:editId="62CE52B3">
                  <wp:extent cx="2572226" cy="1870710"/>
                  <wp:effectExtent l="0" t="0" r="6350" b="0"/>
                  <wp:docPr id="2132479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79131" name=""/>
                          <pic:cNvPicPr/>
                        </pic:nvPicPr>
                        <pic:blipFill>
                          <a:blip r:embed="rId49"/>
                          <a:stretch>
                            <a:fillRect/>
                          </a:stretch>
                        </pic:blipFill>
                        <pic:spPr>
                          <a:xfrm>
                            <a:off x="0" y="0"/>
                            <a:ext cx="2596166" cy="1888121"/>
                          </a:xfrm>
                          <a:prstGeom prst="rect">
                            <a:avLst/>
                          </a:prstGeom>
                        </pic:spPr>
                      </pic:pic>
                    </a:graphicData>
                  </a:graphic>
                </wp:inline>
              </w:drawing>
            </w:r>
          </w:p>
          <w:p w14:paraId="098C27E0" w14:textId="77777777" w:rsidR="005A295F" w:rsidRDefault="005A295F" w:rsidP="00321842">
            <w:pPr>
              <w:jc w:val="right"/>
              <w:rPr>
                <w:rFonts w:ascii="Times New Roman" w:hAnsi="Times New Roman" w:cs="Times New Roman"/>
              </w:rPr>
            </w:pPr>
          </w:p>
        </w:tc>
      </w:tr>
    </w:tbl>
    <w:p w14:paraId="04F74E18" w14:textId="77777777" w:rsidR="00334A8E" w:rsidRDefault="00334A8E" w:rsidP="003A1F54">
      <w:pPr>
        <w:rPr>
          <w:rFonts w:ascii="Times New Roman" w:hAnsi="Times New Roman" w:cs="Times New Roman"/>
          <w:b/>
          <w:bCs/>
        </w:rPr>
      </w:pPr>
    </w:p>
    <w:p w14:paraId="7236E2BE" w14:textId="77777777" w:rsidR="00334A8E" w:rsidRPr="004C564E" w:rsidRDefault="00334A8E" w:rsidP="00334A8E">
      <w:pPr>
        <w:pStyle w:val="TableofFigs"/>
        <w:spacing w:line="240" w:lineRule="auto"/>
      </w:pPr>
      <w:bookmarkStart w:id="209" w:name="_Toc180144607"/>
      <w:r w:rsidRPr="004C564E">
        <w:t xml:space="preserve">Figure </w:t>
      </w:r>
      <w:r>
        <w:t>27</w:t>
      </w:r>
      <w:bookmarkEnd w:id="209"/>
    </w:p>
    <w:p w14:paraId="612F64B2" w14:textId="433F79F5" w:rsidR="00334A8E" w:rsidRPr="00334A8E" w:rsidRDefault="00334A8E" w:rsidP="003A1F54">
      <w:pPr>
        <w:rPr>
          <w:rFonts w:ascii="Times New Roman" w:hAnsi="Times New Roman" w:cs="Times New Roman"/>
          <w:i/>
          <w:iCs/>
        </w:rPr>
      </w:pPr>
      <w:r>
        <w:rPr>
          <w:rFonts w:ascii="Times New Roman" w:hAnsi="Times New Roman" w:cs="Times New Roman"/>
          <w:i/>
          <w:iCs/>
        </w:rPr>
        <w:t xml:space="preserve">Visualization of Sun &amp; Abraham’s (2020) Trends for Public Institutions Only </w:t>
      </w:r>
    </w:p>
    <w:p w14:paraId="0639AE03" w14:textId="77777777" w:rsidR="005A295F" w:rsidRDefault="005A295F" w:rsidP="003A1F54">
      <w:pPr>
        <w:rPr>
          <w:rFonts w:ascii="Times New Roman" w:hAnsi="Times New Roman" w:cs="Times New Roman"/>
          <w:b/>
          <w:bCs/>
        </w:rPr>
      </w:pPr>
    </w:p>
    <w:tbl>
      <w:tblPr>
        <w:tblStyle w:val="TableGrid"/>
        <w:tblW w:w="0" w:type="auto"/>
        <w:tblLook w:val="04A0" w:firstRow="1" w:lastRow="0" w:firstColumn="1" w:lastColumn="0" w:noHBand="0" w:noVBand="1"/>
      </w:tblPr>
      <w:tblGrid>
        <w:gridCol w:w="4315"/>
        <w:gridCol w:w="4315"/>
      </w:tblGrid>
      <w:tr w:rsidR="005A295F" w14:paraId="1511D4D1" w14:textId="77777777" w:rsidTr="00321842">
        <w:tc>
          <w:tcPr>
            <w:tcW w:w="4315" w:type="dxa"/>
          </w:tcPr>
          <w:p w14:paraId="14ABE159" w14:textId="7AC1D0A7" w:rsidR="005A295F" w:rsidRDefault="005A295F" w:rsidP="00321842">
            <w:pPr>
              <w:rPr>
                <w:rFonts w:ascii="Times New Roman" w:hAnsi="Times New Roman" w:cs="Times New Roman"/>
              </w:rPr>
            </w:pPr>
          </w:p>
        </w:tc>
        <w:tc>
          <w:tcPr>
            <w:tcW w:w="4315" w:type="dxa"/>
          </w:tcPr>
          <w:p w14:paraId="1444237B" w14:textId="77777777" w:rsidR="005A295F" w:rsidRDefault="005A295F" w:rsidP="00321842">
            <w:pPr>
              <w:jc w:val="right"/>
              <w:rPr>
                <w:rFonts w:ascii="Times New Roman" w:hAnsi="Times New Roman" w:cs="Times New Roman"/>
              </w:rPr>
            </w:pPr>
          </w:p>
        </w:tc>
      </w:tr>
      <w:tr w:rsidR="005A295F" w:rsidRPr="006E6BE9" w14:paraId="569C044A" w14:textId="77777777" w:rsidTr="00321842">
        <w:tc>
          <w:tcPr>
            <w:tcW w:w="4315" w:type="dxa"/>
          </w:tcPr>
          <w:p w14:paraId="681E1311" w14:textId="77777777" w:rsidR="005A295F" w:rsidRPr="000B22BD" w:rsidRDefault="005A295F" w:rsidP="00321842">
            <w:pPr>
              <w:rPr>
                <w:rFonts w:ascii="Times New Roman" w:hAnsi="Times New Roman" w:cs="Times New Roman"/>
                <w:b/>
                <w:bCs/>
              </w:rPr>
            </w:pPr>
            <w:r w:rsidRPr="000B22BD">
              <w:rPr>
                <w:rFonts w:ascii="Times New Roman" w:hAnsi="Times New Roman" w:cs="Times New Roman"/>
                <w:b/>
                <w:bCs/>
              </w:rPr>
              <w:t>Panel G</w:t>
            </w:r>
          </w:p>
          <w:p w14:paraId="64CE5568" w14:textId="77777777" w:rsidR="005A295F" w:rsidRPr="006E6BE9" w:rsidRDefault="005A295F" w:rsidP="00321842">
            <w:pPr>
              <w:rPr>
                <w:rFonts w:ascii="Times New Roman" w:hAnsi="Times New Roman" w:cs="Times New Roman"/>
              </w:rPr>
            </w:pPr>
            <w:r w:rsidRPr="00C066C4">
              <w:rPr>
                <w:rFonts w:ascii="Times New Roman" w:hAnsi="Times New Roman" w:cs="Times New Roman"/>
                <w:noProof/>
              </w:rPr>
              <w:drawing>
                <wp:inline distT="0" distB="0" distL="0" distR="0" wp14:anchorId="52F0163B" wp14:editId="5F91C274">
                  <wp:extent cx="2556934" cy="1859588"/>
                  <wp:effectExtent l="0" t="0" r="0" b="0"/>
                  <wp:docPr id="905001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01367" name=""/>
                          <pic:cNvPicPr/>
                        </pic:nvPicPr>
                        <pic:blipFill>
                          <a:blip r:embed="rId50"/>
                          <a:stretch>
                            <a:fillRect/>
                          </a:stretch>
                        </pic:blipFill>
                        <pic:spPr>
                          <a:xfrm>
                            <a:off x="0" y="0"/>
                            <a:ext cx="2591487" cy="1884717"/>
                          </a:xfrm>
                          <a:prstGeom prst="rect">
                            <a:avLst/>
                          </a:prstGeom>
                        </pic:spPr>
                      </pic:pic>
                    </a:graphicData>
                  </a:graphic>
                </wp:inline>
              </w:drawing>
            </w:r>
          </w:p>
        </w:tc>
        <w:tc>
          <w:tcPr>
            <w:tcW w:w="4315" w:type="dxa"/>
          </w:tcPr>
          <w:p w14:paraId="5AAF55A4" w14:textId="77777777" w:rsidR="005A295F" w:rsidRPr="000B22BD" w:rsidRDefault="005A295F" w:rsidP="00321842">
            <w:pPr>
              <w:rPr>
                <w:rFonts w:ascii="Times New Roman" w:hAnsi="Times New Roman" w:cs="Times New Roman"/>
                <w:b/>
                <w:bCs/>
              </w:rPr>
            </w:pPr>
            <w:r w:rsidRPr="000B22BD">
              <w:rPr>
                <w:rFonts w:ascii="Times New Roman" w:hAnsi="Times New Roman" w:cs="Times New Roman"/>
                <w:b/>
                <w:bCs/>
              </w:rPr>
              <w:t xml:space="preserve">Panel </w:t>
            </w:r>
            <w:r>
              <w:rPr>
                <w:rFonts w:ascii="Times New Roman" w:hAnsi="Times New Roman" w:cs="Times New Roman"/>
                <w:b/>
                <w:bCs/>
              </w:rPr>
              <w:t>H</w:t>
            </w:r>
          </w:p>
          <w:p w14:paraId="13754CC6" w14:textId="77777777" w:rsidR="005A295F" w:rsidRDefault="005A295F" w:rsidP="00321842">
            <w:pPr>
              <w:jc w:val="right"/>
              <w:rPr>
                <w:rFonts w:ascii="Times New Roman" w:hAnsi="Times New Roman" w:cs="Times New Roman"/>
              </w:rPr>
            </w:pPr>
            <w:r w:rsidRPr="00A7364D">
              <w:rPr>
                <w:rFonts w:ascii="Times New Roman" w:hAnsi="Times New Roman" w:cs="Times New Roman"/>
                <w:noProof/>
              </w:rPr>
              <w:drawing>
                <wp:inline distT="0" distB="0" distL="0" distR="0" wp14:anchorId="75DDC0FE" wp14:editId="5741BCD8">
                  <wp:extent cx="2582334" cy="1878061"/>
                  <wp:effectExtent l="0" t="0" r="0" b="1905"/>
                  <wp:docPr id="326625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25129" name=""/>
                          <pic:cNvPicPr/>
                        </pic:nvPicPr>
                        <pic:blipFill>
                          <a:blip r:embed="rId51"/>
                          <a:stretch>
                            <a:fillRect/>
                          </a:stretch>
                        </pic:blipFill>
                        <pic:spPr>
                          <a:xfrm>
                            <a:off x="0" y="0"/>
                            <a:ext cx="2621020" cy="1906196"/>
                          </a:xfrm>
                          <a:prstGeom prst="rect">
                            <a:avLst/>
                          </a:prstGeom>
                        </pic:spPr>
                      </pic:pic>
                    </a:graphicData>
                  </a:graphic>
                </wp:inline>
              </w:drawing>
            </w:r>
          </w:p>
          <w:p w14:paraId="160EF364" w14:textId="77777777" w:rsidR="005A295F" w:rsidRPr="006E6BE9" w:rsidRDefault="005A295F" w:rsidP="00321842">
            <w:pPr>
              <w:jc w:val="right"/>
              <w:rPr>
                <w:rFonts w:ascii="Times New Roman" w:hAnsi="Times New Roman" w:cs="Times New Roman"/>
              </w:rPr>
            </w:pPr>
          </w:p>
        </w:tc>
      </w:tr>
      <w:tr w:rsidR="005A295F" w14:paraId="45329E2A" w14:textId="77777777" w:rsidTr="00321842">
        <w:tc>
          <w:tcPr>
            <w:tcW w:w="4315" w:type="dxa"/>
          </w:tcPr>
          <w:p w14:paraId="3A5D773B" w14:textId="77777777" w:rsidR="005A295F" w:rsidRPr="000B22BD" w:rsidRDefault="005A295F" w:rsidP="00321842">
            <w:pPr>
              <w:rPr>
                <w:rFonts w:ascii="Times New Roman" w:hAnsi="Times New Roman" w:cs="Times New Roman"/>
                <w:b/>
                <w:bCs/>
              </w:rPr>
            </w:pPr>
            <w:r>
              <w:rPr>
                <w:rFonts w:ascii="Times New Roman" w:hAnsi="Times New Roman" w:cs="Times New Roman"/>
                <w:b/>
                <w:bCs/>
              </w:rPr>
              <w:t>Panel I</w:t>
            </w:r>
          </w:p>
          <w:p w14:paraId="2EB3DEF0" w14:textId="77777777" w:rsidR="005A295F" w:rsidRDefault="005A295F" w:rsidP="00321842">
            <w:pPr>
              <w:rPr>
                <w:rFonts w:ascii="Times New Roman" w:hAnsi="Times New Roman" w:cs="Times New Roman"/>
              </w:rPr>
            </w:pPr>
            <w:r w:rsidRPr="006E719C">
              <w:rPr>
                <w:rFonts w:ascii="Times New Roman" w:hAnsi="Times New Roman" w:cs="Times New Roman"/>
                <w:noProof/>
              </w:rPr>
              <w:drawing>
                <wp:inline distT="0" distB="0" distL="0" distR="0" wp14:anchorId="0FF68BF4" wp14:editId="0063CF2F">
                  <wp:extent cx="2581831" cy="1877695"/>
                  <wp:effectExtent l="0" t="0" r="0" b="1905"/>
                  <wp:docPr id="99075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75486" name=""/>
                          <pic:cNvPicPr/>
                        </pic:nvPicPr>
                        <pic:blipFill>
                          <a:blip r:embed="rId52"/>
                          <a:stretch>
                            <a:fillRect/>
                          </a:stretch>
                        </pic:blipFill>
                        <pic:spPr>
                          <a:xfrm>
                            <a:off x="0" y="0"/>
                            <a:ext cx="2601022" cy="1891652"/>
                          </a:xfrm>
                          <a:prstGeom prst="rect">
                            <a:avLst/>
                          </a:prstGeom>
                        </pic:spPr>
                      </pic:pic>
                    </a:graphicData>
                  </a:graphic>
                </wp:inline>
              </w:drawing>
            </w:r>
          </w:p>
        </w:tc>
        <w:tc>
          <w:tcPr>
            <w:tcW w:w="4315" w:type="dxa"/>
          </w:tcPr>
          <w:p w14:paraId="457C621F" w14:textId="77777777" w:rsidR="005A295F" w:rsidRPr="000B22BD" w:rsidRDefault="005A295F" w:rsidP="00321842">
            <w:pPr>
              <w:rPr>
                <w:rFonts w:ascii="Times New Roman" w:hAnsi="Times New Roman" w:cs="Times New Roman"/>
                <w:b/>
                <w:bCs/>
              </w:rPr>
            </w:pPr>
            <w:r w:rsidRPr="000B22BD">
              <w:rPr>
                <w:rFonts w:ascii="Times New Roman" w:hAnsi="Times New Roman" w:cs="Times New Roman"/>
                <w:b/>
                <w:bCs/>
              </w:rPr>
              <w:t>Panel J</w:t>
            </w:r>
          </w:p>
          <w:p w14:paraId="4FCD1D4C" w14:textId="77777777" w:rsidR="005A295F" w:rsidRDefault="005A295F" w:rsidP="00321842">
            <w:pPr>
              <w:jc w:val="right"/>
              <w:rPr>
                <w:rFonts w:ascii="Times New Roman" w:hAnsi="Times New Roman" w:cs="Times New Roman"/>
              </w:rPr>
            </w:pPr>
            <w:r w:rsidRPr="00894038">
              <w:rPr>
                <w:rFonts w:ascii="Times New Roman" w:hAnsi="Times New Roman" w:cs="Times New Roman"/>
                <w:noProof/>
              </w:rPr>
              <w:drawing>
                <wp:inline distT="0" distB="0" distL="0" distR="0" wp14:anchorId="100FF2C1" wp14:editId="4EE07DD3">
                  <wp:extent cx="2581910" cy="1877754"/>
                  <wp:effectExtent l="0" t="0" r="0" b="1905"/>
                  <wp:docPr id="1978011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11854" name=""/>
                          <pic:cNvPicPr/>
                        </pic:nvPicPr>
                        <pic:blipFill>
                          <a:blip r:embed="rId53"/>
                          <a:stretch>
                            <a:fillRect/>
                          </a:stretch>
                        </pic:blipFill>
                        <pic:spPr>
                          <a:xfrm>
                            <a:off x="0" y="0"/>
                            <a:ext cx="2649871" cy="1927181"/>
                          </a:xfrm>
                          <a:prstGeom prst="rect">
                            <a:avLst/>
                          </a:prstGeom>
                        </pic:spPr>
                      </pic:pic>
                    </a:graphicData>
                  </a:graphic>
                </wp:inline>
              </w:drawing>
            </w:r>
          </w:p>
          <w:p w14:paraId="0AE9C4E1" w14:textId="77777777" w:rsidR="005A295F" w:rsidRDefault="005A295F" w:rsidP="00321842">
            <w:pPr>
              <w:jc w:val="right"/>
              <w:rPr>
                <w:rFonts w:ascii="Times New Roman" w:hAnsi="Times New Roman" w:cs="Times New Roman"/>
              </w:rPr>
            </w:pPr>
          </w:p>
        </w:tc>
      </w:tr>
    </w:tbl>
    <w:p w14:paraId="2C5003BB" w14:textId="77777777" w:rsidR="005A295F" w:rsidRPr="005A295F" w:rsidRDefault="005A295F" w:rsidP="003A1F54">
      <w:pPr>
        <w:rPr>
          <w:rFonts w:ascii="Times New Roman" w:hAnsi="Times New Roman" w:cs="Times New Roman"/>
          <w:b/>
          <w:bCs/>
        </w:rPr>
      </w:pPr>
    </w:p>
    <w:p w14:paraId="72C323C0" w14:textId="77777777" w:rsidR="00334A8E" w:rsidRDefault="00334A8E" w:rsidP="00334A8E">
      <w:pPr>
        <w:rPr>
          <w:rFonts w:ascii="Times New Roman" w:hAnsi="Times New Roman" w:cs="Times New Roman"/>
          <w:b/>
          <w:bCs/>
        </w:rPr>
      </w:pPr>
      <w:r>
        <w:rPr>
          <w:rFonts w:ascii="Times New Roman" w:hAnsi="Times New Roman" w:cs="Times New Roman"/>
          <w:b/>
          <w:bCs/>
        </w:rPr>
        <w:t xml:space="preserve">Figure 27 continued </w:t>
      </w:r>
    </w:p>
    <w:p w14:paraId="6A3E6F19" w14:textId="2F16AF16" w:rsidR="003A1F54" w:rsidRPr="00EC3E7D" w:rsidRDefault="00D43D52" w:rsidP="003A1F54">
      <w:pPr>
        <w:rPr>
          <w:rFonts w:ascii="Times New Roman" w:hAnsi="Times New Roman" w:cs="Times New Roman"/>
        </w:rPr>
      </w:pPr>
      <w:r>
        <w:rPr>
          <w:rFonts w:ascii="Times New Roman" w:hAnsi="Times New Roman" w:cs="Times New Roman"/>
        </w:rPr>
        <w:t xml:space="preserve">Figure 27 contains outputs for the </w:t>
      </w:r>
      <w:r w:rsidR="002169EF">
        <w:rPr>
          <w:rFonts w:ascii="Times New Roman" w:hAnsi="Times New Roman" w:cs="Times New Roman"/>
        </w:rPr>
        <w:t xml:space="preserve">Sun &amp; Abraham estimator </w:t>
      </w:r>
      <w:r>
        <w:rPr>
          <w:rFonts w:ascii="Times New Roman" w:hAnsi="Times New Roman" w:cs="Times New Roman"/>
        </w:rPr>
        <w:t xml:space="preserve">in Panels A through J. </w:t>
      </w:r>
      <w:r w:rsidR="002169EF">
        <w:rPr>
          <w:rFonts w:ascii="Times New Roman" w:hAnsi="Times New Roman" w:cs="Times New Roman"/>
        </w:rPr>
        <w:t xml:space="preserve">In each panel, the y-axis represents the </w:t>
      </w:r>
      <w:r w:rsidR="00671A66">
        <w:rPr>
          <w:rFonts w:ascii="Times New Roman" w:hAnsi="Times New Roman" w:cs="Times New Roman"/>
        </w:rPr>
        <w:t>treatment coefficient’s effect on the</w:t>
      </w:r>
      <w:r w:rsidR="00E32ADB">
        <w:rPr>
          <w:rFonts w:ascii="Times New Roman" w:hAnsi="Times New Roman" w:cs="Times New Roman"/>
        </w:rPr>
        <w:t xml:space="preserve"> number of awards produced at institutions </w:t>
      </w:r>
      <w:r w:rsidR="00671A66">
        <w:rPr>
          <w:rFonts w:ascii="Times New Roman" w:hAnsi="Times New Roman" w:cs="Times New Roman"/>
        </w:rPr>
        <w:t>at that period (x-axis)</w:t>
      </w:r>
      <w:r w:rsidR="00E32ADB">
        <w:rPr>
          <w:rFonts w:ascii="Times New Roman" w:hAnsi="Times New Roman" w:cs="Times New Roman"/>
        </w:rPr>
        <w:t xml:space="preserve"> in natural log units for each outcome variable of interest in this study. </w:t>
      </w:r>
    </w:p>
    <w:p w14:paraId="7E13CB79" w14:textId="77777777" w:rsidR="0023782B" w:rsidRDefault="0023782B">
      <w:pPr>
        <w:rPr>
          <w:rFonts w:ascii="Times New Roman" w:hAnsi="Times New Roman" w:cs="Times New Roman"/>
          <w:b/>
          <w:caps/>
          <w:color w:val="000000" w:themeColor="text1"/>
        </w:rPr>
      </w:pPr>
      <w:r>
        <w:br w:type="page"/>
      </w:r>
    </w:p>
    <w:p w14:paraId="0E5F7315" w14:textId="22CA4F80" w:rsidR="00CD4A62" w:rsidRPr="00C63272" w:rsidRDefault="00CD4A62" w:rsidP="00D165B0">
      <w:pPr>
        <w:pStyle w:val="Heading1"/>
      </w:pPr>
      <w:bookmarkStart w:id="210" w:name="_Toc183282302"/>
      <w:r w:rsidRPr="00C63272">
        <w:lastRenderedPageBreak/>
        <w:t>Appendix</w:t>
      </w:r>
      <w:r>
        <w:t xml:space="preserve"> </w:t>
      </w:r>
      <w:r w:rsidR="008C1A2A">
        <w:t>G</w:t>
      </w:r>
      <w:bookmarkEnd w:id="210"/>
    </w:p>
    <w:p w14:paraId="7ECEB5E8" w14:textId="2D337DB4" w:rsidR="00CD4A62" w:rsidRPr="00EC3E7D" w:rsidRDefault="00CD4A62" w:rsidP="00CD4A62">
      <w:pPr>
        <w:spacing w:line="480" w:lineRule="auto"/>
        <w:jc w:val="center"/>
        <w:rPr>
          <w:rFonts w:ascii="Times New Roman" w:hAnsi="Times New Roman" w:cs="Times New Roman"/>
        </w:rPr>
      </w:pPr>
      <w:r w:rsidRPr="00EC3E7D">
        <w:rPr>
          <w:rFonts w:ascii="Times New Roman" w:hAnsi="Times New Roman" w:cs="Times New Roman"/>
        </w:rPr>
        <w:t>Evidence of Pre-treatment Parallel Trends</w:t>
      </w:r>
      <w:r>
        <w:rPr>
          <w:rFonts w:ascii="Times New Roman" w:hAnsi="Times New Roman" w:cs="Times New Roman"/>
        </w:rPr>
        <w:t xml:space="preserve"> – </w:t>
      </w:r>
      <w:r w:rsidR="00AE7F60">
        <w:rPr>
          <w:rFonts w:ascii="Times New Roman" w:hAnsi="Times New Roman" w:cs="Times New Roman"/>
        </w:rPr>
        <w:t>OLS</w:t>
      </w:r>
      <w:r>
        <w:rPr>
          <w:rFonts w:ascii="Times New Roman" w:hAnsi="Times New Roman" w:cs="Times New Roman"/>
        </w:rPr>
        <w:t xml:space="preserve"> Model, Public Sample</w:t>
      </w:r>
    </w:p>
    <w:p w14:paraId="5B2577D8" w14:textId="38064319" w:rsidR="00CD4A62" w:rsidRPr="00893355" w:rsidRDefault="00CD4A62" w:rsidP="00334A8E">
      <w:pPr>
        <w:rPr>
          <w:rFonts w:ascii="Times New Roman" w:hAnsi="Times New Roman" w:cs="Times New Roman"/>
          <w:i/>
          <w:iCs/>
        </w:rPr>
      </w:pPr>
      <w:r>
        <w:rPr>
          <w:rFonts w:ascii="Times New Roman" w:hAnsi="Times New Roman" w:cs="Times New Roman"/>
          <w:i/>
          <w:iCs/>
        </w:rPr>
        <w:t xml:space="preserve"> </w:t>
      </w:r>
    </w:p>
    <w:tbl>
      <w:tblPr>
        <w:tblStyle w:val="TableGrid"/>
        <w:tblW w:w="0" w:type="auto"/>
        <w:tblLook w:val="04A0" w:firstRow="1" w:lastRow="0" w:firstColumn="1" w:lastColumn="0" w:noHBand="0" w:noVBand="1"/>
      </w:tblPr>
      <w:tblGrid>
        <w:gridCol w:w="4315"/>
        <w:gridCol w:w="4315"/>
      </w:tblGrid>
      <w:tr w:rsidR="008809AC" w14:paraId="596B1C02" w14:textId="77777777" w:rsidTr="005A295F">
        <w:tc>
          <w:tcPr>
            <w:tcW w:w="4315" w:type="dxa"/>
          </w:tcPr>
          <w:p w14:paraId="47738F55" w14:textId="78E3612C" w:rsidR="00CD4A62" w:rsidRPr="00E32ADB" w:rsidRDefault="00E32ADB" w:rsidP="00E32ADB">
            <w:pPr>
              <w:rPr>
                <w:rFonts w:ascii="Times New Roman" w:hAnsi="Times New Roman" w:cs="Times New Roman"/>
                <w:b/>
                <w:bCs/>
              </w:rPr>
            </w:pPr>
            <w:r w:rsidRPr="00E32ADB">
              <w:rPr>
                <w:rFonts w:ascii="Times New Roman" w:hAnsi="Times New Roman" w:cs="Times New Roman"/>
                <w:b/>
                <w:bCs/>
              </w:rPr>
              <w:t>Panel A</w:t>
            </w:r>
            <w:r w:rsidR="00333973" w:rsidRPr="00E32ADB">
              <w:rPr>
                <w:rFonts w:ascii="Times New Roman" w:hAnsi="Times New Roman" w:cs="Times New Roman"/>
                <w:b/>
                <w:bCs/>
                <w:noProof/>
              </w:rPr>
              <w:drawing>
                <wp:inline distT="0" distB="0" distL="0" distR="0" wp14:anchorId="68CC9309" wp14:editId="0AD19773">
                  <wp:extent cx="2641203" cy="1920875"/>
                  <wp:effectExtent l="0" t="0" r="635" b="0"/>
                  <wp:docPr id="1419604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04545" name=""/>
                          <pic:cNvPicPr/>
                        </pic:nvPicPr>
                        <pic:blipFill>
                          <a:blip r:embed="rId54"/>
                          <a:stretch>
                            <a:fillRect/>
                          </a:stretch>
                        </pic:blipFill>
                        <pic:spPr>
                          <a:xfrm>
                            <a:off x="0" y="0"/>
                            <a:ext cx="2668796" cy="1940943"/>
                          </a:xfrm>
                          <a:prstGeom prst="rect">
                            <a:avLst/>
                          </a:prstGeom>
                        </pic:spPr>
                      </pic:pic>
                    </a:graphicData>
                  </a:graphic>
                </wp:inline>
              </w:drawing>
            </w:r>
          </w:p>
        </w:tc>
        <w:tc>
          <w:tcPr>
            <w:tcW w:w="4315" w:type="dxa"/>
          </w:tcPr>
          <w:p w14:paraId="374E7F01" w14:textId="3312630C" w:rsidR="00CD4A62" w:rsidRPr="00E32ADB" w:rsidRDefault="00E32ADB" w:rsidP="00E32ADB">
            <w:pPr>
              <w:rPr>
                <w:rFonts w:ascii="Times New Roman" w:hAnsi="Times New Roman" w:cs="Times New Roman"/>
                <w:b/>
                <w:bCs/>
              </w:rPr>
            </w:pPr>
            <w:r w:rsidRPr="00E32ADB">
              <w:rPr>
                <w:rFonts w:ascii="Times New Roman" w:hAnsi="Times New Roman" w:cs="Times New Roman"/>
                <w:b/>
                <w:bCs/>
              </w:rPr>
              <w:t>Panel B</w:t>
            </w:r>
            <w:r w:rsidR="00333973" w:rsidRPr="00E32ADB">
              <w:rPr>
                <w:rFonts w:ascii="Times New Roman" w:hAnsi="Times New Roman" w:cs="Times New Roman"/>
                <w:b/>
                <w:bCs/>
                <w:noProof/>
              </w:rPr>
              <w:drawing>
                <wp:inline distT="0" distB="0" distL="0" distR="0" wp14:anchorId="3EE3DAC6" wp14:editId="02A95F0A">
                  <wp:extent cx="2641600" cy="1921164"/>
                  <wp:effectExtent l="0" t="0" r="0" b="0"/>
                  <wp:docPr id="2078200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00068" name=""/>
                          <pic:cNvPicPr/>
                        </pic:nvPicPr>
                        <pic:blipFill>
                          <a:blip r:embed="rId55"/>
                          <a:stretch>
                            <a:fillRect/>
                          </a:stretch>
                        </pic:blipFill>
                        <pic:spPr>
                          <a:xfrm>
                            <a:off x="0" y="0"/>
                            <a:ext cx="2669308" cy="1941315"/>
                          </a:xfrm>
                          <a:prstGeom prst="rect">
                            <a:avLst/>
                          </a:prstGeom>
                        </pic:spPr>
                      </pic:pic>
                    </a:graphicData>
                  </a:graphic>
                </wp:inline>
              </w:drawing>
            </w:r>
          </w:p>
        </w:tc>
      </w:tr>
      <w:tr w:rsidR="008809AC" w14:paraId="0003783B" w14:textId="77777777" w:rsidTr="005A295F">
        <w:tc>
          <w:tcPr>
            <w:tcW w:w="4315" w:type="dxa"/>
          </w:tcPr>
          <w:p w14:paraId="7D1E5FF9" w14:textId="64DF1C53" w:rsidR="00CD4A62" w:rsidRPr="00E32ADB" w:rsidRDefault="00E32ADB" w:rsidP="00E32ADB">
            <w:pPr>
              <w:rPr>
                <w:rFonts w:ascii="Times New Roman" w:hAnsi="Times New Roman" w:cs="Times New Roman"/>
                <w:b/>
                <w:bCs/>
              </w:rPr>
            </w:pPr>
            <w:r w:rsidRPr="00E32ADB">
              <w:rPr>
                <w:rFonts w:ascii="Times New Roman" w:hAnsi="Times New Roman" w:cs="Times New Roman"/>
                <w:b/>
                <w:bCs/>
              </w:rPr>
              <w:t>Panel C</w:t>
            </w:r>
            <w:r w:rsidR="008D048B" w:rsidRPr="00E32ADB">
              <w:rPr>
                <w:rFonts w:ascii="Times New Roman" w:hAnsi="Times New Roman" w:cs="Times New Roman"/>
                <w:b/>
                <w:bCs/>
                <w:noProof/>
              </w:rPr>
              <w:drawing>
                <wp:inline distT="0" distB="0" distL="0" distR="0" wp14:anchorId="17FFC89C" wp14:editId="4FEE917F">
                  <wp:extent cx="2640965" cy="1920702"/>
                  <wp:effectExtent l="0" t="0" r="635" b="0"/>
                  <wp:docPr id="856462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62922" name=""/>
                          <pic:cNvPicPr/>
                        </pic:nvPicPr>
                        <pic:blipFill>
                          <a:blip r:embed="rId56"/>
                          <a:stretch>
                            <a:fillRect/>
                          </a:stretch>
                        </pic:blipFill>
                        <pic:spPr>
                          <a:xfrm>
                            <a:off x="0" y="0"/>
                            <a:ext cx="2661382" cy="1935551"/>
                          </a:xfrm>
                          <a:prstGeom prst="rect">
                            <a:avLst/>
                          </a:prstGeom>
                        </pic:spPr>
                      </pic:pic>
                    </a:graphicData>
                  </a:graphic>
                </wp:inline>
              </w:drawing>
            </w:r>
          </w:p>
        </w:tc>
        <w:tc>
          <w:tcPr>
            <w:tcW w:w="4315" w:type="dxa"/>
          </w:tcPr>
          <w:p w14:paraId="1154DF34" w14:textId="2A02A9F1" w:rsidR="00CD4A62" w:rsidRPr="00E32ADB" w:rsidRDefault="00E32ADB" w:rsidP="00E32ADB">
            <w:pPr>
              <w:rPr>
                <w:rFonts w:ascii="Times New Roman" w:hAnsi="Times New Roman" w:cs="Times New Roman"/>
                <w:b/>
                <w:bCs/>
              </w:rPr>
            </w:pPr>
            <w:r w:rsidRPr="00E32ADB">
              <w:rPr>
                <w:rFonts w:ascii="Times New Roman" w:hAnsi="Times New Roman" w:cs="Times New Roman"/>
                <w:b/>
                <w:bCs/>
              </w:rPr>
              <w:t>Panel D</w:t>
            </w:r>
            <w:r w:rsidR="00792A44" w:rsidRPr="00E32ADB">
              <w:rPr>
                <w:rFonts w:ascii="Times New Roman" w:hAnsi="Times New Roman" w:cs="Times New Roman"/>
                <w:b/>
                <w:bCs/>
                <w:noProof/>
              </w:rPr>
              <w:drawing>
                <wp:inline distT="0" distB="0" distL="0" distR="0" wp14:anchorId="62390FC7" wp14:editId="006E5434">
                  <wp:extent cx="2641600" cy="1921164"/>
                  <wp:effectExtent l="0" t="0" r="0" b="0"/>
                  <wp:docPr id="1367847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47676" name=""/>
                          <pic:cNvPicPr/>
                        </pic:nvPicPr>
                        <pic:blipFill>
                          <a:blip r:embed="rId57"/>
                          <a:stretch>
                            <a:fillRect/>
                          </a:stretch>
                        </pic:blipFill>
                        <pic:spPr>
                          <a:xfrm>
                            <a:off x="0" y="0"/>
                            <a:ext cx="2647363" cy="1925356"/>
                          </a:xfrm>
                          <a:prstGeom prst="rect">
                            <a:avLst/>
                          </a:prstGeom>
                        </pic:spPr>
                      </pic:pic>
                    </a:graphicData>
                  </a:graphic>
                </wp:inline>
              </w:drawing>
            </w:r>
          </w:p>
        </w:tc>
      </w:tr>
      <w:tr w:rsidR="008809AC" w14:paraId="096C0787" w14:textId="77777777" w:rsidTr="005A295F">
        <w:tc>
          <w:tcPr>
            <w:tcW w:w="4315" w:type="dxa"/>
          </w:tcPr>
          <w:p w14:paraId="2028149A" w14:textId="65C72B69" w:rsidR="00CD4A62" w:rsidRPr="00E32ADB" w:rsidRDefault="00E32ADB" w:rsidP="00E32ADB">
            <w:pPr>
              <w:rPr>
                <w:rFonts w:ascii="Times New Roman" w:hAnsi="Times New Roman" w:cs="Times New Roman"/>
                <w:b/>
                <w:bCs/>
              </w:rPr>
            </w:pPr>
            <w:r w:rsidRPr="00E32ADB">
              <w:rPr>
                <w:rFonts w:ascii="Times New Roman" w:hAnsi="Times New Roman" w:cs="Times New Roman"/>
                <w:b/>
                <w:bCs/>
              </w:rPr>
              <w:t>Panel E</w:t>
            </w:r>
            <w:r w:rsidR="009179AE" w:rsidRPr="00E32ADB">
              <w:rPr>
                <w:rFonts w:ascii="Times New Roman" w:hAnsi="Times New Roman" w:cs="Times New Roman"/>
                <w:b/>
                <w:bCs/>
                <w:noProof/>
              </w:rPr>
              <w:drawing>
                <wp:inline distT="0" distB="0" distL="0" distR="0" wp14:anchorId="5452ADDF" wp14:editId="5C57E861">
                  <wp:extent cx="2640965" cy="1920701"/>
                  <wp:effectExtent l="0" t="0" r="635" b="0"/>
                  <wp:docPr id="139155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5333" name=""/>
                          <pic:cNvPicPr/>
                        </pic:nvPicPr>
                        <pic:blipFill>
                          <a:blip r:embed="rId58"/>
                          <a:stretch>
                            <a:fillRect/>
                          </a:stretch>
                        </pic:blipFill>
                        <pic:spPr>
                          <a:xfrm>
                            <a:off x="0" y="0"/>
                            <a:ext cx="2683018" cy="1951285"/>
                          </a:xfrm>
                          <a:prstGeom prst="rect">
                            <a:avLst/>
                          </a:prstGeom>
                        </pic:spPr>
                      </pic:pic>
                    </a:graphicData>
                  </a:graphic>
                </wp:inline>
              </w:drawing>
            </w:r>
          </w:p>
        </w:tc>
        <w:tc>
          <w:tcPr>
            <w:tcW w:w="4315" w:type="dxa"/>
          </w:tcPr>
          <w:p w14:paraId="3CAB0F05" w14:textId="2DE737FD" w:rsidR="00CD4A62" w:rsidRPr="00E32ADB" w:rsidRDefault="00E32ADB" w:rsidP="00E32ADB">
            <w:pPr>
              <w:rPr>
                <w:rFonts w:ascii="Times New Roman" w:hAnsi="Times New Roman" w:cs="Times New Roman"/>
                <w:b/>
                <w:bCs/>
              </w:rPr>
            </w:pPr>
            <w:r w:rsidRPr="00E32ADB">
              <w:rPr>
                <w:rFonts w:ascii="Times New Roman" w:hAnsi="Times New Roman" w:cs="Times New Roman"/>
                <w:b/>
                <w:bCs/>
              </w:rPr>
              <w:t>Panel F</w:t>
            </w:r>
            <w:r w:rsidR="00792A44" w:rsidRPr="00E32ADB">
              <w:rPr>
                <w:rFonts w:ascii="Times New Roman" w:hAnsi="Times New Roman" w:cs="Times New Roman"/>
                <w:b/>
                <w:bCs/>
                <w:noProof/>
              </w:rPr>
              <w:drawing>
                <wp:inline distT="0" distB="0" distL="0" distR="0" wp14:anchorId="7F365C10" wp14:editId="498252BF">
                  <wp:extent cx="2640329" cy="1920240"/>
                  <wp:effectExtent l="0" t="0" r="1905" b="0"/>
                  <wp:docPr id="827461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61706" name=""/>
                          <pic:cNvPicPr/>
                        </pic:nvPicPr>
                        <pic:blipFill>
                          <a:blip r:embed="rId59"/>
                          <a:stretch>
                            <a:fillRect/>
                          </a:stretch>
                        </pic:blipFill>
                        <pic:spPr>
                          <a:xfrm>
                            <a:off x="0" y="0"/>
                            <a:ext cx="2669624" cy="1941545"/>
                          </a:xfrm>
                          <a:prstGeom prst="rect">
                            <a:avLst/>
                          </a:prstGeom>
                        </pic:spPr>
                      </pic:pic>
                    </a:graphicData>
                  </a:graphic>
                </wp:inline>
              </w:drawing>
            </w:r>
          </w:p>
        </w:tc>
      </w:tr>
    </w:tbl>
    <w:p w14:paraId="7D04269D" w14:textId="77777777" w:rsidR="00334A8E" w:rsidRDefault="00334A8E" w:rsidP="00E32ADB">
      <w:pPr>
        <w:rPr>
          <w:rFonts w:ascii="Times New Roman" w:hAnsi="Times New Roman" w:cs="Times New Roman"/>
          <w:b/>
          <w:bCs/>
        </w:rPr>
      </w:pPr>
    </w:p>
    <w:p w14:paraId="3B185B3F" w14:textId="77777777" w:rsidR="00334A8E" w:rsidRPr="004C564E" w:rsidRDefault="00334A8E" w:rsidP="00334A8E">
      <w:pPr>
        <w:pStyle w:val="TableofFigs"/>
        <w:spacing w:line="240" w:lineRule="auto"/>
      </w:pPr>
      <w:bookmarkStart w:id="211" w:name="_Toc180144608"/>
      <w:r w:rsidRPr="004C564E">
        <w:t xml:space="preserve">Figure </w:t>
      </w:r>
      <w:r>
        <w:t>28</w:t>
      </w:r>
      <w:bookmarkEnd w:id="211"/>
    </w:p>
    <w:p w14:paraId="76169282" w14:textId="307164AB" w:rsidR="00334A8E" w:rsidRDefault="00334A8E" w:rsidP="00334A8E">
      <w:pPr>
        <w:rPr>
          <w:rFonts w:ascii="Times New Roman" w:hAnsi="Times New Roman" w:cs="Times New Roman"/>
          <w:b/>
          <w:bCs/>
        </w:rPr>
      </w:pPr>
      <w:r>
        <w:rPr>
          <w:rFonts w:ascii="Times New Roman" w:hAnsi="Times New Roman" w:cs="Times New Roman"/>
          <w:i/>
          <w:iCs/>
        </w:rPr>
        <w:t>Visualization of OLS Trends for Public Institutions Only</w:t>
      </w:r>
    </w:p>
    <w:p w14:paraId="14E89E94" w14:textId="77777777" w:rsidR="00334A8E" w:rsidRDefault="00334A8E" w:rsidP="00E32ADB">
      <w:pPr>
        <w:rPr>
          <w:rFonts w:ascii="Times New Roman" w:hAnsi="Times New Roman" w:cs="Times New Roman"/>
          <w:b/>
          <w:bCs/>
        </w:rPr>
      </w:pPr>
    </w:p>
    <w:p w14:paraId="17698032" w14:textId="77777777" w:rsidR="005A295F" w:rsidRDefault="005A295F" w:rsidP="00E32ADB">
      <w:pPr>
        <w:rPr>
          <w:rFonts w:ascii="Times New Roman" w:hAnsi="Times New Roman" w:cs="Times New Roman"/>
          <w:b/>
          <w:bCs/>
        </w:rPr>
      </w:pPr>
    </w:p>
    <w:tbl>
      <w:tblPr>
        <w:tblStyle w:val="TableGrid"/>
        <w:tblW w:w="0" w:type="auto"/>
        <w:tblLook w:val="04A0" w:firstRow="1" w:lastRow="0" w:firstColumn="1" w:lastColumn="0" w:noHBand="0" w:noVBand="1"/>
      </w:tblPr>
      <w:tblGrid>
        <w:gridCol w:w="4249"/>
        <w:gridCol w:w="4381"/>
      </w:tblGrid>
      <w:tr w:rsidR="005A295F" w:rsidRPr="00E32ADB" w14:paraId="040D6F91" w14:textId="77777777" w:rsidTr="00321842">
        <w:tc>
          <w:tcPr>
            <w:tcW w:w="4266" w:type="dxa"/>
          </w:tcPr>
          <w:p w14:paraId="6FCC9013" w14:textId="77777777" w:rsidR="005A295F" w:rsidRPr="00E32ADB" w:rsidRDefault="005A295F" w:rsidP="00321842">
            <w:pPr>
              <w:rPr>
                <w:rFonts w:ascii="Times New Roman" w:hAnsi="Times New Roman" w:cs="Times New Roman"/>
                <w:b/>
                <w:bCs/>
              </w:rPr>
            </w:pPr>
            <w:r w:rsidRPr="00E32ADB">
              <w:rPr>
                <w:rFonts w:ascii="Times New Roman" w:hAnsi="Times New Roman" w:cs="Times New Roman"/>
                <w:b/>
                <w:bCs/>
              </w:rPr>
              <w:t>Panel G</w:t>
            </w:r>
            <w:r w:rsidRPr="00E32ADB">
              <w:rPr>
                <w:rFonts w:ascii="Times New Roman" w:hAnsi="Times New Roman" w:cs="Times New Roman"/>
                <w:b/>
                <w:bCs/>
                <w:noProof/>
              </w:rPr>
              <w:drawing>
                <wp:inline distT="0" distB="0" distL="0" distR="0" wp14:anchorId="0569BAEF" wp14:editId="4435091D">
                  <wp:extent cx="2619375" cy="1905000"/>
                  <wp:effectExtent l="0" t="0" r="0" b="0"/>
                  <wp:docPr id="1761259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59707" name=""/>
                          <pic:cNvPicPr/>
                        </pic:nvPicPr>
                        <pic:blipFill>
                          <a:blip r:embed="rId60"/>
                          <a:stretch>
                            <a:fillRect/>
                          </a:stretch>
                        </pic:blipFill>
                        <pic:spPr>
                          <a:xfrm>
                            <a:off x="0" y="0"/>
                            <a:ext cx="2674048" cy="1944762"/>
                          </a:xfrm>
                          <a:prstGeom prst="rect">
                            <a:avLst/>
                          </a:prstGeom>
                        </pic:spPr>
                      </pic:pic>
                    </a:graphicData>
                  </a:graphic>
                </wp:inline>
              </w:drawing>
            </w:r>
          </w:p>
        </w:tc>
        <w:tc>
          <w:tcPr>
            <w:tcW w:w="4364" w:type="dxa"/>
          </w:tcPr>
          <w:p w14:paraId="15C00F08" w14:textId="77777777" w:rsidR="005A295F" w:rsidRPr="00E32ADB" w:rsidRDefault="005A295F" w:rsidP="00321842">
            <w:pPr>
              <w:rPr>
                <w:rFonts w:ascii="Times New Roman" w:hAnsi="Times New Roman" w:cs="Times New Roman"/>
                <w:b/>
                <w:bCs/>
              </w:rPr>
            </w:pPr>
            <w:r w:rsidRPr="00E32ADB">
              <w:rPr>
                <w:rFonts w:ascii="Times New Roman" w:hAnsi="Times New Roman" w:cs="Times New Roman"/>
                <w:b/>
                <w:bCs/>
              </w:rPr>
              <w:t>Panel H</w:t>
            </w:r>
            <w:r w:rsidRPr="00E32ADB">
              <w:rPr>
                <w:rFonts w:ascii="Times New Roman" w:hAnsi="Times New Roman" w:cs="Times New Roman"/>
                <w:b/>
                <w:bCs/>
                <w:noProof/>
              </w:rPr>
              <w:drawing>
                <wp:inline distT="0" distB="0" distL="0" distR="0" wp14:anchorId="41AB7068" wp14:editId="69041B92">
                  <wp:extent cx="2677582" cy="1947333"/>
                  <wp:effectExtent l="0" t="0" r="2540" b="0"/>
                  <wp:docPr id="361999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99651" name=""/>
                          <pic:cNvPicPr/>
                        </pic:nvPicPr>
                        <pic:blipFill>
                          <a:blip r:embed="rId61"/>
                          <a:stretch>
                            <a:fillRect/>
                          </a:stretch>
                        </pic:blipFill>
                        <pic:spPr>
                          <a:xfrm>
                            <a:off x="0" y="0"/>
                            <a:ext cx="2714234" cy="1973989"/>
                          </a:xfrm>
                          <a:prstGeom prst="rect">
                            <a:avLst/>
                          </a:prstGeom>
                        </pic:spPr>
                      </pic:pic>
                    </a:graphicData>
                  </a:graphic>
                </wp:inline>
              </w:drawing>
            </w:r>
          </w:p>
        </w:tc>
      </w:tr>
      <w:tr w:rsidR="005A295F" w:rsidRPr="00E32ADB" w14:paraId="6C474688" w14:textId="77777777" w:rsidTr="00321842">
        <w:tc>
          <w:tcPr>
            <w:tcW w:w="4266" w:type="dxa"/>
          </w:tcPr>
          <w:p w14:paraId="127DAFFF" w14:textId="77777777" w:rsidR="005A295F" w:rsidRPr="00E32ADB" w:rsidRDefault="005A295F" w:rsidP="00321842">
            <w:pPr>
              <w:rPr>
                <w:rFonts w:ascii="Times New Roman" w:hAnsi="Times New Roman" w:cs="Times New Roman"/>
                <w:b/>
                <w:bCs/>
              </w:rPr>
            </w:pPr>
            <w:r w:rsidRPr="00E32ADB">
              <w:rPr>
                <w:rFonts w:ascii="Times New Roman" w:hAnsi="Times New Roman" w:cs="Times New Roman"/>
                <w:b/>
                <w:bCs/>
              </w:rPr>
              <w:t xml:space="preserve">Panel I </w:t>
            </w:r>
            <w:r w:rsidRPr="00E32ADB">
              <w:rPr>
                <w:rFonts w:ascii="Times New Roman" w:hAnsi="Times New Roman" w:cs="Times New Roman"/>
                <w:b/>
                <w:bCs/>
                <w:noProof/>
              </w:rPr>
              <w:drawing>
                <wp:inline distT="0" distB="0" distL="0" distR="0" wp14:anchorId="5DA2AF6A" wp14:editId="45306D9E">
                  <wp:extent cx="2619375" cy="1905000"/>
                  <wp:effectExtent l="0" t="0" r="0" b="0"/>
                  <wp:docPr id="2107995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95646" name=""/>
                          <pic:cNvPicPr/>
                        </pic:nvPicPr>
                        <pic:blipFill>
                          <a:blip r:embed="rId62"/>
                          <a:stretch>
                            <a:fillRect/>
                          </a:stretch>
                        </pic:blipFill>
                        <pic:spPr>
                          <a:xfrm>
                            <a:off x="0" y="0"/>
                            <a:ext cx="2655123" cy="1930999"/>
                          </a:xfrm>
                          <a:prstGeom prst="rect">
                            <a:avLst/>
                          </a:prstGeom>
                        </pic:spPr>
                      </pic:pic>
                    </a:graphicData>
                  </a:graphic>
                </wp:inline>
              </w:drawing>
            </w:r>
          </w:p>
        </w:tc>
        <w:tc>
          <w:tcPr>
            <w:tcW w:w="4364" w:type="dxa"/>
          </w:tcPr>
          <w:p w14:paraId="7AD58474" w14:textId="77777777" w:rsidR="005A295F" w:rsidRPr="00E32ADB" w:rsidRDefault="005A295F" w:rsidP="00321842">
            <w:pPr>
              <w:rPr>
                <w:rFonts w:ascii="Times New Roman" w:hAnsi="Times New Roman" w:cs="Times New Roman"/>
                <w:b/>
                <w:bCs/>
              </w:rPr>
            </w:pPr>
            <w:r w:rsidRPr="00E32ADB">
              <w:rPr>
                <w:rFonts w:ascii="Times New Roman" w:hAnsi="Times New Roman" w:cs="Times New Roman"/>
                <w:b/>
                <w:bCs/>
              </w:rPr>
              <w:t>Panel J</w:t>
            </w:r>
            <w:r w:rsidRPr="00E32ADB">
              <w:rPr>
                <w:rFonts w:ascii="Times New Roman" w:hAnsi="Times New Roman" w:cs="Times New Roman"/>
                <w:b/>
                <w:bCs/>
                <w:noProof/>
              </w:rPr>
              <w:drawing>
                <wp:inline distT="0" distB="0" distL="0" distR="0" wp14:anchorId="6DEA26C1" wp14:editId="4ADDAA95">
                  <wp:extent cx="2700866" cy="1964266"/>
                  <wp:effectExtent l="0" t="0" r="4445" b="4445"/>
                  <wp:docPr id="207663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3634" name=""/>
                          <pic:cNvPicPr/>
                        </pic:nvPicPr>
                        <pic:blipFill>
                          <a:blip r:embed="rId63"/>
                          <a:stretch>
                            <a:fillRect/>
                          </a:stretch>
                        </pic:blipFill>
                        <pic:spPr>
                          <a:xfrm>
                            <a:off x="0" y="0"/>
                            <a:ext cx="2721213" cy="1979064"/>
                          </a:xfrm>
                          <a:prstGeom prst="rect">
                            <a:avLst/>
                          </a:prstGeom>
                        </pic:spPr>
                      </pic:pic>
                    </a:graphicData>
                  </a:graphic>
                </wp:inline>
              </w:drawing>
            </w:r>
          </w:p>
        </w:tc>
      </w:tr>
    </w:tbl>
    <w:p w14:paraId="3A412245" w14:textId="77777777" w:rsidR="005A295F" w:rsidRPr="005A295F" w:rsidRDefault="005A295F" w:rsidP="00E32ADB">
      <w:pPr>
        <w:rPr>
          <w:rFonts w:ascii="Times New Roman" w:hAnsi="Times New Roman" w:cs="Times New Roman"/>
          <w:b/>
          <w:bCs/>
        </w:rPr>
      </w:pPr>
    </w:p>
    <w:p w14:paraId="645109D6" w14:textId="77777777" w:rsidR="00334A8E" w:rsidRDefault="00334A8E" w:rsidP="00334A8E">
      <w:pPr>
        <w:rPr>
          <w:rFonts w:ascii="Times New Roman" w:hAnsi="Times New Roman" w:cs="Times New Roman"/>
          <w:b/>
          <w:bCs/>
        </w:rPr>
      </w:pPr>
      <w:r>
        <w:rPr>
          <w:rFonts w:ascii="Times New Roman" w:hAnsi="Times New Roman" w:cs="Times New Roman"/>
          <w:b/>
          <w:bCs/>
        </w:rPr>
        <w:t xml:space="preserve">Figure 28 continued </w:t>
      </w:r>
    </w:p>
    <w:p w14:paraId="1CA7AAC8" w14:textId="1D790D65" w:rsidR="00E32ADB" w:rsidRPr="00EC3E7D" w:rsidRDefault="00E32ADB" w:rsidP="00E32ADB">
      <w:pPr>
        <w:rPr>
          <w:rFonts w:ascii="Times New Roman" w:hAnsi="Times New Roman" w:cs="Times New Roman"/>
        </w:rPr>
      </w:pPr>
      <w:r>
        <w:rPr>
          <w:rFonts w:ascii="Times New Roman" w:hAnsi="Times New Roman" w:cs="Times New Roman"/>
        </w:rPr>
        <w:t xml:space="preserve">Figure 28 contains outputs for the Ordinary Least Squares estimator in Panels A through J. In each panel, the y-axis represents the treatment coefficient’s effect on the number of awards produced at institutions at that period (x-axis) in natural log units for each outcome variable of interest in this study. </w:t>
      </w:r>
    </w:p>
    <w:p w14:paraId="24C0D365" w14:textId="77777777" w:rsidR="00CD4A62" w:rsidRDefault="00CD4A62" w:rsidP="00CD4A62">
      <w:pPr>
        <w:spacing w:line="480" w:lineRule="auto"/>
        <w:rPr>
          <w:rFonts w:ascii="Times New Roman" w:hAnsi="Times New Roman" w:cs="Times New Roman"/>
        </w:rPr>
      </w:pPr>
    </w:p>
    <w:p w14:paraId="188F24A3" w14:textId="77777777" w:rsidR="00A0475C" w:rsidRDefault="00A0475C">
      <w:pPr>
        <w:rPr>
          <w:rFonts w:ascii="Times New Roman" w:hAnsi="Times New Roman" w:cs="Times New Roman"/>
          <w:b/>
          <w:caps/>
          <w:color w:val="000000" w:themeColor="text1"/>
        </w:rPr>
      </w:pPr>
      <w:r>
        <w:br w:type="page"/>
      </w:r>
    </w:p>
    <w:p w14:paraId="18E46959" w14:textId="751BFA5E" w:rsidR="00A0475C" w:rsidRPr="00C63272" w:rsidRDefault="00A0475C" w:rsidP="00D165B0">
      <w:pPr>
        <w:pStyle w:val="Heading1"/>
      </w:pPr>
      <w:bookmarkStart w:id="212" w:name="_Toc183282303"/>
      <w:r w:rsidRPr="00C63272">
        <w:lastRenderedPageBreak/>
        <w:t>Appendix</w:t>
      </w:r>
      <w:r>
        <w:t xml:space="preserve"> </w:t>
      </w:r>
      <w:r w:rsidR="008809AC">
        <w:t>I</w:t>
      </w:r>
      <w:bookmarkEnd w:id="212"/>
    </w:p>
    <w:p w14:paraId="0DAA4537" w14:textId="77777777" w:rsidR="00A0475C" w:rsidRPr="00EC3E7D" w:rsidRDefault="00A0475C" w:rsidP="00A0475C">
      <w:pPr>
        <w:spacing w:line="480" w:lineRule="auto"/>
        <w:jc w:val="center"/>
        <w:rPr>
          <w:rFonts w:ascii="Times New Roman" w:hAnsi="Times New Roman" w:cs="Times New Roman"/>
        </w:rPr>
      </w:pPr>
      <w:r w:rsidRPr="00EC3E7D">
        <w:rPr>
          <w:rFonts w:ascii="Times New Roman" w:hAnsi="Times New Roman" w:cs="Times New Roman"/>
        </w:rPr>
        <w:t>Evidence of Pre-treatment Parallel Trends</w:t>
      </w:r>
      <w:r>
        <w:rPr>
          <w:rFonts w:ascii="Times New Roman" w:hAnsi="Times New Roman" w:cs="Times New Roman"/>
        </w:rPr>
        <w:t xml:space="preserve"> – Imputation Model, Public Sample</w:t>
      </w:r>
    </w:p>
    <w:p w14:paraId="582E0634" w14:textId="7588882A" w:rsidR="00A0475C" w:rsidRDefault="00A0475C" w:rsidP="00334A8E">
      <w:pPr>
        <w:rPr>
          <w:rFonts w:ascii="Times New Roman" w:hAnsi="Times New Roman" w:cs="Times New Roman"/>
          <w:i/>
          <w:iCs/>
        </w:rPr>
      </w:pPr>
      <w:r>
        <w:rPr>
          <w:rFonts w:ascii="Times New Roman" w:hAnsi="Times New Roman" w:cs="Times New Roman"/>
          <w:i/>
          <w:iCs/>
        </w:rPr>
        <w:t xml:space="preserve"> </w:t>
      </w:r>
    </w:p>
    <w:tbl>
      <w:tblPr>
        <w:tblStyle w:val="TableGrid"/>
        <w:tblW w:w="0" w:type="auto"/>
        <w:tblLook w:val="04A0" w:firstRow="1" w:lastRow="0" w:firstColumn="1" w:lastColumn="0" w:noHBand="0" w:noVBand="1"/>
      </w:tblPr>
      <w:tblGrid>
        <w:gridCol w:w="4295"/>
        <w:gridCol w:w="4335"/>
      </w:tblGrid>
      <w:tr w:rsidR="00BB2E0F" w14:paraId="37A6FA26" w14:textId="77777777" w:rsidTr="005A295F">
        <w:tc>
          <w:tcPr>
            <w:tcW w:w="4295" w:type="dxa"/>
          </w:tcPr>
          <w:p w14:paraId="32EF05E0" w14:textId="77777777" w:rsidR="00BB2E0F" w:rsidRDefault="00BB2E0F" w:rsidP="00057B2C">
            <w:pPr>
              <w:rPr>
                <w:rFonts w:ascii="Times New Roman" w:hAnsi="Times New Roman" w:cs="Times New Roman"/>
                <w:b/>
                <w:bCs/>
              </w:rPr>
            </w:pPr>
            <w:r>
              <w:rPr>
                <w:rFonts w:ascii="Times New Roman" w:hAnsi="Times New Roman" w:cs="Times New Roman"/>
                <w:b/>
                <w:bCs/>
              </w:rPr>
              <w:t>Panel A</w:t>
            </w:r>
          </w:p>
          <w:p w14:paraId="25E9E104" w14:textId="2FDC3CFD" w:rsidR="00057B2C" w:rsidRPr="00BB2E0F" w:rsidRDefault="00057B2C" w:rsidP="00057B2C">
            <w:pPr>
              <w:rPr>
                <w:rFonts w:ascii="Times New Roman" w:hAnsi="Times New Roman" w:cs="Times New Roman"/>
                <w:b/>
                <w:bCs/>
              </w:rPr>
            </w:pPr>
            <w:r w:rsidRPr="00EF3D82">
              <w:rPr>
                <w:noProof/>
              </w:rPr>
              <w:drawing>
                <wp:inline distT="0" distB="0" distL="0" distR="0" wp14:anchorId="2F1C87A9" wp14:editId="748D1863">
                  <wp:extent cx="2642076" cy="1921510"/>
                  <wp:effectExtent l="0" t="0" r="0" b="0"/>
                  <wp:docPr id="156100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0390" name=""/>
                          <pic:cNvPicPr/>
                        </pic:nvPicPr>
                        <pic:blipFill>
                          <a:blip r:embed="rId64"/>
                          <a:stretch>
                            <a:fillRect/>
                          </a:stretch>
                        </pic:blipFill>
                        <pic:spPr>
                          <a:xfrm>
                            <a:off x="0" y="0"/>
                            <a:ext cx="2655992" cy="1931630"/>
                          </a:xfrm>
                          <a:prstGeom prst="rect">
                            <a:avLst/>
                          </a:prstGeom>
                        </pic:spPr>
                      </pic:pic>
                    </a:graphicData>
                  </a:graphic>
                </wp:inline>
              </w:drawing>
            </w:r>
          </w:p>
        </w:tc>
        <w:tc>
          <w:tcPr>
            <w:tcW w:w="4335" w:type="dxa"/>
          </w:tcPr>
          <w:p w14:paraId="63407CEA" w14:textId="77777777" w:rsidR="00BB2E0F" w:rsidRDefault="00BB2E0F" w:rsidP="00057B2C">
            <w:pPr>
              <w:rPr>
                <w:rFonts w:ascii="Times New Roman" w:hAnsi="Times New Roman" w:cs="Times New Roman"/>
                <w:b/>
                <w:bCs/>
              </w:rPr>
            </w:pPr>
            <w:r>
              <w:rPr>
                <w:rFonts w:ascii="Times New Roman" w:hAnsi="Times New Roman" w:cs="Times New Roman"/>
                <w:b/>
                <w:bCs/>
              </w:rPr>
              <w:t>Panel B</w:t>
            </w:r>
          </w:p>
          <w:p w14:paraId="186A0DFA" w14:textId="794A34A8" w:rsidR="00057B2C" w:rsidRPr="00BB2E0F" w:rsidRDefault="00057B2C" w:rsidP="00057B2C">
            <w:pPr>
              <w:rPr>
                <w:rFonts w:ascii="Times New Roman" w:hAnsi="Times New Roman" w:cs="Times New Roman"/>
                <w:b/>
                <w:bCs/>
              </w:rPr>
            </w:pPr>
            <w:r w:rsidRPr="00EF3D82">
              <w:rPr>
                <w:noProof/>
              </w:rPr>
              <w:drawing>
                <wp:inline distT="0" distB="0" distL="0" distR="0" wp14:anchorId="2ED304F3" wp14:editId="7071A8AE">
                  <wp:extent cx="2642659" cy="1921934"/>
                  <wp:effectExtent l="0" t="0" r="0" b="0"/>
                  <wp:docPr id="468557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57258" name=""/>
                          <pic:cNvPicPr/>
                        </pic:nvPicPr>
                        <pic:blipFill>
                          <a:blip r:embed="rId65"/>
                          <a:stretch>
                            <a:fillRect/>
                          </a:stretch>
                        </pic:blipFill>
                        <pic:spPr>
                          <a:xfrm>
                            <a:off x="0" y="0"/>
                            <a:ext cx="2683199" cy="1951418"/>
                          </a:xfrm>
                          <a:prstGeom prst="rect">
                            <a:avLst/>
                          </a:prstGeom>
                        </pic:spPr>
                      </pic:pic>
                    </a:graphicData>
                  </a:graphic>
                </wp:inline>
              </w:drawing>
            </w:r>
          </w:p>
        </w:tc>
      </w:tr>
      <w:tr w:rsidR="00BB2E0F" w14:paraId="239299EE" w14:textId="77777777" w:rsidTr="005A295F">
        <w:tc>
          <w:tcPr>
            <w:tcW w:w="4295" w:type="dxa"/>
          </w:tcPr>
          <w:p w14:paraId="217863C9" w14:textId="77777777" w:rsidR="00BB2E0F" w:rsidRDefault="00057B2C" w:rsidP="00057B2C">
            <w:pPr>
              <w:rPr>
                <w:rFonts w:ascii="Times New Roman" w:hAnsi="Times New Roman" w:cs="Times New Roman"/>
                <w:b/>
                <w:bCs/>
              </w:rPr>
            </w:pPr>
            <w:r>
              <w:rPr>
                <w:rFonts w:ascii="Times New Roman" w:hAnsi="Times New Roman" w:cs="Times New Roman"/>
                <w:b/>
                <w:bCs/>
              </w:rPr>
              <w:t>Panel C</w:t>
            </w:r>
          </w:p>
          <w:p w14:paraId="1BD764D7" w14:textId="5A44B1B2" w:rsidR="00057B2C" w:rsidRPr="00BB2E0F" w:rsidRDefault="00057B2C" w:rsidP="00057B2C">
            <w:pPr>
              <w:rPr>
                <w:rFonts w:ascii="Times New Roman" w:hAnsi="Times New Roman" w:cs="Times New Roman"/>
                <w:b/>
                <w:bCs/>
              </w:rPr>
            </w:pPr>
            <w:r w:rsidRPr="00EF3D82">
              <w:rPr>
                <w:noProof/>
              </w:rPr>
              <w:drawing>
                <wp:inline distT="0" distB="0" distL="0" distR="0" wp14:anchorId="1861F11A" wp14:editId="006B3A75">
                  <wp:extent cx="2654300" cy="1930400"/>
                  <wp:effectExtent l="0" t="0" r="0" b="0"/>
                  <wp:docPr id="70689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9592" name=""/>
                          <pic:cNvPicPr/>
                        </pic:nvPicPr>
                        <pic:blipFill>
                          <a:blip r:embed="rId66"/>
                          <a:stretch>
                            <a:fillRect/>
                          </a:stretch>
                        </pic:blipFill>
                        <pic:spPr>
                          <a:xfrm>
                            <a:off x="0" y="0"/>
                            <a:ext cx="2662948" cy="1936689"/>
                          </a:xfrm>
                          <a:prstGeom prst="rect">
                            <a:avLst/>
                          </a:prstGeom>
                        </pic:spPr>
                      </pic:pic>
                    </a:graphicData>
                  </a:graphic>
                </wp:inline>
              </w:drawing>
            </w:r>
          </w:p>
        </w:tc>
        <w:tc>
          <w:tcPr>
            <w:tcW w:w="4335" w:type="dxa"/>
          </w:tcPr>
          <w:p w14:paraId="3CC9963F" w14:textId="77777777" w:rsidR="00BB2E0F" w:rsidRDefault="00057B2C" w:rsidP="00057B2C">
            <w:pPr>
              <w:rPr>
                <w:rFonts w:ascii="Times New Roman" w:hAnsi="Times New Roman" w:cs="Times New Roman"/>
                <w:b/>
                <w:bCs/>
              </w:rPr>
            </w:pPr>
            <w:r>
              <w:rPr>
                <w:rFonts w:ascii="Times New Roman" w:hAnsi="Times New Roman" w:cs="Times New Roman"/>
                <w:b/>
                <w:bCs/>
              </w:rPr>
              <w:t>Panel D</w:t>
            </w:r>
          </w:p>
          <w:p w14:paraId="31444833" w14:textId="6E51CD18" w:rsidR="00057B2C" w:rsidRPr="00BB2E0F" w:rsidRDefault="00057B2C" w:rsidP="00057B2C">
            <w:pPr>
              <w:rPr>
                <w:rFonts w:ascii="Times New Roman" w:hAnsi="Times New Roman" w:cs="Times New Roman"/>
                <w:b/>
                <w:bCs/>
              </w:rPr>
            </w:pPr>
            <w:r w:rsidRPr="00591152">
              <w:rPr>
                <w:noProof/>
              </w:rPr>
              <w:drawing>
                <wp:inline distT="0" distB="0" distL="0" distR="0" wp14:anchorId="5335F419" wp14:editId="57E24FF4">
                  <wp:extent cx="2654300" cy="1930400"/>
                  <wp:effectExtent l="0" t="0" r="0" b="0"/>
                  <wp:docPr id="738317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17354" name=""/>
                          <pic:cNvPicPr/>
                        </pic:nvPicPr>
                        <pic:blipFill>
                          <a:blip r:embed="rId67"/>
                          <a:stretch>
                            <a:fillRect/>
                          </a:stretch>
                        </pic:blipFill>
                        <pic:spPr>
                          <a:xfrm>
                            <a:off x="0" y="0"/>
                            <a:ext cx="2715610" cy="1974989"/>
                          </a:xfrm>
                          <a:prstGeom prst="rect">
                            <a:avLst/>
                          </a:prstGeom>
                        </pic:spPr>
                      </pic:pic>
                    </a:graphicData>
                  </a:graphic>
                </wp:inline>
              </w:drawing>
            </w:r>
          </w:p>
        </w:tc>
      </w:tr>
      <w:tr w:rsidR="00BB2E0F" w14:paraId="7E01E9C6" w14:textId="77777777" w:rsidTr="005A295F">
        <w:tc>
          <w:tcPr>
            <w:tcW w:w="4295" w:type="dxa"/>
          </w:tcPr>
          <w:p w14:paraId="2A2B3529" w14:textId="77777777" w:rsidR="00BB2E0F" w:rsidRDefault="00057B2C" w:rsidP="00057B2C">
            <w:pPr>
              <w:rPr>
                <w:rFonts w:ascii="Times New Roman" w:hAnsi="Times New Roman" w:cs="Times New Roman"/>
                <w:b/>
                <w:bCs/>
              </w:rPr>
            </w:pPr>
            <w:r>
              <w:rPr>
                <w:rFonts w:ascii="Times New Roman" w:hAnsi="Times New Roman" w:cs="Times New Roman"/>
                <w:b/>
                <w:bCs/>
              </w:rPr>
              <w:t>Panel F</w:t>
            </w:r>
          </w:p>
          <w:p w14:paraId="4A280B4A" w14:textId="4AF88934" w:rsidR="00057B2C" w:rsidRPr="00BB2E0F" w:rsidRDefault="00057B2C" w:rsidP="00057B2C">
            <w:pPr>
              <w:rPr>
                <w:rFonts w:ascii="Times New Roman" w:hAnsi="Times New Roman" w:cs="Times New Roman"/>
                <w:b/>
                <w:bCs/>
              </w:rPr>
            </w:pPr>
            <w:r w:rsidRPr="003B1059">
              <w:rPr>
                <w:noProof/>
              </w:rPr>
              <w:drawing>
                <wp:inline distT="0" distB="0" distL="0" distR="0" wp14:anchorId="3BB463E3" wp14:editId="1268C6B2">
                  <wp:extent cx="2654300" cy="1930400"/>
                  <wp:effectExtent l="0" t="0" r="0" b="0"/>
                  <wp:docPr id="824537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37824" name=""/>
                          <pic:cNvPicPr/>
                        </pic:nvPicPr>
                        <pic:blipFill>
                          <a:blip r:embed="rId68"/>
                          <a:stretch>
                            <a:fillRect/>
                          </a:stretch>
                        </pic:blipFill>
                        <pic:spPr>
                          <a:xfrm>
                            <a:off x="0" y="0"/>
                            <a:ext cx="2665788" cy="1938755"/>
                          </a:xfrm>
                          <a:prstGeom prst="rect">
                            <a:avLst/>
                          </a:prstGeom>
                        </pic:spPr>
                      </pic:pic>
                    </a:graphicData>
                  </a:graphic>
                </wp:inline>
              </w:drawing>
            </w:r>
          </w:p>
        </w:tc>
        <w:tc>
          <w:tcPr>
            <w:tcW w:w="4335" w:type="dxa"/>
          </w:tcPr>
          <w:p w14:paraId="2B0778E3" w14:textId="77777777" w:rsidR="00BB2E0F" w:rsidRDefault="00057B2C" w:rsidP="00057B2C">
            <w:pPr>
              <w:rPr>
                <w:rFonts w:ascii="Times New Roman" w:hAnsi="Times New Roman" w:cs="Times New Roman"/>
                <w:b/>
                <w:bCs/>
              </w:rPr>
            </w:pPr>
            <w:r>
              <w:rPr>
                <w:rFonts w:ascii="Times New Roman" w:hAnsi="Times New Roman" w:cs="Times New Roman"/>
                <w:b/>
                <w:bCs/>
              </w:rPr>
              <w:t>Panel E</w:t>
            </w:r>
          </w:p>
          <w:p w14:paraId="7D45E8D3" w14:textId="772AC26C" w:rsidR="00057B2C" w:rsidRPr="00BB2E0F" w:rsidRDefault="00057B2C" w:rsidP="00057B2C">
            <w:pPr>
              <w:rPr>
                <w:rFonts w:ascii="Times New Roman" w:hAnsi="Times New Roman" w:cs="Times New Roman"/>
                <w:b/>
                <w:bCs/>
              </w:rPr>
            </w:pPr>
            <w:r w:rsidRPr="00591152">
              <w:rPr>
                <w:noProof/>
              </w:rPr>
              <w:drawing>
                <wp:inline distT="0" distB="0" distL="0" distR="0" wp14:anchorId="3E718FA9" wp14:editId="25A12BED">
                  <wp:extent cx="2677583" cy="1947333"/>
                  <wp:effectExtent l="0" t="0" r="2540" b="0"/>
                  <wp:docPr id="341535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35044" name=""/>
                          <pic:cNvPicPr/>
                        </pic:nvPicPr>
                        <pic:blipFill>
                          <a:blip r:embed="rId69"/>
                          <a:stretch>
                            <a:fillRect/>
                          </a:stretch>
                        </pic:blipFill>
                        <pic:spPr>
                          <a:xfrm>
                            <a:off x="0" y="0"/>
                            <a:ext cx="2692402" cy="1958110"/>
                          </a:xfrm>
                          <a:prstGeom prst="rect">
                            <a:avLst/>
                          </a:prstGeom>
                        </pic:spPr>
                      </pic:pic>
                    </a:graphicData>
                  </a:graphic>
                </wp:inline>
              </w:drawing>
            </w:r>
          </w:p>
        </w:tc>
      </w:tr>
      <w:bookmarkEnd w:id="10"/>
      <w:bookmarkEnd w:id="11"/>
      <w:bookmarkEnd w:id="182"/>
      <w:bookmarkEnd w:id="183"/>
      <w:bookmarkEnd w:id="184"/>
    </w:tbl>
    <w:p w14:paraId="58A7412A" w14:textId="77777777" w:rsidR="00334A8E" w:rsidRDefault="00334A8E" w:rsidP="00E32ADB">
      <w:pPr>
        <w:rPr>
          <w:rFonts w:ascii="Times New Roman" w:hAnsi="Times New Roman" w:cs="Times New Roman"/>
          <w:b/>
          <w:bCs/>
        </w:rPr>
      </w:pPr>
    </w:p>
    <w:p w14:paraId="5A531627" w14:textId="77777777" w:rsidR="00334A8E" w:rsidRPr="004C564E" w:rsidRDefault="00334A8E" w:rsidP="00334A8E">
      <w:pPr>
        <w:pStyle w:val="TableofFigs"/>
        <w:spacing w:line="240" w:lineRule="auto"/>
      </w:pPr>
      <w:bookmarkStart w:id="213" w:name="_Toc180144609"/>
      <w:r w:rsidRPr="004C564E">
        <w:t xml:space="preserve">Figure </w:t>
      </w:r>
      <w:r>
        <w:t>29</w:t>
      </w:r>
      <w:bookmarkEnd w:id="213"/>
    </w:p>
    <w:p w14:paraId="413CF36B" w14:textId="4E6D03EA" w:rsidR="00334A8E" w:rsidRDefault="00334A8E" w:rsidP="00E32ADB">
      <w:pPr>
        <w:rPr>
          <w:rFonts w:ascii="Times New Roman" w:hAnsi="Times New Roman" w:cs="Times New Roman"/>
          <w:b/>
          <w:bCs/>
        </w:rPr>
      </w:pPr>
      <w:r>
        <w:rPr>
          <w:rFonts w:ascii="Times New Roman" w:hAnsi="Times New Roman" w:cs="Times New Roman"/>
          <w:i/>
          <w:iCs/>
        </w:rPr>
        <w:t xml:space="preserve">Visualization of </w:t>
      </w:r>
      <w:proofErr w:type="spellStart"/>
      <w:r>
        <w:rPr>
          <w:rFonts w:ascii="Times New Roman" w:hAnsi="Times New Roman" w:cs="Times New Roman"/>
          <w:i/>
          <w:iCs/>
        </w:rPr>
        <w:t>Borusyak</w:t>
      </w:r>
      <w:proofErr w:type="spellEnd"/>
      <w:r>
        <w:rPr>
          <w:rFonts w:ascii="Times New Roman" w:hAnsi="Times New Roman" w:cs="Times New Roman"/>
          <w:i/>
          <w:iCs/>
        </w:rPr>
        <w:t xml:space="preserve"> et al.’s (2021) Trends for Public Institutions Only</w:t>
      </w:r>
    </w:p>
    <w:p w14:paraId="24A64918" w14:textId="77777777" w:rsidR="005A295F" w:rsidRDefault="005A295F" w:rsidP="00E32ADB">
      <w:pPr>
        <w:rPr>
          <w:rFonts w:ascii="Times New Roman" w:hAnsi="Times New Roman" w:cs="Times New Roman"/>
          <w:b/>
          <w:bCs/>
        </w:rPr>
      </w:pPr>
    </w:p>
    <w:tbl>
      <w:tblPr>
        <w:tblStyle w:val="TableGrid"/>
        <w:tblW w:w="0" w:type="auto"/>
        <w:tblLook w:val="04A0" w:firstRow="1" w:lastRow="0" w:firstColumn="1" w:lastColumn="0" w:noHBand="0" w:noVBand="1"/>
      </w:tblPr>
      <w:tblGrid>
        <w:gridCol w:w="4315"/>
        <w:gridCol w:w="4315"/>
      </w:tblGrid>
      <w:tr w:rsidR="005A295F" w:rsidRPr="00BB2E0F" w14:paraId="50675E6A" w14:textId="77777777" w:rsidTr="00321842">
        <w:tc>
          <w:tcPr>
            <w:tcW w:w="4315" w:type="dxa"/>
          </w:tcPr>
          <w:p w14:paraId="55304BF6" w14:textId="77777777" w:rsidR="005A295F" w:rsidRDefault="005A295F" w:rsidP="00321842">
            <w:pPr>
              <w:rPr>
                <w:rFonts w:ascii="Times New Roman" w:hAnsi="Times New Roman" w:cs="Times New Roman"/>
                <w:b/>
                <w:bCs/>
              </w:rPr>
            </w:pPr>
            <w:r>
              <w:rPr>
                <w:rFonts w:ascii="Times New Roman" w:hAnsi="Times New Roman" w:cs="Times New Roman"/>
                <w:b/>
                <w:bCs/>
              </w:rPr>
              <w:t xml:space="preserve">Panel G </w:t>
            </w:r>
          </w:p>
          <w:p w14:paraId="38DF0079" w14:textId="77777777" w:rsidR="005A295F" w:rsidRPr="00BB2E0F" w:rsidRDefault="005A295F" w:rsidP="00321842">
            <w:pPr>
              <w:rPr>
                <w:rFonts w:ascii="Times New Roman" w:hAnsi="Times New Roman" w:cs="Times New Roman"/>
                <w:b/>
                <w:bCs/>
              </w:rPr>
            </w:pPr>
            <w:r w:rsidRPr="00E13DF5">
              <w:rPr>
                <w:noProof/>
              </w:rPr>
              <w:drawing>
                <wp:inline distT="0" distB="0" distL="0" distR="0" wp14:anchorId="0ED371B0" wp14:editId="60BD376A">
                  <wp:extent cx="2677001" cy="1946910"/>
                  <wp:effectExtent l="0" t="0" r="3175" b="0"/>
                  <wp:docPr id="1775311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11343" name=""/>
                          <pic:cNvPicPr/>
                        </pic:nvPicPr>
                        <pic:blipFill>
                          <a:blip r:embed="rId70"/>
                          <a:stretch>
                            <a:fillRect/>
                          </a:stretch>
                        </pic:blipFill>
                        <pic:spPr>
                          <a:xfrm>
                            <a:off x="0" y="0"/>
                            <a:ext cx="2693220" cy="1958706"/>
                          </a:xfrm>
                          <a:prstGeom prst="rect">
                            <a:avLst/>
                          </a:prstGeom>
                        </pic:spPr>
                      </pic:pic>
                    </a:graphicData>
                  </a:graphic>
                </wp:inline>
              </w:drawing>
            </w:r>
          </w:p>
        </w:tc>
        <w:tc>
          <w:tcPr>
            <w:tcW w:w="4315" w:type="dxa"/>
          </w:tcPr>
          <w:p w14:paraId="5E21EF35" w14:textId="77777777" w:rsidR="005A295F" w:rsidRDefault="005A295F" w:rsidP="00321842">
            <w:pPr>
              <w:rPr>
                <w:rFonts w:ascii="Times New Roman" w:hAnsi="Times New Roman" w:cs="Times New Roman"/>
                <w:b/>
                <w:bCs/>
              </w:rPr>
            </w:pPr>
            <w:r>
              <w:rPr>
                <w:rFonts w:ascii="Times New Roman" w:hAnsi="Times New Roman" w:cs="Times New Roman"/>
                <w:b/>
                <w:bCs/>
              </w:rPr>
              <w:t>Panel H</w:t>
            </w:r>
          </w:p>
          <w:p w14:paraId="56E2A882" w14:textId="77777777" w:rsidR="005A295F" w:rsidRPr="00BB2E0F" w:rsidRDefault="005A295F" w:rsidP="00321842">
            <w:pPr>
              <w:rPr>
                <w:rFonts w:ascii="Times New Roman" w:hAnsi="Times New Roman" w:cs="Times New Roman"/>
                <w:b/>
                <w:bCs/>
              </w:rPr>
            </w:pPr>
            <w:r w:rsidRPr="00924C64">
              <w:rPr>
                <w:noProof/>
              </w:rPr>
              <w:drawing>
                <wp:inline distT="0" distB="0" distL="0" distR="0" wp14:anchorId="5603CC7A" wp14:editId="6AC83E88">
                  <wp:extent cx="2677001" cy="1946910"/>
                  <wp:effectExtent l="0" t="0" r="3175" b="0"/>
                  <wp:docPr id="1033726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26199" name=""/>
                          <pic:cNvPicPr/>
                        </pic:nvPicPr>
                        <pic:blipFill>
                          <a:blip r:embed="rId71"/>
                          <a:stretch>
                            <a:fillRect/>
                          </a:stretch>
                        </pic:blipFill>
                        <pic:spPr>
                          <a:xfrm>
                            <a:off x="0" y="0"/>
                            <a:ext cx="2722854" cy="1980258"/>
                          </a:xfrm>
                          <a:prstGeom prst="rect">
                            <a:avLst/>
                          </a:prstGeom>
                        </pic:spPr>
                      </pic:pic>
                    </a:graphicData>
                  </a:graphic>
                </wp:inline>
              </w:drawing>
            </w:r>
          </w:p>
        </w:tc>
      </w:tr>
      <w:tr w:rsidR="005A295F" w:rsidRPr="00BB2E0F" w14:paraId="5F244E0F" w14:textId="77777777" w:rsidTr="00321842">
        <w:tc>
          <w:tcPr>
            <w:tcW w:w="4315" w:type="dxa"/>
          </w:tcPr>
          <w:p w14:paraId="289DE486" w14:textId="77777777" w:rsidR="005A295F" w:rsidRDefault="005A295F" w:rsidP="00321842">
            <w:pPr>
              <w:rPr>
                <w:rFonts w:ascii="Times New Roman" w:hAnsi="Times New Roman" w:cs="Times New Roman"/>
                <w:b/>
                <w:bCs/>
              </w:rPr>
            </w:pPr>
            <w:r>
              <w:rPr>
                <w:rFonts w:ascii="Times New Roman" w:hAnsi="Times New Roman" w:cs="Times New Roman"/>
                <w:b/>
                <w:bCs/>
              </w:rPr>
              <w:t xml:space="preserve">Panel I </w:t>
            </w:r>
          </w:p>
          <w:p w14:paraId="4C549E41" w14:textId="77777777" w:rsidR="005A295F" w:rsidRPr="00BB2E0F" w:rsidRDefault="005A295F" w:rsidP="00321842">
            <w:pPr>
              <w:rPr>
                <w:rFonts w:ascii="Times New Roman" w:hAnsi="Times New Roman" w:cs="Times New Roman"/>
                <w:b/>
                <w:bCs/>
              </w:rPr>
            </w:pPr>
            <w:r w:rsidRPr="00924C64">
              <w:rPr>
                <w:noProof/>
              </w:rPr>
              <w:drawing>
                <wp:inline distT="0" distB="0" distL="0" distR="0" wp14:anchorId="1F13DBEC" wp14:editId="57E8B198">
                  <wp:extent cx="2607151" cy="1896110"/>
                  <wp:effectExtent l="0" t="0" r="0" b="0"/>
                  <wp:docPr id="305697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97668" name=""/>
                          <pic:cNvPicPr/>
                        </pic:nvPicPr>
                        <pic:blipFill>
                          <a:blip r:embed="rId72"/>
                          <a:stretch>
                            <a:fillRect/>
                          </a:stretch>
                        </pic:blipFill>
                        <pic:spPr>
                          <a:xfrm>
                            <a:off x="0" y="0"/>
                            <a:ext cx="2628613" cy="1911719"/>
                          </a:xfrm>
                          <a:prstGeom prst="rect">
                            <a:avLst/>
                          </a:prstGeom>
                        </pic:spPr>
                      </pic:pic>
                    </a:graphicData>
                  </a:graphic>
                </wp:inline>
              </w:drawing>
            </w:r>
          </w:p>
        </w:tc>
        <w:tc>
          <w:tcPr>
            <w:tcW w:w="4315" w:type="dxa"/>
          </w:tcPr>
          <w:p w14:paraId="6547F894" w14:textId="77777777" w:rsidR="005A295F" w:rsidRDefault="005A295F" w:rsidP="00321842">
            <w:pPr>
              <w:rPr>
                <w:rFonts w:ascii="Times New Roman" w:hAnsi="Times New Roman" w:cs="Times New Roman"/>
                <w:b/>
                <w:bCs/>
              </w:rPr>
            </w:pPr>
            <w:r>
              <w:rPr>
                <w:rFonts w:ascii="Times New Roman" w:hAnsi="Times New Roman" w:cs="Times New Roman"/>
                <w:b/>
                <w:bCs/>
              </w:rPr>
              <w:t>Panel J</w:t>
            </w:r>
          </w:p>
          <w:p w14:paraId="15184539" w14:textId="77777777" w:rsidR="005A295F" w:rsidRPr="00BB2E0F" w:rsidRDefault="005A295F" w:rsidP="00321842">
            <w:pPr>
              <w:rPr>
                <w:rFonts w:ascii="Times New Roman" w:hAnsi="Times New Roman" w:cs="Times New Roman"/>
                <w:b/>
                <w:bCs/>
              </w:rPr>
            </w:pPr>
            <w:r w:rsidRPr="008D3064">
              <w:rPr>
                <w:noProof/>
              </w:rPr>
              <w:drawing>
                <wp:inline distT="0" distB="0" distL="0" distR="0" wp14:anchorId="14F1EB4A" wp14:editId="1FDC2BE9">
                  <wp:extent cx="2607733" cy="1896533"/>
                  <wp:effectExtent l="0" t="0" r="0" b="0"/>
                  <wp:docPr id="1077216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16731" name=""/>
                          <pic:cNvPicPr/>
                        </pic:nvPicPr>
                        <pic:blipFill>
                          <a:blip r:embed="rId73"/>
                          <a:stretch>
                            <a:fillRect/>
                          </a:stretch>
                        </pic:blipFill>
                        <pic:spPr>
                          <a:xfrm>
                            <a:off x="0" y="0"/>
                            <a:ext cx="2631405" cy="1913749"/>
                          </a:xfrm>
                          <a:prstGeom prst="rect">
                            <a:avLst/>
                          </a:prstGeom>
                        </pic:spPr>
                      </pic:pic>
                    </a:graphicData>
                  </a:graphic>
                </wp:inline>
              </w:drawing>
            </w:r>
          </w:p>
        </w:tc>
      </w:tr>
    </w:tbl>
    <w:p w14:paraId="61FD804F" w14:textId="77777777" w:rsidR="005A295F" w:rsidRPr="005A295F" w:rsidRDefault="005A295F" w:rsidP="00E32ADB">
      <w:pPr>
        <w:rPr>
          <w:rFonts w:ascii="Times New Roman" w:hAnsi="Times New Roman" w:cs="Times New Roman"/>
          <w:b/>
          <w:bCs/>
        </w:rPr>
      </w:pPr>
    </w:p>
    <w:p w14:paraId="33C602FA" w14:textId="77777777" w:rsidR="00334A8E" w:rsidRDefault="00334A8E" w:rsidP="00334A8E">
      <w:pPr>
        <w:rPr>
          <w:rFonts w:ascii="Times New Roman" w:hAnsi="Times New Roman" w:cs="Times New Roman"/>
          <w:b/>
          <w:bCs/>
        </w:rPr>
      </w:pPr>
      <w:r>
        <w:rPr>
          <w:rFonts w:ascii="Times New Roman" w:hAnsi="Times New Roman" w:cs="Times New Roman"/>
          <w:b/>
          <w:bCs/>
        </w:rPr>
        <w:t xml:space="preserve">Figure 29 continued </w:t>
      </w:r>
    </w:p>
    <w:p w14:paraId="0B7EAB3A" w14:textId="5EF29C63" w:rsidR="00E32ADB" w:rsidRPr="00EC3E7D" w:rsidRDefault="00E32ADB" w:rsidP="00E32ADB">
      <w:pPr>
        <w:rPr>
          <w:rFonts w:ascii="Times New Roman" w:hAnsi="Times New Roman" w:cs="Times New Roman"/>
        </w:rPr>
      </w:pPr>
      <w:r>
        <w:rPr>
          <w:rFonts w:ascii="Times New Roman" w:hAnsi="Times New Roman" w:cs="Times New Roman"/>
        </w:rPr>
        <w:t xml:space="preserve">Figure 29 contains outputs for the Borusyak et al. (2021) estimator in Panels A through J. In each panel, the y-axis represents the treatment coefficient’s effect on the number of awards produced at institutions at that period (x-axis) in natural log units for each outcome variable of interest in this study. </w:t>
      </w:r>
    </w:p>
    <w:p w14:paraId="24668164" w14:textId="77777777" w:rsidR="00E32ADB" w:rsidRPr="00E32ADB" w:rsidRDefault="00E32ADB" w:rsidP="00E32ADB"/>
    <w:p w14:paraId="36FAE8FB" w14:textId="6F4EFFAD" w:rsidR="00B83B17" w:rsidRPr="00C63272" w:rsidRDefault="00B83B17" w:rsidP="00D165B0">
      <w:pPr>
        <w:pStyle w:val="Heading1"/>
      </w:pPr>
      <w:r>
        <w:br w:type="page"/>
      </w:r>
      <w:bookmarkStart w:id="214" w:name="_Toc183282304"/>
      <w:r w:rsidRPr="00C63272">
        <w:lastRenderedPageBreak/>
        <w:t>Appendix</w:t>
      </w:r>
      <w:r>
        <w:t xml:space="preserve"> J</w:t>
      </w:r>
      <w:bookmarkEnd w:id="214"/>
    </w:p>
    <w:p w14:paraId="10D8C5C1" w14:textId="50C67FA6" w:rsidR="00680DDF" w:rsidRDefault="00680DDF" w:rsidP="00680DDF">
      <w:pPr>
        <w:spacing w:line="480" w:lineRule="auto"/>
        <w:jc w:val="center"/>
        <w:rPr>
          <w:rFonts w:ascii="Times New Roman" w:hAnsi="Times New Roman" w:cs="Times New Roman"/>
        </w:rPr>
      </w:pPr>
      <w:r>
        <w:rPr>
          <w:rFonts w:ascii="Times New Roman" w:hAnsi="Times New Roman" w:cs="Times New Roman"/>
        </w:rPr>
        <w:t>Combined Event Study Coefficient Plot for Public</w:t>
      </w:r>
      <w:r w:rsidRPr="00442D75">
        <w:rPr>
          <w:rFonts w:ascii="Times New Roman" w:hAnsi="Times New Roman" w:cs="Times New Roman"/>
        </w:rPr>
        <w:t xml:space="preserve"> Institutions Only</w:t>
      </w:r>
    </w:p>
    <w:p w14:paraId="67274591" w14:textId="668B1FA1" w:rsidR="00680DDF" w:rsidRPr="00893355" w:rsidRDefault="00680DDF" w:rsidP="00334A8E">
      <w:pPr>
        <w:rPr>
          <w:rFonts w:ascii="Times New Roman" w:hAnsi="Times New Roman" w:cs="Times New Roman"/>
          <w:i/>
          <w:iCs/>
        </w:rPr>
      </w:pPr>
    </w:p>
    <w:tbl>
      <w:tblPr>
        <w:tblStyle w:val="TableGrid"/>
        <w:tblW w:w="0" w:type="auto"/>
        <w:tblLook w:val="04A0" w:firstRow="1" w:lastRow="0" w:firstColumn="1" w:lastColumn="0" w:noHBand="0" w:noVBand="1"/>
      </w:tblPr>
      <w:tblGrid>
        <w:gridCol w:w="4315"/>
        <w:gridCol w:w="4315"/>
      </w:tblGrid>
      <w:tr w:rsidR="00680DDF" w14:paraId="20BB52B9" w14:textId="77777777" w:rsidTr="00057B2C">
        <w:tc>
          <w:tcPr>
            <w:tcW w:w="4315" w:type="dxa"/>
          </w:tcPr>
          <w:p w14:paraId="287BAE40" w14:textId="1C0C1073" w:rsidR="00057B2C" w:rsidRPr="00057B2C" w:rsidRDefault="00057B2C" w:rsidP="00057B2C">
            <w:pPr>
              <w:rPr>
                <w:rFonts w:ascii="Times New Roman" w:hAnsi="Times New Roman" w:cs="Times New Roman"/>
                <w:b/>
                <w:bCs/>
              </w:rPr>
            </w:pPr>
            <w:r w:rsidRPr="00057B2C">
              <w:rPr>
                <w:rFonts w:ascii="Times New Roman" w:hAnsi="Times New Roman" w:cs="Times New Roman"/>
                <w:b/>
                <w:bCs/>
              </w:rPr>
              <w:t>Panel A</w:t>
            </w:r>
          </w:p>
          <w:p w14:paraId="5A2C3ECB" w14:textId="2077A182" w:rsidR="00680DDF" w:rsidRPr="00057B2C" w:rsidRDefault="00680DDF" w:rsidP="00057B2C">
            <w:pPr>
              <w:rPr>
                <w:rFonts w:ascii="Times New Roman" w:hAnsi="Times New Roman" w:cs="Times New Roman"/>
                <w:b/>
                <w:bCs/>
              </w:rPr>
            </w:pPr>
            <w:r w:rsidRPr="00057B2C">
              <w:rPr>
                <w:rFonts w:ascii="Times New Roman" w:hAnsi="Times New Roman" w:cs="Times New Roman"/>
                <w:b/>
                <w:bCs/>
                <w:noProof/>
              </w:rPr>
              <w:drawing>
                <wp:inline distT="0" distB="0" distL="0" distR="0" wp14:anchorId="42E14D78" wp14:editId="4D189199">
                  <wp:extent cx="2572807" cy="1871133"/>
                  <wp:effectExtent l="0" t="0" r="5715" b="0"/>
                  <wp:docPr id="210112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36755" name=""/>
                          <pic:cNvPicPr/>
                        </pic:nvPicPr>
                        <pic:blipFill>
                          <a:blip r:embed="rId26"/>
                          <a:stretch>
                            <a:fillRect/>
                          </a:stretch>
                        </pic:blipFill>
                        <pic:spPr>
                          <a:xfrm>
                            <a:off x="0" y="0"/>
                            <a:ext cx="2644835" cy="1923517"/>
                          </a:xfrm>
                          <a:prstGeom prst="rect">
                            <a:avLst/>
                          </a:prstGeom>
                        </pic:spPr>
                      </pic:pic>
                    </a:graphicData>
                  </a:graphic>
                </wp:inline>
              </w:drawing>
            </w:r>
          </w:p>
        </w:tc>
        <w:tc>
          <w:tcPr>
            <w:tcW w:w="4315" w:type="dxa"/>
          </w:tcPr>
          <w:p w14:paraId="6E71D9BE" w14:textId="0F685DB7" w:rsidR="00680DDF" w:rsidRPr="00057B2C" w:rsidRDefault="00057B2C" w:rsidP="00057B2C">
            <w:pPr>
              <w:rPr>
                <w:rFonts w:ascii="Times New Roman" w:hAnsi="Times New Roman" w:cs="Times New Roman"/>
                <w:b/>
                <w:bCs/>
              </w:rPr>
            </w:pPr>
            <w:r w:rsidRPr="00057B2C">
              <w:rPr>
                <w:rFonts w:ascii="Times New Roman" w:hAnsi="Times New Roman" w:cs="Times New Roman"/>
                <w:b/>
                <w:bCs/>
              </w:rPr>
              <w:t>Panel B</w:t>
            </w:r>
            <w:r w:rsidR="00680DDF" w:rsidRPr="00057B2C">
              <w:rPr>
                <w:rFonts w:ascii="Times New Roman" w:hAnsi="Times New Roman" w:cs="Times New Roman"/>
                <w:b/>
                <w:bCs/>
                <w:noProof/>
              </w:rPr>
              <w:drawing>
                <wp:inline distT="0" distB="0" distL="0" distR="0" wp14:anchorId="3BC9BA35" wp14:editId="3EDC5976">
                  <wp:extent cx="2572226" cy="1870710"/>
                  <wp:effectExtent l="0" t="0" r="6350" b="0"/>
                  <wp:docPr id="1283160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89177" name=""/>
                          <pic:cNvPicPr/>
                        </pic:nvPicPr>
                        <pic:blipFill>
                          <a:blip r:embed="rId27"/>
                          <a:stretch>
                            <a:fillRect/>
                          </a:stretch>
                        </pic:blipFill>
                        <pic:spPr>
                          <a:xfrm>
                            <a:off x="0" y="0"/>
                            <a:ext cx="2631419" cy="1913759"/>
                          </a:xfrm>
                          <a:prstGeom prst="rect">
                            <a:avLst/>
                          </a:prstGeom>
                        </pic:spPr>
                      </pic:pic>
                    </a:graphicData>
                  </a:graphic>
                </wp:inline>
              </w:drawing>
            </w:r>
          </w:p>
        </w:tc>
      </w:tr>
      <w:tr w:rsidR="00680DDF" w14:paraId="34EA48CA" w14:textId="77777777" w:rsidTr="00057B2C">
        <w:tc>
          <w:tcPr>
            <w:tcW w:w="4315" w:type="dxa"/>
          </w:tcPr>
          <w:p w14:paraId="4D61510F" w14:textId="2A7218EE" w:rsidR="00680DDF" w:rsidRPr="00057B2C" w:rsidRDefault="00057B2C" w:rsidP="00057B2C">
            <w:pPr>
              <w:rPr>
                <w:rFonts w:ascii="Times New Roman" w:hAnsi="Times New Roman" w:cs="Times New Roman"/>
                <w:b/>
                <w:bCs/>
              </w:rPr>
            </w:pPr>
            <w:r w:rsidRPr="00057B2C">
              <w:rPr>
                <w:rFonts w:ascii="Times New Roman" w:hAnsi="Times New Roman" w:cs="Times New Roman"/>
                <w:b/>
                <w:bCs/>
              </w:rPr>
              <w:t>Panel C</w:t>
            </w:r>
            <w:r w:rsidR="00680DDF" w:rsidRPr="00057B2C">
              <w:rPr>
                <w:rFonts w:ascii="Times New Roman" w:hAnsi="Times New Roman" w:cs="Times New Roman"/>
                <w:b/>
                <w:bCs/>
                <w:i/>
                <w:iCs/>
                <w:noProof/>
              </w:rPr>
              <w:drawing>
                <wp:inline distT="0" distB="0" distL="0" distR="0" wp14:anchorId="7FD402B0" wp14:editId="7EC37E8D">
                  <wp:extent cx="2561166" cy="1862666"/>
                  <wp:effectExtent l="0" t="0" r="4445" b="4445"/>
                  <wp:docPr id="393630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64665" name=""/>
                          <pic:cNvPicPr/>
                        </pic:nvPicPr>
                        <pic:blipFill>
                          <a:blip r:embed="rId28"/>
                          <a:stretch>
                            <a:fillRect/>
                          </a:stretch>
                        </pic:blipFill>
                        <pic:spPr>
                          <a:xfrm>
                            <a:off x="0" y="0"/>
                            <a:ext cx="2603236" cy="1893262"/>
                          </a:xfrm>
                          <a:prstGeom prst="rect">
                            <a:avLst/>
                          </a:prstGeom>
                        </pic:spPr>
                      </pic:pic>
                    </a:graphicData>
                  </a:graphic>
                </wp:inline>
              </w:drawing>
            </w:r>
          </w:p>
        </w:tc>
        <w:tc>
          <w:tcPr>
            <w:tcW w:w="4315" w:type="dxa"/>
          </w:tcPr>
          <w:p w14:paraId="296F7BBA" w14:textId="4E76BFEA" w:rsidR="00680DDF" w:rsidRPr="00057B2C" w:rsidRDefault="00057B2C" w:rsidP="00057B2C">
            <w:pPr>
              <w:rPr>
                <w:rFonts w:ascii="Times New Roman" w:hAnsi="Times New Roman" w:cs="Times New Roman"/>
                <w:b/>
                <w:bCs/>
              </w:rPr>
            </w:pPr>
            <w:r w:rsidRPr="00057B2C">
              <w:rPr>
                <w:rFonts w:ascii="Times New Roman" w:hAnsi="Times New Roman" w:cs="Times New Roman"/>
                <w:b/>
                <w:bCs/>
              </w:rPr>
              <w:t>Panel D</w:t>
            </w:r>
            <w:r w:rsidR="00680DDF" w:rsidRPr="00057B2C">
              <w:rPr>
                <w:rFonts w:ascii="Times New Roman" w:hAnsi="Times New Roman" w:cs="Times New Roman"/>
                <w:b/>
                <w:bCs/>
                <w:i/>
                <w:iCs/>
                <w:noProof/>
              </w:rPr>
              <w:drawing>
                <wp:inline distT="0" distB="0" distL="0" distR="0" wp14:anchorId="7186FB47" wp14:editId="07523C07">
                  <wp:extent cx="2560875" cy="1862455"/>
                  <wp:effectExtent l="0" t="0" r="5080" b="4445"/>
                  <wp:docPr id="179397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80745" name=""/>
                          <pic:cNvPicPr/>
                        </pic:nvPicPr>
                        <pic:blipFill>
                          <a:blip r:embed="rId29"/>
                          <a:stretch>
                            <a:fillRect/>
                          </a:stretch>
                        </pic:blipFill>
                        <pic:spPr>
                          <a:xfrm>
                            <a:off x="0" y="0"/>
                            <a:ext cx="2578059" cy="1874952"/>
                          </a:xfrm>
                          <a:prstGeom prst="rect">
                            <a:avLst/>
                          </a:prstGeom>
                        </pic:spPr>
                      </pic:pic>
                    </a:graphicData>
                  </a:graphic>
                </wp:inline>
              </w:drawing>
            </w:r>
          </w:p>
        </w:tc>
      </w:tr>
      <w:tr w:rsidR="00680DDF" w:rsidRPr="00057B2C" w14:paraId="0B121816" w14:textId="77777777" w:rsidTr="00057B2C">
        <w:tc>
          <w:tcPr>
            <w:tcW w:w="4315" w:type="dxa"/>
          </w:tcPr>
          <w:p w14:paraId="1AF74C65" w14:textId="56907F22" w:rsidR="00680DDF" w:rsidRPr="00057B2C" w:rsidRDefault="00057B2C" w:rsidP="00057B2C">
            <w:pPr>
              <w:rPr>
                <w:rFonts w:ascii="Times New Roman" w:hAnsi="Times New Roman" w:cs="Times New Roman"/>
                <w:b/>
                <w:bCs/>
              </w:rPr>
            </w:pPr>
            <w:r w:rsidRPr="00057B2C">
              <w:rPr>
                <w:rFonts w:ascii="Times New Roman" w:hAnsi="Times New Roman" w:cs="Times New Roman"/>
                <w:b/>
                <w:bCs/>
              </w:rPr>
              <w:t>Panel E</w:t>
            </w:r>
            <w:r w:rsidR="00680DDF" w:rsidRPr="00057B2C">
              <w:rPr>
                <w:rFonts w:ascii="Times New Roman" w:hAnsi="Times New Roman" w:cs="Times New Roman"/>
                <w:b/>
                <w:bCs/>
                <w:i/>
                <w:iCs/>
                <w:noProof/>
              </w:rPr>
              <w:drawing>
                <wp:inline distT="0" distB="0" distL="0" distR="0" wp14:anchorId="137DEDE3" wp14:editId="175ABAEE">
                  <wp:extent cx="2572385" cy="1870826"/>
                  <wp:effectExtent l="0" t="0" r="5715" b="0"/>
                  <wp:docPr id="135018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12893" name=""/>
                          <pic:cNvPicPr/>
                        </pic:nvPicPr>
                        <pic:blipFill>
                          <a:blip r:embed="rId30"/>
                          <a:stretch>
                            <a:fillRect/>
                          </a:stretch>
                        </pic:blipFill>
                        <pic:spPr>
                          <a:xfrm>
                            <a:off x="0" y="0"/>
                            <a:ext cx="2641163" cy="1920846"/>
                          </a:xfrm>
                          <a:prstGeom prst="rect">
                            <a:avLst/>
                          </a:prstGeom>
                        </pic:spPr>
                      </pic:pic>
                    </a:graphicData>
                  </a:graphic>
                </wp:inline>
              </w:drawing>
            </w:r>
          </w:p>
        </w:tc>
        <w:tc>
          <w:tcPr>
            <w:tcW w:w="4315" w:type="dxa"/>
          </w:tcPr>
          <w:p w14:paraId="1C3A7E75" w14:textId="3C98BD11" w:rsidR="00680DDF" w:rsidRPr="00057B2C" w:rsidRDefault="00057B2C" w:rsidP="00057B2C">
            <w:pPr>
              <w:rPr>
                <w:rFonts w:ascii="Times New Roman" w:hAnsi="Times New Roman" w:cs="Times New Roman"/>
                <w:b/>
                <w:bCs/>
              </w:rPr>
            </w:pPr>
            <w:r w:rsidRPr="00057B2C">
              <w:rPr>
                <w:rFonts w:ascii="Times New Roman" w:hAnsi="Times New Roman" w:cs="Times New Roman"/>
                <w:b/>
                <w:bCs/>
              </w:rPr>
              <w:t>Panel F</w:t>
            </w:r>
            <w:r w:rsidR="00680DDF" w:rsidRPr="00057B2C">
              <w:rPr>
                <w:rFonts w:ascii="Times New Roman" w:hAnsi="Times New Roman" w:cs="Times New Roman"/>
                <w:b/>
                <w:bCs/>
                <w:i/>
                <w:iCs/>
                <w:noProof/>
              </w:rPr>
              <w:drawing>
                <wp:inline distT="0" distB="0" distL="0" distR="0" wp14:anchorId="166E5696" wp14:editId="05E14836">
                  <wp:extent cx="2572227" cy="1870710"/>
                  <wp:effectExtent l="0" t="0" r="6350" b="0"/>
                  <wp:docPr id="413559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52563" name=""/>
                          <pic:cNvPicPr/>
                        </pic:nvPicPr>
                        <pic:blipFill>
                          <a:blip r:embed="rId32"/>
                          <a:stretch>
                            <a:fillRect/>
                          </a:stretch>
                        </pic:blipFill>
                        <pic:spPr>
                          <a:xfrm>
                            <a:off x="0" y="0"/>
                            <a:ext cx="2630446" cy="1913051"/>
                          </a:xfrm>
                          <a:prstGeom prst="rect">
                            <a:avLst/>
                          </a:prstGeom>
                        </pic:spPr>
                      </pic:pic>
                    </a:graphicData>
                  </a:graphic>
                </wp:inline>
              </w:drawing>
            </w:r>
          </w:p>
        </w:tc>
      </w:tr>
    </w:tbl>
    <w:p w14:paraId="6D86E437" w14:textId="77777777" w:rsidR="00680DDF" w:rsidRDefault="00680DDF" w:rsidP="00680DDF"/>
    <w:p w14:paraId="6E39A5BD" w14:textId="77777777" w:rsidR="00334A8E" w:rsidRPr="004C564E" w:rsidRDefault="00334A8E" w:rsidP="00334A8E">
      <w:pPr>
        <w:pStyle w:val="TableofFigs"/>
        <w:spacing w:line="240" w:lineRule="auto"/>
      </w:pPr>
      <w:bookmarkStart w:id="215" w:name="_Toc180144610"/>
      <w:r w:rsidRPr="004C564E">
        <w:t xml:space="preserve">Figure </w:t>
      </w:r>
      <w:r>
        <w:t>30</w:t>
      </w:r>
      <w:bookmarkEnd w:id="215"/>
    </w:p>
    <w:p w14:paraId="5265E749" w14:textId="349842AA" w:rsidR="00334A8E" w:rsidRDefault="00334A8E" w:rsidP="00334A8E">
      <w:pPr>
        <w:rPr>
          <w:rFonts w:ascii="Times New Roman" w:hAnsi="Times New Roman" w:cs="Times New Roman"/>
          <w:b/>
          <w:bCs/>
        </w:rPr>
      </w:pPr>
      <w:r>
        <w:rPr>
          <w:rFonts w:ascii="Times New Roman" w:hAnsi="Times New Roman" w:cs="Times New Roman"/>
          <w:i/>
          <w:iCs/>
        </w:rPr>
        <w:t>Visualization of Event Study, Imputation, and OLS Estimators Public Institutions Only</w:t>
      </w:r>
    </w:p>
    <w:p w14:paraId="272915E4" w14:textId="77777777" w:rsidR="00334A8E" w:rsidRDefault="00334A8E" w:rsidP="00E32ADB">
      <w:pPr>
        <w:rPr>
          <w:rFonts w:ascii="Times New Roman" w:hAnsi="Times New Roman" w:cs="Times New Roman"/>
          <w:b/>
          <w:bCs/>
        </w:rPr>
      </w:pPr>
    </w:p>
    <w:p w14:paraId="68DAB27F" w14:textId="77777777" w:rsidR="005A295F" w:rsidRDefault="005A295F" w:rsidP="00E32ADB">
      <w:pPr>
        <w:rPr>
          <w:rFonts w:ascii="Times New Roman" w:hAnsi="Times New Roman" w:cs="Times New Roman"/>
          <w:b/>
          <w:bCs/>
        </w:rPr>
      </w:pPr>
    </w:p>
    <w:tbl>
      <w:tblPr>
        <w:tblStyle w:val="TableGrid"/>
        <w:tblW w:w="0" w:type="auto"/>
        <w:tblLook w:val="04A0" w:firstRow="1" w:lastRow="0" w:firstColumn="1" w:lastColumn="0" w:noHBand="0" w:noVBand="1"/>
      </w:tblPr>
      <w:tblGrid>
        <w:gridCol w:w="4315"/>
        <w:gridCol w:w="4315"/>
      </w:tblGrid>
      <w:tr w:rsidR="005A295F" w:rsidRPr="00057B2C" w14:paraId="2E0DBF12" w14:textId="77777777" w:rsidTr="00321842">
        <w:tc>
          <w:tcPr>
            <w:tcW w:w="4315" w:type="dxa"/>
          </w:tcPr>
          <w:p w14:paraId="28FEAD9F" w14:textId="77777777" w:rsidR="005A295F" w:rsidRPr="00057B2C" w:rsidRDefault="005A295F" w:rsidP="00321842">
            <w:pPr>
              <w:rPr>
                <w:rFonts w:ascii="Times New Roman" w:hAnsi="Times New Roman" w:cs="Times New Roman"/>
                <w:b/>
                <w:bCs/>
              </w:rPr>
            </w:pPr>
            <w:r w:rsidRPr="00057B2C">
              <w:rPr>
                <w:rFonts w:ascii="Times New Roman" w:hAnsi="Times New Roman" w:cs="Times New Roman"/>
                <w:b/>
                <w:bCs/>
              </w:rPr>
              <w:t>Panel G</w:t>
            </w:r>
            <w:r w:rsidRPr="00057B2C">
              <w:rPr>
                <w:rFonts w:ascii="Times New Roman" w:hAnsi="Times New Roman" w:cs="Times New Roman"/>
                <w:b/>
                <w:bCs/>
                <w:i/>
                <w:iCs/>
                <w:noProof/>
              </w:rPr>
              <w:drawing>
                <wp:inline distT="0" distB="0" distL="0" distR="0" wp14:anchorId="4EB0D903" wp14:editId="71821962">
                  <wp:extent cx="2675467" cy="1945794"/>
                  <wp:effectExtent l="0" t="0" r="4445" b="0"/>
                  <wp:docPr id="1420949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74878" name=""/>
                          <pic:cNvPicPr/>
                        </pic:nvPicPr>
                        <pic:blipFill>
                          <a:blip r:embed="rId31"/>
                          <a:stretch>
                            <a:fillRect/>
                          </a:stretch>
                        </pic:blipFill>
                        <pic:spPr>
                          <a:xfrm>
                            <a:off x="0" y="0"/>
                            <a:ext cx="2726143" cy="1982649"/>
                          </a:xfrm>
                          <a:prstGeom prst="rect">
                            <a:avLst/>
                          </a:prstGeom>
                        </pic:spPr>
                      </pic:pic>
                    </a:graphicData>
                  </a:graphic>
                </wp:inline>
              </w:drawing>
            </w:r>
          </w:p>
        </w:tc>
        <w:tc>
          <w:tcPr>
            <w:tcW w:w="4315" w:type="dxa"/>
          </w:tcPr>
          <w:p w14:paraId="4D576D6D" w14:textId="77777777" w:rsidR="005A295F" w:rsidRPr="00057B2C" w:rsidRDefault="005A295F" w:rsidP="00321842">
            <w:pPr>
              <w:rPr>
                <w:rFonts w:ascii="Times New Roman" w:hAnsi="Times New Roman" w:cs="Times New Roman"/>
                <w:b/>
                <w:bCs/>
              </w:rPr>
            </w:pPr>
            <w:r w:rsidRPr="00057B2C">
              <w:rPr>
                <w:rFonts w:ascii="Times New Roman" w:hAnsi="Times New Roman" w:cs="Times New Roman"/>
                <w:b/>
                <w:bCs/>
              </w:rPr>
              <w:t>Panel H</w:t>
            </w:r>
            <w:r w:rsidRPr="00057B2C">
              <w:rPr>
                <w:rFonts w:ascii="Times New Roman" w:hAnsi="Times New Roman" w:cs="Times New Roman"/>
                <w:b/>
                <w:bCs/>
                <w:i/>
                <w:iCs/>
                <w:noProof/>
              </w:rPr>
              <w:drawing>
                <wp:inline distT="0" distB="0" distL="0" distR="0" wp14:anchorId="2714C7E1" wp14:editId="6344BF34">
                  <wp:extent cx="2632898" cy="1914833"/>
                  <wp:effectExtent l="0" t="0" r="0" b="3175"/>
                  <wp:docPr id="2139239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06899" name=""/>
                          <pic:cNvPicPr/>
                        </pic:nvPicPr>
                        <pic:blipFill>
                          <a:blip r:embed="rId33"/>
                          <a:stretch>
                            <a:fillRect/>
                          </a:stretch>
                        </pic:blipFill>
                        <pic:spPr>
                          <a:xfrm>
                            <a:off x="0" y="0"/>
                            <a:ext cx="2694621" cy="1959722"/>
                          </a:xfrm>
                          <a:prstGeom prst="rect">
                            <a:avLst/>
                          </a:prstGeom>
                        </pic:spPr>
                      </pic:pic>
                    </a:graphicData>
                  </a:graphic>
                </wp:inline>
              </w:drawing>
            </w:r>
          </w:p>
        </w:tc>
      </w:tr>
      <w:tr w:rsidR="005A295F" w:rsidRPr="00057B2C" w14:paraId="59167C71" w14:textId="77777777" w:rsidTr="00321842">
        <w:tc>
          <w:tcPr>
            <w:tcW w:w="4315" w:type="dxa"/>
          </w:tcPr>
          <w:p w14:paraId="6067F286" w14:textId="77777777" w:rsidR="005A295F" w:rsidRPr="00057B2C" w:rsidRDefault="005A295F" w:rsidP="00321842">
            <w:pPr>
              <w:rPr>
                <w:rFonts w:ascii="Times New Roman" w:hAnsi="Times New Roman" w:cs="Times New Roman"/>
                <w:b/>
                <w:bCs/>
              </w:rPr>
            </w:pPr>
            <w:r w:rsidRPr="00057B2C">
              <w:rPr>
                <w:rFonts w:ascii="Times New Roman" w:hAnsi="Times New Roman" w:cs="Times New Roman"/>
                <w:b/>
                <w:bCs/>
              </w:rPr>
              <w:t>Panel I</w:t>
            </w:r>
            <w:r w:rsidRPr="00057B2C">
              <w:rPr>
                <w:rFonts w:ascii="Times New Roman" w:hAnsi="Times New Roman" w:cs="Times New Roman"/>
                <w:b/>
                <w:bCs/>
                <w:noProof/>
              </w:rPr>
              <w:drawing>
                <wp:inline distT="0" distB="0" distL="0" distR="0" wp14:anchorId="5F681E22" wp14:editId="3858DBF0">
                  <wp:extent cx="2675255" cy="1945640"/>
                  <wp:effectExtent l="0" t="0" r="4445" b="0"/>
                  <wp:docPr id="121726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76124" name=""/>
                          <pic:cNvPicPr/>
                        </pic:nvPicPr>
                        <pic:blipFill>
                          <a:blip r:embed="rId34"/>
                          <a:stretch>
                            <a:fillRect/>
                          </a:stretch>
                        </pic:blipFill>
                        <pic:spPr>
                          <a:xfrm>
                            <a:off x="0" y="0"/>
                            <a:ext cx="2709295" cy="1970396"/>
                          </a:xfrm>
                          <a:prstGeom prst="rect">
                            <a:avLst/>
                          </a:prstGeom>
                        </pic:spPr>
                      </pic:pic>
                    </a:graphicData>
                  </a:graphic>
                </wp:inline>
              </w:drawing>
            </w:r>
          </w:p>
        </w:tc>
        <w:tc>
          <w:tcPr>
            <w:tcW w:w="4315" w:type="dxa"/>
          </w:tcPr>
          <w:p w14:paraId="0ECFE87B" w14:textId="77777777" w:rsidR="005A295F" w:rsidRPr="00057B2C" w:rsidRDefault="005A295F" w:rsidP="00321842">
            <w:pPr>
              <w:rPr>
                <w:rFonts w:ascii="Times New Roman" w:hAnsi="Times New Roman" w:cs="Times New Roman"/>
                <w:b/>
                <w:bCs/>
              </w:rPr>
            </w:pPr>
            <w:r w:rsidRPr="00057B2C">
              <w:rPr>
                <w:rFonts w:ascii="Times New Roman" w:hAnsi="Times New Roman" w:cs="Times New Roman"/>
                <w:b/>
                <w:bCs/>
              </w:rPr>
              <w:t>Panel J</w:t>
            </w:r>
            <w:r w:rsidRPr="00057B2C">
              <w:rPr>
                <w:rFonts w:ascii="Times New Roman" w:hAnsi="Times New Roman" w:cs="Times New Roman"/>
                <w:b/>
                <w:bCs/>
                <w:noProof/>
              </w:rPr>
              <w:drawing>
                <wp:inline distT="0" distB="0" distL="0" distR="0" wp14:anchorId="43FA5B02" wp14:editId="768226E0">
                  <wp:extent cx="2675255" cy="1945640"/>
                  <wp:effectExtent l="0" t="0" r="4445" b="0"/>
                  <wp:docPr id="1709585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88932" name=""/>
                          <pic:cNvPicPr/>
                        </pic:nvPicPr>
                        <pic:blipFill>
                          <a:blip r:embed="rId35"/>
                          <a:stretch>
                            <a:fillRect/>
                          </a:stretch>
                        </pic:blipFill>
                        <pic:spPr>
                          <a:xfrm>
                            <a:off x="0" y="0"/>
                            <a:ext cx="2704457" cy="1966878"/>
                          </a:xfrm>
                          <a:prstGeom prst="rect">
                            <a:avLst/>
                          </a:prstGeom>
                        </pic:spPr>
                      </pic:pic>
                    </a:graphicData>
                  </a:graphic>
                </wp:inline>
              </w:drawing>
            </w:r>
          </w:p>
        </w:tc>
      </w:tr>
    </w:tbl>
    <w:p w14:paraId="4CA727C4" w14:textId="77777777" w:rsidR="005A295F" w:rsidRDefault="005A295F" w:rsidP="00E32ADB">
      <w:pPr>
        <w:rPr>
          <w:rFonts w:ascii="Times New Roman" w:hAnsi="Times New Roman" w:cs="Times New Roman"/>
        </w:rPr>
      </w:pPr>
      <w:r>
        <w:rPr>
          <w:rFonts w:ascii="Times New Roman" w:hAnsi="Times New Roman" w:cs="Times New Roman"/>
        </w:rPr>
        <w:t xml:space="preserve"> </w:t>
      </w:r>
    </w:p>
    <w:p w14:paraId="56D39D90" w14:textId="77777777" w:rsidR="00334A8E" w:rsidRDefault="00334A8E" w:rsidP="00334A8E">
      <w:pPr>
        <w:rPr>
          <w:rFonts w:ascii="Times New Roman" w:hAnsi="Times New Roman" w:cs="Times New Roman"/>
          <w:b/>
          <w:bCs/>
        </w:rPr>
      </w:pPr>
      <w:r>
        <w:rPr>
          <w:rFonts w:ascii="Times New Roman" w:hAnsi="Times New Roman" w:cs="Times New Roman"/>
          <w:b/>
          <w:bCs/>
        </w:rPr>
        <w:t xml:space="preserve">Figure 30 continued </w:t>
      </w:r>
    </w:p>
    <w:p w14:paraId="043EC0C2" w14:textId="61E29626" w:rsidR="00E32ADB" w:rsidRPr="00EC3E7D" w:rsidRDefault="00E32ADB" w:rsidP="00E32ADB">
      <w:pPr>
        <w:rPr>
          <w:rFonts w:ascii="Times New Roman" w:hAnsi="Times New Roman" w:cs="Times New Roman"/>
        </w:rPr>
      </w:pPr>
      <w:r>
        <w:rPr>
          <w:rFonts w:ascii="Times New Roman" w:hAnsi="Times New Roman" w:cs="Times New Roman"/>
        </w:rPr>
        <w:t xml:space="preserve">Figure 30 contains a joint plot of the outputs for the Sun &amp; Abraham (2020), Ordinary Least Squares, and Borusyak et al. (2021) estimators in Panels A through J. In each panel, the y-axis represents the treatment coefficient’s effect on the number of awards produced at institutions at that period (x-axis) in natural log units for each outcome variable of interest in this study. </w:t>
      </w:r>
    </w:p>
    <w:p w14:paraId="7AB4B614" w14:textId="7A77994C" w:rsidR="00B83B17" w:rsidRDefault="00B83B17">
      <w:pPr>
        <w:rPr>
          <w:rFonts w:ascii="Times New Roman" w:hAnsi="Times New Roman" w:cs="Times New Roman"/>
          <w:b/>
          <w:caps/>
          <w:color w:val="000000" w:themeColor="text1"/>
        </w:rPr>
      </w:pPr>
    </w:p>
    <w:p w14:paraId="2B05E1E4" w14:textId="77777777" w:rsidR="00B83B17" w:rsidRDefault="00B83B17">
      <w:pPr>
        <w:rPr>
          <w:rFonts w:ascii="Times New Roman" w:hAnsi="Times New Roman" w:cs="Times New Roman"/>
          <w:b/>
          <w:caps/>
          <w:color w:val="000000" w:themeColor="text1"/>
        </w:rPr>
      </w:pPr>
      <w:r>
        <w:br w:type="page"/>
      </w:r>
    </w:p>
    <w:p w14:paraId="5B7E799F" w14:textId="1CA2C254" w:rsidR="008C1A2A" w:rsidRPr="00C63272" w:rsidRDefault="008C1A2A" w:rsidP="00D165B0">
      <w:pPr>
        <w:pStyle w:val="Heading1"/>
      </w:pPr>
      <w:bookmarkStart w:id="216" w:name="_Toc183282305"/>
      <w:r w:rsidRPr="00C63272">
        <w:lastRenderedPageBreak/>
        <w:t>Appendix</w:t>
      </w:r>
      <w:r>
        <w:t xml:space="preserve"> </w:t>
      </w:r>
      <w:r w:rsidR="00B83B17">
        <w:t>K</w:t>
      </w:r>
      <w:bookmarkEnd w:id="216"/>
    </w:p>
    <w:p w14:paraId="1E0CA85F" w14:textId="77777777" w:rsidR="008C1A2A" w:rsidRDefault="008C1A2A" w:rsidP="008C1A2A">
      <w:pPr>
        <w:spacing w:line="480" w:lineRule="auto"/>
        <w:jc w:val="center"/>
        <w:rPr>
          <w:rFonts w:ascii="Times New Roman" w:hAnsi="Times New Roman" w:cs="Times New Roman"/>
        </w:rPr>
      </w:pPr>
      <w:r>
        <w:rPr>
          <w:rFonts w:ascii="Times New Roman" w:hAnsi="Times New Roman" w:cs="Times New Roman"/>
        </w:rPr>
        <w:t>Combined Event Study Coefficient Plot for State-funded</w:t>
      </w:r>
      <w:r w:rsidRPr="00442D75">
        <w:rPr>
          <w:rFonts w:ascii="Times New Roman" w:hAnsi="Times New Roman" w:cs="Times New Roman"/>
        </w:rPr>
        <w:t xml:space="preserve"> Institutions Only</w:t>
      </w:r>
    </w:p>
    <w:p w14:paraId="66A415A8" w14:textId="53BEBBC0" w:rsidR="008C1A2A" w:rsidRDefault="008C1A2A" w:rsidP="00334A8E">
      <w:pPr>
        <w:rPr>
          <w:rFonts w:ascii="Times New Roman" w:hAnsi="Times New Roman" w:cs="Times New Roman"/>
          <w:i/>
          <w:iCs/>
        </w:rPr>
      </w:pPr>
    </w:p>
    <w:tbl>
      <w:tblPr>
        <w:tblStyle w:val="TableGrid"/>
        <w:tblW w:w="0" w:type="auto"/>
        <w:tblLook w:val="04A0" w:firstRow="1" w:lastRow="0" w:firstColumn="1" w:lastColumn="0" w:noHBand="0" w:noVBand="1"/>
      </w:tblPr>
      <w:tblGrid>
        <w:gridCol w:w="4315"/>
        <w:gridCol w:w="4315"/>
      </w:tblGrid>
      <w:tr w:rsidR="00057B2C" w14:paraId="45362B81" w14:textId="77777777" w:rsidTr="00057B2C">
        <w:tc>
          <w:tcPr>
            <w:tcW w:w="4315" w:type="dxa"/>
          </w:tcPr>
          <w:p w14:paraId="01A2F3F3" w14:textId="77777777" w:rsidR="00057B2C" w:rsidRDefault="00057B2C" w:rsidP="001D0692">
            <w:pPr>
              <w:rPr>
                <w:rFonts w:ascii="Times New Roman" w:hAnsi="Times New Roman" w:cs="Times New Roman"/>
                <w:b/>
                <w:bCs/>
              </w:rPr>
            </w:pPr>
            <w:r>
              <w:rPr>
                <w:rFonts w:ascii="Times New Roman" w:hAnsi="Times New Roman" w:cs="Times New Roman"/>
                <w:b/>
                <w:bCs/>
              </w:rPr>
              <w:t>Panel A</w:t>
            </w:r>
          </w:p>
          <w:p w14:paraId="4FABAE3A" w14:textId="5A307B74" w:rsidR="001D0692" w:rsidRDefault="001D0692" w:rsidP="001D0692">
            <w:pPr>
              <w:rPr>
                <w:rFonts w:ascii="Times New Roman" w:hAnsi="Times New Roman" w:cs="Times New Roman"/>
                <w:b/>
                <w:bCs/>
              </w:rPr>
            </w:pPr>
            <w:r w:rsidRPr="002C1FA9">
              <w:rPr>
                <w:noProof/>
              </w:rPr>
              <w:drawing>
                <wp:inline distT="0" distB="0" distL="0" distR="0" wp14:anchorId="10FCF2B3" wp14:editId="52F78389">
                  <wp:extent cx="2595802" cy="1887855"/>
                  <wp:effectExtent l="0" t="0" r="0" b="4445"/>
                  <wp:docPr id="202465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5480" name=""/>
                          <pic:cNvPicPr/>
                        </pic:nvPicPr>
                        <pic:blipFill>
                          <a:blip r:embed="rId74"/>
                          <a:stretch>
                            <a:fillRect/>
                          </a:stretch>
                        </pic:blipFill>
                        <pic:spPr>
                          <a:xfrm>
                            <a:off x="0" y="0"/>
                            <a:ext cx="2627580" cy="1910966"/>
                          </a:xfrm>
                          <a:prstGeom prst="rect">
                            <a:avLst/>
                          </a:prstGeom>
                        </pic:spPr>
                      </pic:pic>
                    </a:graphicData>
                  </a:graphic>
                </wp:inline>
              </w:drawing>
            </w:r>
          </w:p>
        </w:tc>
        <w:tc>
          <w:tcPr>
            <w:tcW w:w="4315" w:type="dxa"/>
          </w:tcPr>
          <w:p w14:paraId="0847CAA7" w14:textId="1A317C93" w:rsidR="00057B2C" w:rsidRDefault="00057B2C" w:rsidP="001D0692">
            <w:pPr>
              <w:rPr>
                <w:rFonts w:ascii="Times New Roman" w:hAnsi="Times New Roman" w:cs="Times New Roman"/>
                <w:b/>
                <w:bCs/>
              </w:rPr>
            </w:pPr>
            <w:r>
              <w:rPr>
                <w:rFonts w:ascii="Times New Roman" w:hAnsi="Times New Roman" w:cs="Times New Roman"/>
                <w:b/>
                <w:bCs/>
              </w:rPr>
              <w:t>Panel B</w:t>
            </w:r>
            <w:r w:rsidR="001D0692" w:rsidRPr="005C0C57">
              <w:rPr>
                <w:noProof/>
              </w:rPr>
              <w:t xml:space="preserve"> </w:t>
            </w:r>
            <w:r w:rsidR="001D0692" w:rsidRPr="005C0C57">
              <w:rPr>
                <w:noProof/>
              </w:rPr>
              <w:drawing>
                <wp:inline distT="0" distB="0" distL="0" distR="0" wp14:anchorId="6DA2A0D3" wp14:editId="1300A11C">
                  <wp:extent cx="2595801" cy="1887855"/>
                  <wp:effectExtent l="0" t="0" r="0" b="4445"/>
                  <wp:docPr id="130380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80906" name=""/>
                          <pic:cNvPicPr/>
                        </pic:nvPicPr>
                        <pic:blipFill>
                          <a:blip r:embed="rId75"/>
                          <a:stretch>
                            <a:fillRect/>
                          </a:stretch>
                        </pic:blipFill>
                        <pic:spPr>
                          <a:xfrm>
                            <a:off x="0" y="0"/>
                            <a:ext cx="2615985" cy="1902535"/>
                          </a:xfrm>
                          <a:prstGeom prst="rect">
                            <a:avLst/>
                          </a:prstGeom>
                        </pic:spPr>
                      </pic:pic>
                    </a:graphicData>
                  </a:graphic>
                </wp:inline>
              </w:drawing>
            </w:r>
          </w:p>
        </w:tc>
      </w:tr>
      <w:tr w:rsidR="00057B2C" w14:paraId="08D3E9E5" w14:textId="77777777" w:rsidTr="00057B2C">
        <w:tc>
          <w:tcPr>
            <w:tcW w:w="4315" w:type="dxa"/>
          </w:tcPr>
          <w:p w14:paraId="4A2FCE9A" w14:textId="6C972C60" w:rsidR="00057B2C" w:rsidRDefault="001D0692" w:rsidP="001D0692">
            <w:pPr>
              <w:rPr>
                <w:rFonts w:ascii="Times New Roman" w:hAnsi="Times New Roman" w:cs="Times New Roman"/>
                <w:b/>
                <w:bCs/>
              </w:rPr>
            </w:pPr>
            <w:r>
              <w:rPr>
                <w:rFonts w:ascii="Times New Roman" w:hAnsi="Times New Roman" w:cs="Times New Roman"/>
                <w:b/>
                <w:bCs/>
              </w:rPr>
              <w:t>Panel C</w:t>
            </w:r>
            <w:r w:rsidRPr="005C0C57">
              <w:rPr>
                <w:noProof/>
              </w:rPr>
              <w:t xml:space="preserve"> </w:t>
            </w:r>
            <w:r w:rsidRPr="005C0C57">
              <w:rPr>
                <w:noProof/>
              </w:rPr>
              <w:drawing>
                <wp:inline distT="0" distB="0" distL="0" distR="0" wp14:anchorId="203F0DCA" wp14:editId="2E00B7C8">
                  <wp:extent cx="2584450" cy="1879600"/>
                  <wp:effectExtent l="0" t="0" r="6350" b="0"/>
                  <wp:docPr id="1456626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26460" name=""/>
                          <pic:cNvPicPr/>
                        </pic:nvPicPr>
                        <pic:blipFill>
                          <a:blip r:embed="rId76"/>
                          <a:stretch>
                            <a:fillRect/>
                          </a:stretch>
                        </pic:blipFill>
                        <pic:spPr>
                          <a:xfrm>
                            <a:off x="0" y="0"/>
                            <a:ext cx="2598888" cy="1890100"/>
                          </a:xfrm>
                          <a:prstGeom prst="rect">
                            <a:avLst/>
                          </a:prstGeom>
                        </pic:spPr>
                      </pic:pic>
                    </a:graphicData>
                  </a:graphic>
                </wp:inline>
              </w:drawing>
            </w:r>
          </w:p>
        </w:tc>
        <w:tc>
          <w:tcPr>
            <w:tcW w:w="4315" w:type="dxa"/>
          </w:tcPr>
          <w:p w14:paraId="2715C283" w14:textId="564D49B6" w:rsidR="00057B2C" w:rsidRDefault="001D0692" w:rsidP="001D0692">
            <w:pPr>
              <w:rPr>
                <w:rFonts w:ascii="Times New Roman" w:hAnsi="Times New Roman" w:cs="Times New Roman"/>
                <w:b/>
                <w:bCs/>
              </w:rPr>
            </w:pPr>
            <w:r>
              <w:rPr>
                <w:rFonts w:ascii="Times New Roman" w:hAnsi="Times New Roman" w:cs="Times New Roman"/>
                <w:b/>
                <w:bCs/>
              </w:rPr>
              <w:t>Panel D</w:t>
            </w:r>
            <w:r w:rsidRPr="002F73F8">
              <w:rPr>
                <w:noProof/>
              </w:rPr>
              <w:t xml:space="preserve"> </w:t>
            </w:r>
            <w:r w:rsidRPr="002F73F8">
              <w:rPr>
                <w:noProof/>
              </w:rPr>
              <w:drawing>
                <wp:inline distT="0" distB="0" distL="0" distR="0" wp14:anchorId="7754012E" wp14:editId="6CBE298F">
                  <wp:extent cx="2584450" cy="1879600"/>
                  <wp:effectExtent l="0" t="0" r="6350" b="0"/>
                  <wp:docPr id="1071526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526986" name=""/>
                          <pic:cNvPicPr/>
                        </pic:nvPicPr>
                        <pic:blipFill>
                          <a:blip r:embed="rId77"/>
                          <a:stretch>
                            <a:fillRect/>
                          </a:stretch>
                        </pic:blipFill>
                        <pic:spPr>
                          <a:xfrm>
                            <a:off x="0" y="0"/>
                            <a:ext cx="2597525" cy="1889109"/>
                          </a:xfrm>
                          <a:prstGeom prst="rect">
                            <a:avLst/>
                          </a:prstGeom>
                        </pic:spPr>
                      </pic:pic>
                    </a:graphicData>
                  </a:graphic>
                </wp:inline>
              </w:drawing>
            </w:r>
          </w:p>
        </w:tc>
      </w:tr>
    </w:tbl>
    <w:p w14:paraId="57359123" w14:textId="77777777" w:rsidR="00334A8E" w:rsidRPr="004C564E" w:rsidRDefault="00334A8E" w:rsidP="00334A8E">
      <w:pPr>
        <w:pStyle w:val="TableofFigs"/>
        <w:spacing w:line="240" w:lineRule="auto"/>
      </w:pPr>
      <w:bookmarkStart w:id="217" w:name="_Toc180144611"/>
      <w:r w:rsidRPr="004C564E">
        <w:t xml:space="preserve">Figure </w:t>
      </w:r>
      <w:r>
        <w:t>31</w:t>
      </w:r>
      <w:bookmarkEnd w:id="217"/>
    </w:p>
    <w:p w14:paraId="48B8A2EE" w14:textId="3D0DC421" w:rsidR="00E32ADB" w:rsidRDefault="00334A8E" w:rsidP="00334A8E">
      <w:pPr>
        <w:rPr>
          <w:rFonts w:ascii="Times New Roman" w:hAnsi="Times New Roman" w:cs="Times New Roman"/>
        </w:rPr>
      </w:pPr>
      <w:r>
        <w:rPr>
          <w:rFonts w:ascii="Times New Roman" w:hAnsi="Times New Roman" w:cs="Times New Roman"/>
          <w:i/>
          <w:iCs/>
        </w:rPr>
        <w:t>Visualization of Event Study, Imputation, and OLS Estimators State-funded Institutions Only</w:t>
      </w:r>
    </w:p>
    <w:p w14:paraId="522C1728" w14:textId="77777777" w:rsidR="005A295F" w:rsidRDefault="005A295F" w:rsidP="00E32ADB">
      <w:pPr>
        <w:rPr>
          <w:rFonts w:ascii="Times New Roman" w:hAnsi="Times New Roman" w:cs="Times New Roman"/>
        </w:rPr>
      </w:pPr>
    </w:p>
    <w:p w14:paraId="7A17D899" w14:textId="77777777" w:rsidR="005A295F" w:rsidRDefault="005A295F" w:rsidP="00E32ADB">
      <w:pPr>
        <w:rPr>
          <w:rFonts w:ascii="Times New Roman" w:hAnsi="Times New Roman" w:cs="Times New Roman"/>
        </w:rPr>
      </w:pPr>
    </w:p>
    <w:p w14:paraId="6D03BCCE" w14:textId="77777777" w:rsidR="005A295F" w:rsidRDefault="005A295F" w:rsidP="00E32ADB">
      <w:pPr>
        <w:rPr>
          <w:rFonts w:ascii="Times New Roman" w:hAnsi="Times New Roman" w:cs="Times New Roman"/>
        </w:rPr>
      </w:pPr>
    </w:p>
    <w:p w14:paraId="16EA9D63" w14:textId="77777777" w:rsidR="005A295F" w:rsidRDefault="005A295F" w:rsidP="00E32ADB">
      <w:pPr>
        <w:rPr>
          <w:rFonts w:ascii="Times New Roman" w:hAnsi="Times New Roman" w:cs="Times New Roman"/>
        </w:rPr>
      </w:pPr>
    </w:p>
    <w:p w14:paraId="64C0461F" w14:textId="77777777" w:rsidR="005A295F" w:rsidRDefault="005A295F" w:rsidP="00E32ADB">
      <w:pPr>
        <w:rPr>
          <w:rFonts w:ascii="Times New Roman" w:hAnsi="Times New Roman" w:cs="Times New Roman"/>
        </w:rPr>
      </w:pPr>
    </w:p>
    <w:p w14:paraId="6C36A371" w14:textId="77777777" w:rsidR="00334A8E" w:rsidRDefault="00334A8E" w:rsidP="00E32ADB">
      <w:pPr>
        <w:rPr>
          <w:rFonts w:ascii="Times New Roman" w:hAnsi="Times New Roman" w:cs="Times New Roman"/>
        </w:rPr>
      </w:pPr>
    </w:p>
    <w:p w14:paraId="4DDEBDB1" w14:textId="77777777" w:rsidR="00334A8E" w:rsidRDefault="00334A8E" w:rsidP="00E32ADB">
      <w:pPr>
        <w:rPr>
          <w:rFonts w:ascii="Times New Roman" w:hAnsi="Times New Roman" w:cs="Times New Roman"/>
        </w:rPr>
      </w:pPr>
    </w:p>
    <w:p w14:paraId="6930DA11" w14:textId="77777777" w:rsidR="00334A8E" w:rsidRDefault="00334A8E" w:rsidP="00E32ADB">
      <w:pPr>
        <w:rPr>
          <w:rFonts w:ascii="Times New Roman" w:hAnsi="Times New Roman" w:cs="Times New Roman"/>
        </w:rPr>
      </w:pPr>
    </w:p>
    <w:p w14:paraId="554C0930" w14:textId="77777777" w:rsidR="005A295F" w:rsidRDefault="005A295F" w:rsidP="00E32ADB">
      <w:pPr>
        <w:rPr>
          <w:rFonts w:ascii="Times New Roman" w:hAnsi="Times New Roman" w:cs="Times New Roman"/>
        </w:rPr>
      </w:pPr>
    </w:p>
    <w:p w14:paraId="411C7A24" w14:textId="77777777" w:rsidR="005A295F" w:rsidRDefault="005A295F" w:rsidP="00E32ADB">
      <w:pPr>
        <w:rPr>
          <w:rFonts w:ascii="Times New Roman" w:hAnsi="Times New Roman" w:cs="Times New Roman"/>
        </w:rPr>
      </w:pPr>
    </w:p>
    <w:p w14:paraId="517538EA" w14:textId="77777777" w:rsidR="005A295F" w:rsidRDefault="005A295F" w:rsidP="00E32ADB">
      <w:pPr>
        <w:rPr>
          <w:rFonts w:ascii="Times New Roman" w:hAnsi="Times New Roman" w:cs="Times New Roman"/>
        </w:rPr>
      </w:pPr>
    </w:p>
    <w:p w14:paraId="5F05D843" w14:textId="77777777" w:rsidR="005A295F" w:rsidRDefault="005A295F" w:rsidP="00E32ADB">
      <w:pPr>
        <w:rPr>
          <w:rFonts w:ascii="Times New Roman" w:hAnsi="Times New Roman" w:cs="Times New Roman"/>
        </w:rPr>
      </w:pPr>
    </w:p>
    <w:p w14:paraId="6EC945AB" w14:textId="77777777" w:rsidR="005A295F" w:rsidRDefault="005A295F" w:rsidP="00E32ADB">
      <w:pPr>
        <w:rPr>
          <w:rFonts w:ascii="Times New Roman" w:hAnsi="Times New Roman" w:cs="Times New Roman"/>
        </w:rPr>
      </w:pPr>
    </w:p>
    <w:p w14:paraId="27485D92" w14:textId="77777777" w:rsidR="005A295F" w:rsidRDefault="005A295F" w:rsidP="00E32ADB">
      <w:pPr>
        <w:rPr>
          <w:rFonts w:ascii="Times New Roman" w:hAnsi="Times New Roman" w:cs="Times New Roman"/>
          <w:b/>
          <w:bCs/>
        </w:rPr>
      </w:pPr>
    </w:p>
    <w:tbl>
      <w:tblPr>
        <w:tblStyle w:val="TableGrid"/>
        <w:tblW w:w="0" w:type="auto"/>
        <w:tblLook w:val="04A0" w:firstRow="1" w:lastRow="0" w:firstColumn="1" w:lastColumn="0" w:noHBand="0" w:noVBand="1"/>
      </w:tblPr>
      <w:tblGrid>
        <w:gridCol w:w="4372"/>
        <w:gridCol w:w="4258"/>
      </w:tblGrid>
      <w:tr w:rsidR="005A295F" w14:paraId="2DA06F33" w14:textId="77777777" w:rsidTr="00321842">
        <w:tc>
          <w:tcPr>
            <w:tcW w:w="4315" w:type="dxa"/>
          </w:tcPr>
          <w:p w14:paraId="1B4559AB" w14:textId="77777777" w:rsidR="005A295F" w:rsidRDefault="005A295F" w:rsidP="00321842">
            <w:pPr>
              <w:rPr>
                <w:rFonts w:ascii="Times New Roman" w:hAnsi="Times New Roman" w:cs="Times New Roman"/>
                <w:b/>
                <w:bCs/>
              </w:rPr>
            </w:pPr>
            <w:r>
              <w:rPr>
                <w:rFonts w:ascii="Times New Roman" w:hAnsi="Times New Roman" w:cs="Times New Roman"/>
                <w:b/>
                <w:bCs/>
              </w:rPr>
              <w:t>Panel E</w:t>
            </w:r>
            <w:r w:rsidRPr="005C2230">
              <w:rPr>
                <w:noProof/>
              </w:rPr>
              <w:t xml:space="preserve"> </w:t>
            </w:r>
            <w:r w:rsidRPr="005C2230">
              <w:rPr>
                <w:noProof/>
              </w:rPr>
              <w:drawing>
                <wp:inline distT="0" distB="0" distL="0" distR="0" wp14:anchorId="3312DB0B" wp14:editId="756A0FCE">
                  <wp:extent cx="2549525" cy="1854200"/>
                  <wp:effectExtent l="0" t="0" r="3175" b="0"/>
                  <wp:docPr id="740848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848017" name=""/>
                          <pic:cNvPicPr/>
                        </pic:nvPicPr>
                        <pic:blipFill>
                          <a:blip r:embed="rId78"/>
                          <a:stretch>
                            <a:fillRect/>
                          </a:stretch>
                        </pic:blipFill>
                        <pic:spPr>
                          <a:xfrm>
                            <a:off x="0" y="0"/>
                            <a:ext cx="2576862" cy="1874081"/>
                          </a:xfrm>
                          <a:prstGeom prst="rect">
                            <a:avLst/>
                          </a:prstGeom>
                        </pic:spPr>
                      </pic:pic>
                    </a:graphicData>
                  </a:graphic>
                </wp:inline>
              </w:drawing>
            </w:r>
          </w:p>
        </w:tc>
        <w:tc>
          <w:tcPr>
            <w:tcW w:w="4315" w:type="dxa"/>
          </w:tcPr>
          <w:p w14:paraId="4E8DB688" w14:textId="77777777" w:rsidR="005A295F" w:rsidRDefault="005A295F" w:rsidP="00321842">
            <w:pPr>
              <w:rPr>
                <w:rFonts w:ascii="Times New Roman" w:hAnsi="Times New Roman" w:cs="Times New Roman"/>
                <w:b/>
                <w:bCs/>
              </w:rPr>
            </w:pPr>
            <w:r>
              <w:rPr>
                <w:rFonts w:ascii="Times New Roman" w:hAnsi="Times New Roman" w:cs="Times New Roman"/>
                <w:b/>
                <w:bCs/>
              </w:rPr>
              <w:t>Panel F</w:t>
            </w:r>
            <w:r w:rsidRPr="002F73F8">
              <w:rPr>
                <w:noProof/>
              </w:rPr>
              <w:t xml:space="preserve"> </w:t>
            </w:r>
            <w:r w:rsidRPr="002F73F8">
              <w:rPr>
                <w:noProof/>
              </w:rPr>
              <w:drawing>
                <wp:inline distT="0" distB="0" distL="0" distR="0" wp14:anchorId="00ED57BD" wp14:editId="2C4B918D">
                  <wp:extent cx="2599267" cy="1890376"/>
                  <wp:effectExtent l="0" t="0" r="4445" b="2540"/>
                  <wp:docPr id="2021066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66287" name=""/>
                          <pic:cNvPicPr/>
                        </pic:nvPicPr>
                        <pic:blipFill>
                          <a:blip r:embed="rId79"/>
                          <a:stretch>
                            <a:fillRect/>
                          </a:stretch>
                        </pic:blipFill>
                        <pic:spPr>
                          <a:xfrm>
                            <a:off x="0" y="0"/>
                            <a:ext cx="2618731" cy="1904532"/>
                          </a:xfrm>
                          <a:prstGeom prst="rect">
                            <a:avLst/>
                          </a:prstGeom>
                        </pic:spPr>
                      </pic:pic>
                    </a:graphicData>
                  </a:graphic>
                </wp:inline>
              </w:drawing>
            </w:r>
          </w:p>
        </w:tc>
      </w:tr>
      <w:tr w:rsidR="005A295F" w14:paraId="494CFD3E" w14:textId="77777777" w:rsidTr="00321842">
        <w:tc>
          <w:tcPr>
            <w:tcW w:w="4315" w:type="dxa"/>
          </w:tcPr>
          <w:p w14:paraId="7ED6D1AA" w14:textId="77777777" w:rsidR="005A295F" w:rsidRDefault="005A295F" w:rsidP="00321842">
            <w:pPr>
              <w:rPr>
                <w:rFonts w:ascii="Times New Roman" w:hAnsi="Times New Roman" w:cs="Times New Roman"/>
                <w:b/>
                <w:bCs/>
              </w:rPr>
            </w:pPr>
            <w:r>
              <w:rPr>
                <w:rFonts w:ascii="Times New Roman" w:hAnsi="Times New Roman" w:cs="Times New Roman"/>
                <w:b/>
                <w:bCs/>
              </w:rPr>
              <w:t>Panel G</w:t>
            </w:r>
            <w:r w:rsidRPr="005C2230">
              <w:rPr>
                <w:noProof/>
              </w:rPr>
              <w:t xml:space="preserve"> </w:t>
            </w:r>
            <w:r w:rsidRPr="005C2230">
              <w:rPr>
                <w:noProof/>
              </w:rPr>
              <w:drawing>
                <wp:inline distT="0" distB="0" distL="0" distR="0" wp14:anchorId="6A1BA849" wp14:editId="4213EA99">
                  <wp:extent cx="2609850" cy="1898072"/>
                  <wp:effectExtent l="0" t="0" r="0" b="0"/>
                  <wp:docPr id="765115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15240" name=""/>
                          <pic:cNvPicPr/>
                        </pic:nvPicPr>
                        <pic:blipFill>
                          <a:blip r:embed="rId80"/>
                          <a:stretch>
                            <a:fillRect/>
                          </a:stretch>
                        </pic:blipFill>
                        <pic:spPr>
                          <a:xfrm>
                            <a:off x="0" y="0"/>
                            <a:ext cx="2650412" cy="1927572"/>
                          </a:xfrm>
                          <a:prstGeom prst="rect">
                            <a:avLst/>
                          </a:prstGeom>
                        </pic:spPr>
                      </pic:pic>
                    </a:graphicData>
                  </a:graphic>
                </wp:inline>
              </w:drawing>
            </w:r>
          </w:p>
        </w:tc>
        <w:tc>
          <w:tcPr>
            <w:tcW w:w="4315" w:type="dxa"/>
          </w:tcPr>
          <w:p w14:paraId="1236544E" w14:textId="77777777" w:rsidR="005A295F" w:rsidRDefault="005A295F" w:rsidP="00321842">
            <w:pPr>
              <w:rPr>
                <w:rFonts w:ascii="Times New Roman" w:hAnsi="Times New Roman" w:cs="Times New Roman"/>
                <w:b/>
                <w:bCs/>
              </w:rPr>
            </w:pPr>
            <w:r>
              <w:rPr>
                <w:rFonts w:ascii="Times New Roman" w:hAnsi="Times New Roman" w:cs="Times New Roman"/>
                <w:b/>
                <w:bCs/>
              </w:rPr>
              <w:t>Panel H</w:t>
            </w:r>
            <w:r w:rsidRPr="002D13C1">
              <w:rPr>
                <w:noProof/>
              </w:rPr>
              <w:t xml:space="preserve"> </w:t>
            </w:r>
            <w:r w:rsidRPr="002D13C1">
              <w:rPr>
                <w:noProof/>
              </w:rPr>
              <w:drawing>
                <wp:inline distT="0" distB="0" distL="0" distR="0" wp14:anchorId="111BCB4C" wp14:editId="7252E2AC">
                  <wp:extent cx="2549525" cy="1854200"/>
                  <wp:effectExtent l="0" t="0" r="3175" b="0"/>
                  <wp:docPr id="1621612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12136" name=""/>
                          <pic:cNvPicPr/>
                        </pic:nvPicPr>
                        <pic:blipFill>
                          <a:blip r:embed="rId81"/>
                          <a:stretch>
                            <a:fillRect/>
                          </a:stretch>
                        </pic:blipFill>
                        <pic:spPr>
                          <a:xfrm>
                            <a:off x="0" y="0"/>
                            <a:ext cx="2567890" cy="1867556"/>
                          </a:xfrm>
                          <a:prstGeom prst="rect">
                            <a:avLst/>
                          </a:prstGeom>
                        </pic:spPr>
                      </pic:pic>
                    </a:graphicData>
                  </a:graphic>
                </wp:inline>
              </w:drawing>
            </w:r>
          </w:p>
        </w:tc>
      </w:tr>
      <w:tr w:rsidR="005A295F" w14:paraId="5979DCA7" w14:textId="77777777" w:rsidTr="00321842">
        <w:tc>
          <w:tcPr>
            <w:tcW w:w="4315" w:type="dxa"/>
          </w:tcPr>
          <w:p w14:paraId="299C0340" w14:textId="77777777" w:rsidR="005A295F" w:rsidRDefault="005A295F" w:rsidP="00321842">
            <w:pPr>
              <w:rPr>
                <w:rFonts w:ascii="Times New Roman" w:hAnsi="Times New Roman" w:cs="Times New Roman"/>
                <w:b/>
                <w:bCs/>
              </w:rPr>
            </w:pPr>
            <w:r>
              <w:rPr>
                <w:rFonts w:ascii="Times New Roman" w:hAnsi="Times New Roman" w:cs="Times New Roman"/>
                <w:b/>
                <w:bCs/>
              </w:rPr>
              <w:t>Panel I</w:t>
            </w:r>
            <w:r w:rsidRPr="002D13C1">
              <w:rPr>
                <w:noProof/>
              </w:rPr>
              <w:t xml:space="preserve"> </w:t>
            </w:r>
            <w:r w:rsidRPr="002D13C1">
              <w:rPr>
                <w:noProof/>
              </w:rPr>
              <w:drawing>
                <wp:inline distT="0" distB="0" distL="0" distR="0" wp14:anchorId="70CEC5EF" wp14:editId="478C5FC7">
                  <wp:extent cx="2700655" cy="1964113"/>
                  <wp:effectExtent l="0" t="0" r="4445" b="4445"/>
                  <wp:docPr id="1003412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12925" name=""/>
                          <pic:cNvPicPr/>
                        </pic:nvPicPr>
                        <pic:blipFill>
                          <a:blip r:embed="rId82"/>
                          <a:stretch>
                            <a:fillRect/>
                          </a:stretch>
                        </pic:blipFill>
                        <pic:spPr>
                          <a:xfrm>
                            <a:off x="0" y="0"/>
                            <a:ext cx="2725110" cy="1981899"/>
                          </a:xfrm>
                          <a:prstGeom prst="rect">
                            <a:avLst/>
                          </a:prstGeom>
                        </pic:spPr>
                      </pic:pic>
                    </a:graphicData>
                  </a:graphic>
                </wp:inline>
              </w:drawing>
            </w:r>
          </w:p>
        </w:tc>
        <w:tc>
          <w:tcPr>
            <w:tcW w:w="4315" w:type="dxa"/>
          </w:tcPr>
          <w:p w14:paraId="61356BEA" w14:textId="77777777" w:rsidR="005A295F" w:rsidRDefault="005A295F" w:rsidP="00321842">
            <w:pPr>
              <w:rPr>
                <w:rFonts w:ascii="Times New Roman" w:hAnsi="Times New Roman" w:cs="Times New Roman"/>
                <w:b/>
                <w:bCs/>
              </w:rPr>
            </w:pPr>
            <w:r>
              <w:rPr>
                <w:rFonts w:ascii="Times New Roman" w:hAnsi="Times New Roman" w:cs="Times New Roman"/>
                <w:b/>
                <w:bCs/>
              </w:rPr>
              <w:t>Panel J</w:t>
            </w:r>
            <w:r w:rsidRPr="00934FDF">
              <w:rPr>
                <w:noProof/>
              </w:rPr>
              <w:t xml:space="preserve"> </w:t>
            </w:r>
            <w:r w:rsidRPr="00934FDF">
              <w:rPr>
                <w:noProof/>
              </w:rPr>
              <w:drawing>
                <wp:inline distT="0" distB="0" distL="0" distR="0" wp14:anchorId="6F433C2B" wp14:editId="01682686">
                  <wp:extent cx="2631016" cy="1913466"/>
                  <wp:effectExtent l="0" t="0" r="0" b="4445"/>
                  <wp:docPr id="1469854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854748" name=""/>
                          <pic:cNvPicPr/>
                        </pic:nvPicPr>
                        <pic:blipFill>
                          <a:blip r:embed="rId83"/>
                          <a:stretch>
                            <a:fillRect/>
                          </a:stretch>
                        </pic:blipFill>
                        <pic:spPr>
                          <a:xfrm>
                            <a:off x="0" y="0"/>
                            <a:ext cx="2693306" cy="1958768"/>
                          </a:xfrm>
                          <a:prstGeom prst="rect">
                            <a:avLst/>
                          </a:prstGeom>
                        </pic:spPr>
                      </pic:pic>
                    </a:graphicData>
                  </a:graphic>
                </wp:inline>
              </w:drawing>
            </w:r>
          </w:p>
        </w:tc>
      </w:tr>
    </w:tbl>
    <w:p w14:paraId="43331F52" w14:textId="77777777" w:rsidR="005A295F" w:rsidRPr="005A295F" w:rsidRDefault="005A295F" w:rsidP="00E32ADB">
      <w:pPr>
        <w:rPr>
          <w:rFonts w:ascii="Times New Roman" w:hAnsi="Times New Roman" w:cs="Times New Roman"/>
          <w:b/>
          <w:bCs/>
        </w:rPr>
      </w:pPr>
    </w:p>
    <w:p w14:paraId="7E1A9AC6" w14:textId="77777777" w:rsidR="00334A8E" w:rsidRDefault="00334A8E" w:rsidP="00334A8E">
      <w:pPr>
        <w:rPr>
          <w:rFonts w:ascii="Times New Roman" w:hAnsi="Times New Roman" w:cs="Times New Roman"/>
          <w:b/>
          <w:bCs/>
        </w:rPr>
      </w:pPr>
      <w:r>
        <w:rPr>
          <w:rFonts w:ascii="Times New Roman" w:hAnsi="Times New Roman" w:cs="Times New Roman"/>
          <w:b/>
          <w:bCs/>
        </w:rPr>
        <w:t xml:space="preserve">Figure 31 continued </w:t>
      </w:r>
    </w:p>
    <w:p w14:paraId="72D80CEE" w14:textId="24B6E52A" w:rsidR="008C1A2A" w:rsidRPr="005A295F" w:rsidRDefault="00E32ADB" w:rsidP="005A295F">
      <w:pPr>
        <w:rPr>
          <w:rFonts w:ascii="Times New Roman" w:hAnsi="Times New Roman" w:cs="Times New Roman"/>
        </w:rPr>
      </w:pPr>
      <w:r>
        <w:rPr>
          <w:rFonts w:ascii="Times New Roman" w:hAnsi="Times New Roman" w:cs="Times New Roman"/>
        </w:rPr>
        <w:t xml:space="preserve">Figure 31 contains a joint plot of the outputs for the Sun &amp; Abraham (2020), Ordinary Least Squares, and Borusyak et al. (2021) estimators in Panels A through J. In each panel, the y-axis represents the treatment coefficient’s effect on the number of awards produced at institutions at that period (x-axis) in natural log units for each outcome variable of interest in this study. </w:t>
      </w:r>
    </w:p>
    <w:p w14:paraId="52741D33" w14:textId="57DADCC1" w:rsidR="008C1A2A" w:rsidRPr="00C63272" w:rsidRDefault="008C1A2A" w:rsidP="00D165B0">
      <w:pPr>
        <w:pStyle w:val="Heading1"/>
      </w:pPr>
      <w:bookmarkStart w:id="218" w:name="_Toc183282306"/>
      <w:r w:rsidRPr="00C63272">
        <w:lastRenderedPageBreak/>
        <w:t>Appendix</w:t>
      </w:r>
      <w:r>
        <w:t xml:space="preserve"> </w:t>
      </w:r>
      <w:r w:rsidR="00B83B17">
        <w:t>L</w:t>
      </w:r>
      <w:bookmarkEnd w:id="218"/>
    </w:p>
    <w:p w14:paraId="4B910066" w14:textId="77777777" w:rsidR="008C1A2A" w:rsidRDefault="008C1A2A" w:rsidP="008C1A2A">
      <w:pPr>
        <w:spacing w:line="480" w:lineRule="auto"/>
        <w:jc w:val="center"/>
        <w:rPr>
          <w:rFonts w:ascii="Times New Roman" w:hAnsi="Times New Roman" w:cs="Times New Roman"/>
        </w:rPr>
      </w:pPr>
      <w:r>
        <w:rPr>
          <w:rFonts w:ascii="Times New Roman" w:hAnsi="Times New Roman" w:cs="Times New Roman"/>
        </w:rPr>
        <w:t xml:space="preserve">Combined Event Study Coefficient Plot for </w:t>
      </w:r>
      <w:r w:rsidRPr="00442D75">
        <w:rPr>
          <w:rFonts w:ascii="Times New Roman" w:hAnsi="Times New Roman" w:cs="Times New Roman"/>
        </w:rPr>
        <w:t>Nonprofit Institutions Only</w:t>
      </w:r>
    </w:p>
    <w:p w14:paraId="14C91EDA" w14:textId="1F6F215D" w:rsidR="008C1A2A" w:rsidRDefault="008C1A2A" w:rsidP="00334A8E">
      <w:pPr>
        <w:rPr>
          <w:rFonts w:ascii="Times New Roman" w:hAnsi="Times New Roman" w:cs="Times New Roman"/>
          <w:i/>
          <w:iCs/>
        </w:rPr>
      </w:pPr>
    </w:p>
    <w:tbl>
      <w:tblPr>
        <w:tblStyle w:val="TableGrid"/>
        <w:tblW w:w="0" w:type="auto"/>
        <w:tblLook w:val="04A0" w:firstRow="1" w:lastRow="0" w:firstColumn="1" w:lastColumn="0" w:noHBand="0" w:noVBand="1"/>
      </w:tblPr>
      <w:tblGrid>
        <w:gridCol w:w="4315"/>
        <w:gridCol w:w="4315"/>
      </w:tblGrid>
      <w:tr w:rsidR="001D0692" w14:paraId="2E5D5848" w14:textId="77777777" w:rsidTr="001D0692">
        <w:tc>
          <w:tcPr>
            <w:tcW w:w="4315" w:type="dxa"/>
          </w:tcPr>
          <w:p w14:paraId="1D75A201" w14:textId="54E6BE55" w:rsidR="001D0692" w:rsidRDefault="001D0692" w:rsidP="001D0692">
            <w:pPr>
              <w:rPr>
                <w:rFonts w:ascii="Times New Roman" w:hAnsi="Times New Roman" w:cs="Times New Roman"/>
                <w:b/>
                <w:bCs/>
              </w:rPr>
            </w:pPr>
            <w:r>
              <w:rPr>
                <w:rFonts w:ascii="Times New Roman" w:hAnsi="Times New Roman" w:cs="Times New Roman"/>
                <w:b/>
                <w:bCs/>
              </w:rPr>
              <w:t>Panel A</w:t>
            </w:r>
            <w:r w:rsidRPr="000C59D4">
              <w:rPr>
                <w:noProof/>
              </w:rPr>
              <w:t xml:space="preserve"> </w:t>
            </w:r>
            <w:r w:rsidRPr="000C59D4">
              <w:rPr>
                <w:noProof/>
              </w:rPr>
              <w:drawing>
                <wp:inline distT="0" distB="0" distL="0" distR="0" wp14:anchorId="67F63A0D" wp14:editId="6C1DF902">
                  <wp:extent cx="2584450" cy="1879600"/>
                  <wp:effectExtent l="0" t="0" r="6350" b="0"/>
                  <wp:docPr id="249812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12753" name=""/>
                          <pic:cNvPicPr/>
                        </pic:nvPicPr>
                        <pic:blipFill>
                          <a:blip r:embed="rId84"/>
                          <a:stretch>
                            <a:fillRect/>
                          </a:stretch>
                        </pic:blipFill>
                        <pic:spPr>
                          <a:xfrm>
                            <a:off x="0" y="0"/>
                            <a:ext cx="2603084" cy="1893152"/>
                          </a:xfrm>
                          <a:prstGeom prst="rect">
                            <a:avLst/>
                          </a:prstGeom>
                        </pic:spPr>
                      </pic:pic>
                    </a:graphicData>
                  </a:graphic>
                </wp:inline>
              </w:drawing>
            </w:r>
          </w:p>
        </w:tc>
        <w:tc>
          <w:tcPr>
            <w:tcW w:w="4315" w:type="dxa"/>
          </w:tcPr>
          <w:p w14:paraId="44D4AF7E" w14:textId="4AD0E4DD" w:rsidR="001D0692" w:rsidRDefault="001D0692" w:rsidP="001D0692">
            <w:pPr>
              <w:rPr>
                <w:rFonts w:ascii="Times New Roman" w:hAnsi="Times New Roman" w:cs="Times New Roman"/>
                <w:b/>
                <w:bCs/>
              </w:rPr>
            </w:pPr>
            <w:r>
              <w:rPr>
                <w:rFonts w:ascii="Times New Roman" w:hAnsi="Times New Roman" w:cs="Times New Roman"/>
                <w:b/>
                <w:bCs/>
              </w:rPr>
              <w:t>Panel B</w:t>
            </w:r>
            <w:r w:rsidRPr="00A9625F">
              <w:rPr>
                <w:noProof/>
              </w:rPr>
              <w:t xml:space="preserve"> </w:t>
            </w:r>
            <w:r w:rsidRPr="00A9625F">
              <w:rPr>
                <w:noProof/>
              </w:rPr>
              <w:drawing>
                <wp:inline distT="0" distB="0" distL="0" distR="0" wp14:anchorId="03DADBC7" wp14:editId="7E2E21BA">
                  <wp:extent cx="2584450" cy="1879600"/>
                  <wp:effectExtent l="0" t="0" r="6350" b="0"/>
                  <wp:docPr id="702685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85621" name=""/>
                          <pic:cNvPicPr/>
                        </pic:nvPicPr>
                        <pic:blipFill>
                          <a:blip r:embed="rId85"/>
                          <a:stretch>
                            <a:fillRect/>
                          </a:stretch>
                        </pic:blipFill>
                        <pic:spPr>
                          <a:xfrm>
                            <a:off x="0" y="0"/>
                            <a:ext cx="2600535" cy="1891298"/>
                          </a:xfrm>
                          <a:prstGeom prst="rect">
                            <a:avLst/>
                          </a:prstGeom>
                        </pic:spPr>
                      </pic:pic>
                    </a:graphicData>
                  </a:graphic>
                </wp:inline>
              </w:drawing>
            </w:r>
          </w:p>
        </w:tc>
      </w:tr>
      <w:tr w:rsidR="001D0692" w14:paraId="7445D6D2" w14:textId="77777777" w:rsidTr="001D0692">
        <w:tc>
          <w:tcPr>
            <w:tcW w:w="4315" w:type="dxa"/>
          </w:tcPr>
          <w:p w14:paraId="4E107E06" w14:textId="1948DA80" w:rsidR="001D0692" w:rsidRDefault="001D0692" w:rsidP="001D0692">
            <w:pPr>
              <w:rPr>
                <w:rFonts w:ascii="Times New Roman" w:hAnsi="Times New Roman" w:cs="Times New Roman"/>
                <w:b/>
                <w:bCs/>
              </w:rPr>
            </w:pPr>
            <w:r>
              <w:rPr>
                <w:rFonts w:ascii="Times New Roman" w:hAnsi="Times New Roman" w:cs="Times New Roman"/>
                <w:b/>
                <w:bCs/>
              </w:rPr>
              <w:t>Panel C</w:t>
            </w:r>
            <w:r w:rsidRPr="00A9625F">
              <w:rPr>
                <w:noProof/>
              </w:rPr>
              <w:t xml:space="preserve"> </w:t>
            </w:r>
            <w:r w:rsidRPr="00A9625F">
              <w:rPr>
                <w:noProof/>
              </w:rPr>
              <w:drawing>
                <wp:inline distT="0" distB="0" distL="0" distR="0" wp14:anchorId="2FE51780" wp14:editId="02C34C0A">
                  <wp:extent cx="2584450" cy="1879600"/>
                  <wp:effectExtent l="0" t="0" r="6350" b="0"/>
                  <wp:docPr id="578900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00003" name=""/>
                          <pic:cNvPicPr/>
                        </pic:nvPicPr>
                        <pic:blipFill>
                          <a:blip r:embed="rId86"/>
                          <a:stretch>
                            <a:fillRect/>
                          </a:stretch>
                        </pic:blipFill>
                        <pic:spPr>
                          <a:xfrm>
                            <a:off x="0" y="0"/>
                            <a:ext cx="2600263" cy="1891100"/>
                          </a:xfrm>
                          <a:prstGeom prst="rect">
                            <a:avLst/>
                          </a:prstGeom>
                        </pic:spPr>
                      </pic:pic>
                    </a:graphicData>
                  </a:graphic>
                </wp:inline>
              </w:drawing>
            </w:r>
          </w:p>
        </w:tc>
        <w:tc>
          <w:tcPr>
            <w:tcW w:w="4315" w:type="dxa"/>
          </w:tcPr>
          <w:p w14:paraId="69BF8B09" w14:textId="2A879613" w:rsidR="001D0692" w:rsidRDefault="001D0692" w:rsidP="001D0692">
            <w:pPr>
              <w:rPr>
                <w:rFonts w:ascii="Times New Roman" w:hAnsi="Times New Roman" w:cs="Times New Roman"/>
                <w:b/>
                <w:bCs/>
              </w:rPr>
            </w:pPr>
            <w:r>
              <w:rPr>
                <w:rFonts w:ascii="Times New Roman" w:hAnsi="Times New Roman" w:cs="Times New Roman"/>
                <w:b/>
                <w:bCs/>
              </w:rPr>
              <w:t>Panel D</w:t>
            </w:r>
            <w:r w:rsidRPr="00841232">
              <w:rPr>
                <w:noProof/>
              </w:rPr>
              <w:t xml:space="preserve"> </w:t>
            </w:r>
            <w:r w:rsidRPr="00841232">
              <w:rPr>
                <w:noProof/>
              </w:rPr>
              <w:drawing>
                <wp:inline distT="0" distB="0" distL="0" distR="0" wp14:anchorId="23B9F083" wp14:editId="2F4CA5F6">
                  <wp:extent cx="2584451" cy="1879600"/>
                  <wp:effectExtent l="0" t="0" r="6350" b="0"/>
                  <wp:docPr id="436300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00074" name=""/>
                          <pic:cNvPicPr/>
                        </pic:nvPicPr>
                        <pic:blipFill>
                          <a:blip r:embed="rId87"/>
                          <a:stretch>
                            <a:fillRect/>
                          </a:stretch>
                        </pic:blipFill>
                        <pic:spPr>
                          <a:xfrm>
                            <a:off x="0" y="0"/>
                            <a:ext cx="2619251" cy="1904909"/>
                          </a:xfrm>
                          <a:prstGeom prst="rect">
                            <a:avLst/>
                          </a:prstGeom>
                        </pic:spPr>
                      </pic:pic>
                    </a:graphicData>
                  </a:graphic>
                </wp:inline>
              </w:drawing>
            </w:r>
          </w:p>
        </w:tc>
      </w:tr>
      <w:tr w:rsidR="001D0692" w14:paraId="7BD51980" w14:textId="77777777" w:rsidTr="001D0692">
        <w:tc>
          <w:tcPr>
            <w:tcW w:w="4315" w:type="dxa"/>
          </w:tcPr>
          <w:p w14:paraId="364F2E7A" w14:textId="477AA381" w:rsidR="001D0692" w:rsidRDefault="001D0692" w:rsidP="001D0692">
            <w:pPr>
              <w:rPr>
                <w:rFonts w:ascii="Times New Roman" w:hAnsi="Times New Roman" w:cs="Times New Roman"/>
                <w:b/>
                <w:bCs/>
              </w:rPr>
            </w:pPr>
            <w:r>
              <w:rPr>
                <w:rFonts w:ascii="Times New Roman" w:hAnsi="Times New Roman" w:cs="Times New Roman"/>
                <w:b/>
                <w:bCs/>
              </w:rPr>
              <w:t>Panel E</w:t>
            </w:r>
            <w:r w:rsidRPr="00902485">
              <w:rPr>
                <w:noProof/>
              </w:rPr>
              <w:t xml:space="preserve"> </w:t>
            </w:r>
            <w:r w:rsidRPr="00902485">
              <w:rPr>
                <w:noProof/>
              </w:rPr>
              <w:drawing>
                <wp:inline distT="0" distB="0" distL="0" distR="0" wp14:anchorId="56A7DD5D" wp14:editId="00E40AB0">
                  <wp:extent cx="2548467" cy="1853431"/>
                  <wp:effectExtent l="0" t="0" r="4445" b="1270"/>
                  <wp:docPr id="140828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8971" name=""/>
                          <pic:cNvPicPr/>
                        </pic:nvPicPr>
                        <pic:blipFill>
                          <a:blip r:embed="rId88"/>
                          <a:stretch>
                            <a:fillRect/>
                          </a:stretch>
                        </pic:blipFill>
                        <pic:spPr>
                          <a:xfrm>
                            <a:off x="0" y="0"/>
                            <a:ext cx="2560496" cy="1862179"/>
                          </a:xfrm>
                          <a:prstGeom prst="rect">
                            <a:avLst/>
                          </a:prstGeom>
                        </pic:spPr>
                      </pic:pic>
                    </a:graphicData>
                  </a:graphic>
                </wp:inline>
              </w:drawing>
            </w:r>
          </w:p>
        </w:tc>
        <w:tc>
          <w:tcPr>
            <w:tcW w:w="4315" w:type="dxa"/>
          </w:tcPr>
          <w:p w14:paraId="16B6BF49" w14:textId="47F84D1F" w:rsidR="001D0692" w:rsidRDefault="001D0692" w:rsidP="001D0692">
            <w:pPr>
              <w:rPr>
                <w:rFonts w:ascii="Times New Roman" w:hAnsi="Times New Roman" w:cs="Times New Roman"/>
                <w:b/>
                <w:bCs/>
              </w:rPr>
            </w:pPr>
            <w:r>
              <w:rPr>
                <w:rFonts w:ascii="Times New Roman" w:hAnsi="Times New Roman" w:cs="Times New Roman"/>
                <w:b/>
                <w:bCs/>
              </w:rPr>
              <w:t>Panel F</w:t>
            </w:r>
            <w:r w:rsidRPr="00841232">
              <w:rPr>
                <w:noProof/>
              </w:rPr>
              <w:t xml:space="preserve"> </w:t>
            </w:r>
            <w:r w:rsidRPr="00841232">
              <w:rPr>
                <w:noProof/>
              </w:rPr>
              <w:drawing>
                <wp:inline distT="0" distB="0" distL="0" distR="0" wp14:anchorId="75785129" wp14:editId="23CE9A0B">
                  <wp:extent cx="2573867" cy="1871903"/>
                  <wp:effectExtent l="0" t="0" r="4445" b="0"/>
                  <wp:docPr id="830027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27176" name=""/>
                          <pic:cNvPicPr/>
                        </pic:nvPicPr>
                        <pic:blipFill>
                          <a:blip r:embed="rId89"/>
                          <a:stretch>
                            <a:fillRect/>
                          </a:stretch>
                        </pic:blipFill>
                        <pic:spPr>
                          <a:xfrm>
                            <a:off x="0" y="0"/>
                            <a:ext cx="2607151" cy="1896109"/>
                          </a:xfrm>
                          <a:prstGeom prst="rect">
                            <a:avLst/>
                          </a:prstGeom>
                        </pic:spPr>
                      </pic:pic>
                    </a:graphicData>
                  </a:graphic>
                </wp:inline>
              </w:drawing>
            </w:r>
          </w:p>
        </w:tc>
      </w:tr>
    </w:tbl>
    <w:p w14:paraId="56AB3161" w14:textId="77777777" w:rsidR="00E32ADB" w:rsidRDefault="00E32ADB" w:rsidP="00E32ADB">
      <w:pPr>
        <w:rPr>
          <w:rFonts w:ascii="Times New Roman" w:hAnsi="Times New Roman" w:cs="Times New Roman"/>
        </w:rPr>
      </w:pPr>
    </w:p>
    <w:p w14:paraId="1AB17A70" w14:textId="77777777" w:rsidR="00334A8E" w:rsidRPr="004C564E" w:rsidRDefault="00334A8E" w:rsidP="00334A8E">
      <w:pPr>
        <w:pStyle w:val="TableofFigs"/>
        <w:spacing w:line="240" w:lineRule="auto"/>
      </w:pPr>
      <w:bookmarkStart w:id="219" w:name="_Toc180144612"/>
      <w:r w:rsidRPr="004C564E">
        <w:t xml:space="preserve">Figure </w:t>
      </w:r>
      <w:r>
        <w:t>32</w:t>
      </w:r>
      <w:bookmarkEnd w:id="219"/>
    </w:p>
    <w:p w14:paraId="429684DD" w14:textId="25B2E924" w:rsidR="00334A8E" w:rsidRDefault="00334A8E" w:rsidP="00334A8E">
      <w:pPr>
        <w:rPr>
          <w:rFonts w:ascii="Times New Roman" w:hAnsi="Times New Roman" w:cs="Times New Roman"/>
          <w:b/>
          <w:bCs/>
        </w:rPr>
      </w:pPr>
      <w:r>
        <w:rPr>
          <w:rFonts w:ascii="Times New Roman" w:hAnsi="Times New Roman" w:cs="Times New Roman"/>
          <w:i/>
          <w:iCs/>
        </w:rPr>
        <w:t>Visualization of Event Study, Imputation, and OLS Estimators Nonprofit Institutions Only</w:t>
      </w:r>
    </w:p>
    <w:p w14:paraId="209F4F4A" w14:textId="77777777" w:rsidR="00334A8E" w:rsidRDefault="00334A8E" w:rsidP="00E32ADB">
      <w:pPr>
        <w:rPr>
          <w:rFonts w:ascii="Times New Roman" w:hAnsi="Times New Roman" w:cs="Times New Roman"/>
          <w:b/>
          <w:bCs/>
        </w:rPr>
      </w:pPr>
    </w:p>
    <w:p w14:paraId="64AAB4BF" w14:textId="77777777" w:rsidR="005A295F" w:rsidRDefault="005A295F" w:rsidP="00E32ADB">
      <w:pPr>
        <w:rPr>
          <w:rFonts w:ascii="Times New Roman" w:hAnsi="Times New Roman" w:cs="Times New Roman"/>
          <w:b/>
          <w:bCs/>
        </w:rPr>
      </w:pPr>
    </w:p>
    <w:tbl>
      <w:tblPr>
        <w:tblStyle w:val="TableGrid"/>
        <w:tblW w:w="0" w:type="auto"/>
        <w:tblLook w:val="04A0" w:firstRow="1" w:lastRow="0" w:firstColumn="1" w:lastColumn="0" w:noHBand="0" w:noVBand="1"/>
      </w:tblPr>
      <w:tblGrid>
        <w:gridCol w:w="4306"/>
        <w:gridCol w:w="4324"/>
      </w:tblGrid>
      <w:tr w:rsidR="005A295F" w14:paraId="493A6AB2" w14:textId="77777777" w:rsidTr="00321842">
        <w:tc>
          <w:tcPr>
            <w:tcW w:w="4315" w:type="dxa"/>
          </w:tcPr>
          <w:p w14:paraId="54AF13B3" w14:textId="77777777" w:rsidR="005A295F" w:rsidRDefault="005A295F" w:rsidP="00321842">
            <w:pPr>
              <w:rPr>
                <w:rFonts w:ascii="Times New Roman" w:hAnsi="Times New Roman" w:cs="Times New Roman"/>
                <w:b/>
                <w:bCs/>
              </w:rPr>
            </w:pPr>
            <w:r>
              <w:rPr>
                <w:rFonts w:ascii="Times New Roman" w:hAnsi="Times New Roman" w:cs="Times New Roman"/>
                <w:b/>
                <w:bCs/>
              </w:rPr>
              <w:t>Panel G</w:t>
            </w:r>
            <w:r w:rsidRPr="00902485">
              <w:rPr>
                <w:noProof/>
              </w:rPr>
              <w:t xml:space="preserve"> </w:t>
            </w:r>
            <w:r w:rsidRPr="00902485">
              <w:rPr>
                <w:noProof/>
              </w:rPr>
              <w:drawing>
                <wp:inline distT="0" distB="0" distL="0" distR="0" wp14:anchorId="1DFC840F" wp14:editId="7B62EF2A">
                  <wp:extent cx="2590800" cy="1884218"/>
                  <wp:effectExtent l="0" t="0" r="0" b="0"/>
                  <wp:docPr id="221791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91617" name=""/>
                          <pic:cNvPicPr/>
                        </pic:nvPicPr>
                        <pic:blipFill>
                          <a:blip r:embed="rId90"/>
                          <a:stretch>
                            <a:fillRect/>
                          </a:stretch>
                        </pic:blipFill>
                        <pic:spPr>
                          <a:xfrm>
                            <a:off x="0" y="0"/>
                            <a:ext cx="2605537" cy="1894936"/>
                          </a:xfrm>
                          <a:prstGeom prst="rect">
                            <a:avLst/>
                          </a:prstGeom>
                        </pic:spPr>
                      </pic:pic>
                    </a:graphicData>
                  </a:graphic>
                </wp:inline>
              </w:drawing>
            </w:r>
          </w:p>
        </w:tc>
        <w:tc>
          <w:tcPr>
            <w:tcW w:w="4315" w:type="dxa"/>
          </w:tcPr>
          <w:p w14:paraId="5B939EA8" w14:textId="77777777" w:rsidR="005A295F" w:rsidRDefault="005A295F" w:rsidP="00321842">
            <w:pPr>
              <w:rPr>
                <w:rFonts w:ascii="Times New Roman" w:hAnsi="Times New Roman" w:cs="Times New Roman"/>
                <w:b/>
                <w:bCs/>
              </w:rPr>
            </w:pPr>
            <w:r>
              <w:rPr>
                <w:rFonts w:ascii="Times New Roman" w:hAnsi="Times New Roman" w:cs="Times New Roman"/>
                <w:b/>
                <w:bCs/>
              </w:rPr>
              <w:t>Panel H</w:t>
            </w:r>
            <w:r w:rsidRPr="00DD4B3F">
              <w:rPr>
                <w:noProof/>
              </w:rPr>
              <w:t xml:space="preserve"> </w:t>
            </w:r>
            <w:r w:rsidRPr="00DD4B3F">
              <w:rPr>
                <w:noProof/>
              </w:rPr>
              <w:drawing>
                <wp:inline distT="0" distB="0" distL="0" distR="0" wp14:anchorId="1D7E158C" wp14:editId="090D55EF">
                  <wp:extent cx="2572808" cy="1871133"/>
                  <wp:effectExtent l="0" t="0" r="5715" b="0"/>
                  <wp:docPr id="877705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05741" name=""/>
                          <pic:cNvPicPr/>
                        </pic:nvPicPr>
                        <pic:blipFill>
                          <a:blip r:embed="rId91"/>
                          <a:stretch>
                            <a:fillRect/>
                          </a:stretch>
                        </pic:blipFill>
                        <pic:spPr>
                          <a:xfrm>
                            <a:off x="0" y="0"/>
                            <a:ext cx="2588463" cy="1882519"/>
                          </a:xfrm>
                          <a:prstGeom prst="rect">
                            <a:avLst/>
                          </a:prstGeom>
                        </pic:spPr>
                      </pic:pic>
                    </a:graphicData>
                  </a:graphic>
                </wp:inline>
              </w:drawing>
            </w:r>
          </w:p>
        </w:tc>
      </w:tr>
      <w:tr w:rsidR="005A295F" w14:paraId="39877E13" w14:textId="77777777" w:rsidTr="00321842">
        <w:tc>
          <w:tcPr>
            <w:tcW w:w="4315" w:type="dxa"/>
          </w:tcPr>
          <w:p w14:paraId="611C1C6F" w14:textId="77777777" w:rsidR="005A295F" w:rsidRDefault="005A295F" w:rsidP="00321842">
            <w:pPr>
              <w:rPr>
                <w:rFonts w:ascii="Times New Roman" w:hAnsi="Times New Roman" w:cs="Times New Roman"/>
                <w:b/>
                <w:bCs/>
              </w:rPr>
            </w:pPr>
            <w:r>
              <w:rPr>
                <w:rFonts w:ascii="Times New Roman" w:hAnsi="Times New Roman" w:cs="Times New Roman"/>
                <w:b/>
                <w:bCs/>
              </w:rPr>
              <w:t>Panel I</w:t>
            </w:r>
            <w:r w:rsidRPr="00481E37">
              <w:rPr>
                <w:noProof/>
              </w:rPr>
              <w:t xml:space="preserve"> </w:t>
            </w:r>
            <w:r w:rsidRPr="00481E37">
              <w:rPr>
                <w:noProof/>
              </w:rPr>
              <w:drawing>
                <wp:inline distT="0" distB="0" distL="0" distR="0" wp14:anchorId="5FA65C88" wp14:editId="0C38BBC7">
                  <wp:extent cx="2642658" cy="1921933"/>
                  <wp:effectExtent l="0" t="0" r="0" b="0"/>
                  <wp:docPr id="2022502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02513" name=""/>
                          <pic:cNvPicPr/>
                        </pic:nvPicPr>
                        <pic:blipFill>
                          <a:blip r:embed="rId92"/>
                          <a:stretch>
                            <a:fillRect/>
                          </a:stretch>
                        </pic:blipFill>
                        <pic:spPr>
                          <a:xfrm>
                            <a:off x="0" y="0"/>
                            <a:ext cx="2672495" cy="1943633"/>
                          </a:xfrm>
                          <a:prstGeom prst="rect">
                            <a:avLst/>
                          </a:prstGeom>
                        </pic:spPr>
                      </pic:pic>
                    </a:graphicData>
                  </a:graphic>
                </wp:inline>
              </w:drawing>
            </w:r>
          </w:p>
        </w:tc>
        <w:tc>
          <w:tcPr>
            <w:tcW w:w="4315" w:type="dxa"/>
          </w:tcPr>
          <w:p w14:paraId="0E7BAC23" w14:textId="77777777" w:rsidR="005A295F" w:rsidRDefault="005A295F" w:rsidP="00321842">
            <w:pPr>
              <w:rPr>
                <w:rFonts w:ascii="Times New Roman" w:hAnsi="Times New Roman" w:cs="Times New Roman"/>
                <w:b/>
                <w:bCs/>
              </w:rPr>
            </w:pPr>
            <w:r>
              <w:rPr>
                <w:rFonts w:ascii="Times New Roman" w:hAnsi="Times New Roman" w:cs="Times New Roman"/>
                <w:b/>
                <w:bCs/>
              </w:rPr>
              <w:t>Panel J</w:t>
            </w:r>
            <w:r w:rsidRPr="00197360">
              <w:rPr>
                <w:noProof/>
              </w:rPr>
              <w:t xml:space="preserve"> </w:t>
            </w:r>
            <w:r w:rsidRPr="00197360">
              <w:rPr>
                <w:noProof/>
              </w:rPr>
              <w:drawing>
                <wp:inline distT="0" distB="0" distL="0" distR="0" wp14:anchorId="77888A1F" wp14:editId="4C27B661">
                  <wp:extent cx="2650067" cy="1927322"/>
                  <wp:effectExtent l="0" t="0" r="4445" b="3175"/>
                  <wp:docPr id="2022334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34611" name=""/>
                          <pic:cNvPicPr/>
                        </pic:nvPicPr>
                        <pic:blipFill>
                          <a:blip r:embed="rId93"/>
                          <a:stretch>
                            <a:fillRect/>
                          </a:stretch>
                        </pic:blipFill>
                        <pic:spPr>
                          <a:xfrm>
                            <a:off x="0" y="0"/>
                            <a:ext cx="2675998" cy="1946181"/>
                          </a:xfrm>
                          <a:prstGeom prst="rect">
                            <a:avLst/>
                          </a:prstGeom>
                        </pic:spPr>
                      </pic:pic>
                    </a:graphicData>
                  </a:graphic>
                </wp:inline>
              </w:drawing>
            </w:r>
          </w:p>
        </w:tc>
      </w:tr>
    </w:tbl>
    <w:p w14:paraId="7FD976CA" w14:textId="77777777" w:rsidR="005A295F" w:rsidRPr="005A295F" w:rsidRDefault="005A295F" w:rsidP="00E32ADB">
      <w:pPr>
        <w:rPr>
          <w:rFonts w:ascii="Times New Roman" w:hAnsi="Times New Roman" w:cs="Times New Roman"/>
          <w:b/>
          <w:bCs/>
        </w:rPr>
      </w:pPr>
    </w:p>
    <w:p w14:paraId="4BAADB6A" w14:textId="77777777" w:rsidR="00334A8E" w:rsidRDefault="00334A8E" w:rsidP="00334A8E">
      <w:pPr>
        <w:rPr>
          <w:rFonts w:ascii="Times New Roman" w:hAnsi="Times New Roman" w:cs="Times New Roman"/>
          <w:b/>
          <w:bCs/>
        </w:rPr>
      </w:pPr>
      <w:r>
        <w:rPr>
          <w:rFonts w:ascii="Times New Roman" w:hAnsi="Times New Roman" w:cs="Times New Roman"/>
          <w:b/>
          <w:bCs/>
        </w:rPr>
        <w:t xml:space="preserve">Figure 32 continued </w:t>
      </w:r>
    </w:p>
    <w:p w14:paraId="33F19225" w14:textId="538CABE4" w:rsidR="00E32ADB" w:rsidRPr="00EC3E7D" w:rsidRDefault="00E32ADB" w:rsidP="00E32ADB">
      <w:pPr>
        <w:rPr>
          <w:rFonts w:ascii="Times New Roman" w:hAnsi="Times New Roman" w:cs="Times New Roman"/>
        </w:rPr>
      </w:pPr>
      <w:r>
        <w:rPr>
          <w:rFonts w:ascii="Times New Roman" w:hAnsi="Times New Roman" w:cs="Times New Roman"/>
        </w:rPr>
        <w:t xml:space="preserve">Figure 32 contains a joint plot of the outputs for the Sun &amp; Abraham (2020), Ordinary Least Squares, and Borusyak et al. (2021) estimators in Panels A through J. In each panel, the y-axis represents the treatment coefficient’s effect on the number of awards produced at institutions at that period (x-axis) in natural log units for each outcome variable of interest in this study. </w:t>
      </w:r>
    </w:p>
    <w:p w14:paraId="76519C99" w14:textId="77777777" w:rsidR="00E32ADB" w:rsidRDefault="00E32ADB" w:rsidP="008C1A2A">
      <w:pPr>
        <w:spacing w:line="480" w:lineRule="auto"/>
        <w:rPr>
          <w:rFonts w:ascii="Times New Roman" w:hAnsi="Times New Roman" w:cs="Times New Roman"/>
        </w:rPr>
      </w:pPr>
    </w:p>
    <w:p w14:paraId="514B8667" w14:textId="77777777" w:rsidR="008C1A2A" w:rsidRPr="000F7230" w:rsidRDefault="008C1A2A" w:rsidP="008C1A2A">
      <w:pPr>
        <w:spacing w:line="480" w:lineRule="auto"/>
        <w:jc w:val="center"/>
        <w:rPr>
          <w:rFonts w:ascii="Times New Roman" w:hAnsi="Times New Roman" w:cs="Times New Roman"/>
        </w:rPr>
      </w:pPr>
    </w:p>
    <w:p w14:paraId="596FFF59" w14:textId="77777777" w:rsidR="008C1A2A" w:rsidRPr="000F7230" w:rsidRDefault="008C1A2A" w:rsidP="008C1A2A">
      <w:pPr>
        <w:spacing w:line="480" w:lineRule="auto"/>
        <w:jc w:val="center"/>
        <w:rPr>
          <w:rFonts w:ascii="Times New Roman" w:hAnsi="Times New Roman" w:cs="Times New Roman"/>
        </w:rPr>
      </w:pPr>
    </w:p>
    <w:p w14:paraId="38A3E2AF" w14:textId="77777777" w:rsidR="008C1A2A" w:rsidRDefault="008C1A2A" w:rsidP="008C1A2A">
      <w:pPr>
        <w:rPr>
          <w:rFonts w:ascii="Times New Roman" w:hAnsi="Times New Roman" w:cs="Times New Roman"/>
          <w:b/>
          <w:caps/>
          <w:color w:val="000000" w:themeColor="text1"/>
        </w:rPr>
      </w:pPr>
    </w:p>
    <w:p w14:paraId="023C15E4" w14:textId="7787C1AE" w:rsidR="008C1A2A" w:rsidRPr="00C63272" w:rsidRDefault="008C1A2A" w:rsidP="00D165B0">
      <w:pPr>
        <w:pStyle w:val="Heading1"/>
      </w:pPr>
      <w:r>
        <w:br w:type="page"/>
      </w:r>
      <w:bookmarkStart w:id="220" w:name="_Toc183282307"/>
      <w:r w:rsidRPr="00C63272">
        <w:lastRenderedPageBreak/>
        <w:t>Appendix</w:t>
      </w:r>
      <w:r>
        <w:t xml:space="preserve"> </w:t>
      </w:r>
      <w:r w:rsidR="00B83B17">
        <w:t>M</w:t>
      </w:r>
      <w:bookmarkEnd w:id="220"/>
    </w:p>
    <w:p w14:paraId="562075C9" w14:textId="77777777" w:rsidR="008C1A2A" w:rsidRDefault="008C1A2A" w:rsidP="008C1A2A">
      <w:pPr>
        <w:spacing w:line="480" w:lineRule="auto"/>
        <w:jc w:val="center"/>
        <w:rPr>
          <w:rFonts w:ascii="Times New Roman" w:hAnsi="Times New Roman" w:cs="Times New Roman"/>
        </w:rPr>
      </w:pPr>
      <w:r>
        <w:rPr>
          <w:rFonts w:ascii="Times New Roman" w:hAnsi="Times New Roman" w:cs="Times New Roman"/>
        </w:rPr>
        <w:t>Combined Event Study Coefficient Plot for All Institutions</w:t>
      </w:r>
    </w:p>
    <w:p w14:paraId="3653956F" w14:textId="515D74D8" w:rsidR="008C1A2A" w:rsidRDefault="008C1A2A" w:rsidP="00334A8E">
      <w:pPr>
        <w:rPr>
          <w:rFonts w:ascii="Times New Roman" w:hAnsi="Times New Roman" w:cs="Times New Roman"/>
          <w:i/>
          <w:iCs/>
        </w:rPr>
      </w:pPr>
      <w:r>
        <w:rPr>
          <w:rFonts w:ascii="Times New Roman" w:hAnsi="Times New Roman" w:cs="Times New Roman"/>
          <w:i/>
          <w:iCs/>
        </w:rPr>
        <w:t xml:space="preserve"> </w:t>
      </w:r>
    </w:p>
    <w:tbl>
      <w:tblPr>
        <w:tblStyle w:val="TableGrid"/>
        <w:tblW w:w="0" w:type="auto"/>
        <w:tblLook w:val="04A0" w:firstRow="1" w:lastRow="0" w:firstColumn="1" w:lastColumn="0" w:noHBand="0" w:noVBand="1"/>
      </w:tblPr>
      <w:tblGrid>
        <w:gridCol w:w="4315"/>
        <w:gridCol w:w="4315"/>
      </w:tblGrid>
      <w:tr w:rsidR="001D0692" w14:paraId="327BAEB5" w14:textId="77777777" w:rsidTr="001D0692">
        <w:tc>
          <w:tcPr>
            <w:tcW w:w="4315" w:type="dxa"/>
          </w:tcPr>
          <w:p w14:paraId="1CDFE87D" w14:textId="7C8228CD" w:rsidR="001D0692" w:rsidRDefault="005166C7" w:rsidP="005166C7">
            <w:pPr>
              <w:rPr>
                <w:rFonts w:ascii="Times New Roman" w:hAnsi="Times New Roman" w:cs="Times New Roman"/>
                <w:b/>
                <w:bCs/>
              </w:rPr>
            </w:pPr>
            <w:r>
              <w:rPr>
                <w:rFonts w:ascii="Times New Roman" w:hAnsi="Times New Roman" w:cs="Times New Roman"/>
                <w:b/>
                <w:bCs/>
              </w:rPr>
              <w:t>Panel A</w:t>
            </w:r>
            <w:r w:rsidRPr="00C413D6">
              <w:rPr>
                <w:noProof/>
              </w:rPr>
              <w:t xml:space="preserve"> </w:t>
            </w:r>
            <w:r w:rsidRPr="00C413D6">
              <w:rPr>
                <w:noProof/>
              </w:rPr>
              <w:drawing>
                <wp:inline distT="0" distB="0" distL="0" distR="0" wp14:anchorId="3E24D190" wp14:editId="25886472">
                  <wp:extent cx="2549524" cy="1854200"/>
                  <wp:effectExtent l="0" t="0" r="3810" b="0"/>
                  <wp:docPr id="1936330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30853" name=""/>
                          <pic:cNvPicPr/>
                        </pic:nvPicPr>
                        <pic:blipFill>
                          <a:blip r:embed="rId94"/>
                          <a:stretch>
                            <a:fillRect/>
                          </a:stretch>
                        </pic:blipFill>
                        <pic:spPr>
                          <a:xfrm>
                            <a:off x="0" y="0"/>
                            <a:ext cx="2594497" cy="1886908"/>
                          </a:xfrm>
                          <a:prstGeom prst="rect">
                            <a:avLst/>
                          </a:prstGeom>
                        </pic:spPr>
                      </pic:pic>
                    </a:graphicData>
                  </a:graphic>
                </wp:inline>
              </w:drawing>
            </w:r>
          </w:p>
        </w:tc>
        <w:tc>
          <w:tcPr>
            <w:tcW w:w="4315" w:type="dxa"/>
          </w:tcPr>
          <w:p w14:paraId="54E6BA08" w14:textId="7ECE53E3" w:rsidR="001D0692" w:rsidRDefault="005166C7" w:rsidP="005166C7">
            <w:pPr>
              <w:rPr>
                <w:rFonts w:ascii="Times New Roman" w:hAnsi="Times New Roman" w:cs="Times New Roman"/>
                <w:b/>
                <w:bCs/>
              </w:rPr>
            </w:pPr>
            <w:r>
              <w:rPr>
                <w:rFonts w:ascii="Times New Roman" w:hAnsi="Times New Roman" w:cs="Times New Roman"/>
                <w:b/>
                <w:bCs/>
              </w:rPr>
              <w:t>Panel B</w:t>
            </w:r>
            <w:r w:rsidRPr="00A41749">
              <w:rPr>
                <w:noProof/>
              </w:rPr>
              <w:t xml:space="preserve"> </w:t>
            </w:r>
            <w:r w:rsidRPr="00A41749">
              <w:rPr>
                <w:noProof/>
              </w:rPr>
              <w:drawing>
                <wp:inline distT="0" distB="0" distL="0" distR="0" wp14:anchorId="02EFFBAF" wp14:editId="4B971A07">
                  <wp:extent cx="2556934" cy="1859590"/>
                  <wp:effectExtent l="0" t="0" r="0" b="0"/>
                  <wp:docPr id="1648649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649338" name=""/>
                          <pic:cNvPicPr/>
                        </pic:nvPicPr>
                        <pic:blipFill>
                          <a:blip r:embed="rId95"/>
                          <a:stretch>
                            <a:fillRect/>
                          </a:stretch>
                        </pic:blipFill>
                        <pic:spPr>
                          <a:xfrm>
                            <a:off x="0" y="0"/>
                            <a:ext cx="2593525" cy="1886201"/>
                          </a:xfrm>
                          <a:prstGeom prst="rect">
                            <a:avLst/>
                          </a:prstGeom>
                        </pic:spPr>
                      </pic:pic>
                    </a:graphicData>
                  </a:graphic>
                </wp:inline>
              </w:drawing>
            </w:r>
          </w:p>
        </w:tc>
      </w:tr>
      <w:tr w:rsidR="001D0692" w14:paraId="70884884" w14:textId="77777777" w:rsidTr="001D0692">
        <w:tc>
          <w:tcPr>
            <w:tcW w:w="4315" w:type="dxa"/>
          </w:tcPr>
          <w:p w14:paraId="4DEA1B83" w14:textId="29F0286F" w:rsidR="001D0692" w:rsidRDefault="005166C7" w:rsidP="005166C7">
            <w:pPr>
              <w:rPr>
                <w:rFonts w:ascii="Times New Roman" w:hAnsi="Times New Roman" w:cs="Times New Roman"/>
                <w:b/>
                <w:bCs/>
              </w:rPr>
            </w:pPr>
            <w:r>
              <w:rPr>
                <w:rFonts w:ascii="Times New Roman" w:hAnsi="Times New Roman" w:cs="Times New Roman"/>
                <w:b/>
                <w:bCs/>
              </w:rPr>
              <w:t>Panel C</w:t>
            </w:r>
            <w:r w:rsidRPr="00A41749">
              <w:rPr>
                <w:noProof/>
              </w:rPr>
              <w:t xml:space="preserve"> </w:t>
            </w:r>
            <w:r w:rsidRPr="00A41749">
              <w:rPr>
                <w:noProof/>
              </w:rPr>
              <w:drawing>
                <wp:inline distT="0" distB="0" distL="0" distR="0" wp14:anchorId="0A092026" wp14:editId="1B2307D5">
                  <wp:extent cx="2561167" cy="1862667"/>
                  <wp:effectExtent l="0" t="0" r="4445" b="4445"/>
                  <wp:docPr id="303475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75734" name=""/>
                          <pic:cNvPicPr/>
                        </pic:nvPicPr>
                        <pic:blipFill>
                          <a:blip r:embed="rId96"/>
                          <a:stretch>
                            <a:fillRect/>
                          </a:stretch>
                        </pic:blipFill>
                        <pic:spPr>
                          <a:xfrm>
                            <a:off x="0" y="0"/>
                            <a:ext cx="2579318" cy="1875868"/>
                          </a:xfrm>
                          <a:prstGeom prst="rect">
                            <a:avLst/>
                          </a:prstGeom>
                        </pic:spPr>
                      </pic:pic>
                    </a:graphicData>
                  </a:graphic>
                </wp:inline>
              </w:drawing>
            </w:r>
          </w:p>
        </w:tc>
        <w:tc>
          <w:tcPr>
            <w:tcW w:w="4315" w:type="dxa"/>
          </w:tcPr>
          <w:p w14:paraId="292E4E8D" w14:textId="0B959F95" w:rsidR="001D0692" w:rsidRDefault="005166C7" w:rsidP="005166C7">
            <w:pPr>
              <w:rPr>
                <w:rFonts w:ascii="Times New Roman" w:hAnsi="Times New Roman" w:cs="Times New Roman"/>
                <w:b/>
                <w:bCs/>
              </w:rPr>
            </w:pPr>
            <w:r>
              <w:rPr>
                <w:rFonts w:ascii="Times New Roman" w:hAnsi="Times New Roman" w:cs="Times New Roman"/>
                <w:b/>
                <w:bCs/>
              </w:rPr>
              <w:t>Panel D</w:t>
            </w:r>
            <w:r w:rsidRPr="00CB22CF">
              <w:rPr>
                <w:noProof/>
              </w:rPr>
              <w:t xml:space="preserve"> </w:t>
            </w:r>
            <w:r w:rsidRPr="00CB22CF">
              <w:rPr>
                <w:noProof/>
              </w:rPr>
              <w:drawing>
                <wp:inline distT="0" distB="0" distL="0" distR="0" wp14:anchorId="55E45BD5" wp14:editId="34A3D0FF">
                  <wp:extent cx="2556510" cy="1859280"/>
                  <wp:effectExtent l="0" t="0" r="0" b="0"/>
                  <wp:docPr id="967702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02253" name=""/>
                          <pic:cNvPicPr/>
                        </pic:nvPicPr>
                        <pic:blipFill>
                          <a:blip r:embed="rId97"/>
                          <a:stretch>
                            <a:fillRect/>
                          </a:stretch>
                        </pic:blipFill>
                        <pic:spPr>
                          <a:xfrm>
                            <a:off x="0" y="0"/>
                            <a:ext cx="2574267" cy="1872194"/>
                          </a:xfrm>
                          <a:prstGeom prst="rect">
                            <a:avLst/>
                          </a:prstGeom>
                        </pic:spPr>
                      </pic:pic>
                    </a:graphicData>
                  </a:graphic>
                </wp:inline>
              </w:drawing>
            </w:r>
          </w:p>
        </w:tc>
      </w:tr>
      <w:tr w:rsidR="001D0692" w14:paraId="205F99CD" w14:textId="77777777" w:rsidTr="001D0692">
        <w:tc>
          <w:tcPr>
            <w:tcW w:w="4315" w:type="dxa"/>
          </w:tcPr>
          <w:p w14:paraId="3752F33A" w14:textId="69E68A8A" w:rsidR="001D0692" w:rsidRDefault="005166C7" w:rsidP="005166C7">
            <w:pPr>
              <w:rPr>
                <w:rFonts w:ascii="Times New Roman" w:hAnsi="Times New Roman" w:cs="Times New Roman"/>
                <w:b/>
                <w:bCs/>
              </w:rPr>
            </w:pPr>
            <w:r>
              <w:rPr>
                <w:rFonts w:ascii="Times New Roman" w:hAnsi="Times New Roman" w:cs="Times New Roman"/>
                <w:b/>
                <w:bCs/>
              </w:rPr>
              <w:t>Panel E</w:t>
            </w:r>
            <w:r w:rsidRPr="006213A1">
              <w:rPr>
                <w:noProof/>
              </w:rPr>
              <w:t xml:space="preserve"> </w:t>
            </w:r>
            <w:r w:rsidRPr="006213A1">
              <w:rPr>
                <w:noProof/>
              </w:rPr>
              <w:drawing>
                <wp:inline distT="0" distB="0" distL="0" distR="0" wp14:anchorId="3BFFE256" wp14:editId="629ADB93">
                  <wp:extent cx="2619374" cy="1905000"/>
                  <wp:effectExtent l="0" t="0" r="0" b="0"/>
                  <wp:docPr id="1496526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26640" name=""/>
                          <pic:cNvPicPr/>
                        </pic:nvPicPr>
                        <pic:blipFill>
                          <a:blip r:embed="rId98"/>
                          <a:stretch>
                            <a:fillRect/>
                          </a:stretch>
                        </pic:blipFill>
                        <pic:spPr>
                          <a:xfrm>
                            <a:off x="0" y="0"/>
                            <a:ext cx="2658647" cy="1933562"/>
                          </a:xfrm>
                          <a:prstGeom prst="rect">
                            <a:avLst/>
                          </a:prstGeom>
                        </pic:spPr>
                      </pic:pic>
                    </a:graphicData>
                  </a:graphic>
                </wp:inline>
              </w:drawing>
            </w:r>
          </w:p>
        </w:tc>
        <w:tc>
          <w:tcPr>
            <w:tcW w:w="4315" w:type="dxa"/>
          </w:tcPr>
          <w:p w14:paraId="0449DAE8" w14:textId="2FCF4DD2" w:rsidR="001D0692" w:rsidRDefault="005166C7" w:rsidP="005166C7">
            <w:pPr>
              <w:rPr>
                <w:rFonts w:ascii="Times New Roman" w:hAnsi="Times New Roman" w:cs="Times New Roman"/>
                <w:b/>
                <w:bCs/>
              </w:rPr>
            </w:pPr>
            <w:r>
              <w:rPr>
                <w:rFonts w:ascii="Times New Roman" w:hAnsi="Times New Roman" w:cs="Times New Roman"/>
                <w:b/>
                <w:bCs/>
              </w:rPr>
              <w:t>Panel F</w:t>
            </w:r>
            <w:r w:rsidRPr="00CB22CF">
              <w:rPr>
                <w:noProof/>
              </w:rPr>
              <w:t xml:space="preserve"> </w:t>
            </w:r>
            <w:r w:rsidRPr="00CB22CF">
              <w:rPr>
                <w:noProof/>
              </w:rPr>
              <w:drawing>
                <wp:inline distT="0" distB="0" distL="0" distR="0" wp14:anchorId="1DF89C81" wp14:editId="6598BE74">
                  <wp:extent cx="2619375" cy="1905000"/>
                  <wp:effectExtent l="0" t="0" r="0" b="0"/>
                  <wp:docPr id="2100862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62535" name=""/>
                          <pic:cNvPicPr/>
                        </pic:nvPicPr>
                        <pic:blipFill>
                          <a:blip r:embed="rId99"/>
                          <a:stretch>
                            <a:fillRect/>
                          </a:stretch>
                        </pic:blipFill>
                        <pic:spPr>
                          <a:xfrm>
                            <a:off x="0" y="0"/>
                            <a:ext cx="2635236" cy="1916535"/>
                          </a:xfrm>
                          <a:prstGeom prst="rect">
                            <a:avLst/>
                          </a:prstGeom>
                        </pic:spPr>
                      </pic:pic>
                    </a:graphicData>
                  </a:graphic>
                </wp:inline>
              </w:drawing>
            </w:r>
          </w:p>
        </w:tc>
      </w:tr>
    </w:tbl>
    <w:p w14:paraId="28677487" w14:textId="77777777" w:rsidR="0032071D" w:rsidRDefault="0032071D" w:rsidP="005166C7">
      <w:pPr>
        <w:rPr>
          <w:rFonts w:ascii="Times New Roman" w:hAnsi="Times New Roman" w:cs="Times New Roman"/>
          <w:b/>
          <w:bCs/>
        </w:rPr>
      </w:pPr>
    </w:p>
    <w:p w14:paraId="026A83AA" w14:textId="77777777" w:rsidR="00334A8E" w:rsidRPr="004C564E" w:rsidRDefault="00334A8E" w:rsidP="00334A8E">
      <w:pPr>
        <w:pStyle w:val="TableofFigs"/>
        <w:spacing w:line="240" w:lineRule="auto"/>
      </w:pPr>
      <w:bookmarkStart w:id="221" w:name="_Toc180144613"/>
      <w:r w:rsidRPr="004C564E">
        <w:t xml:space="preserve">Figure </w:t>
      </w:r>
      <w:r>
        <w:t>33</w:t>
      </w:r>
      <w:bookmarkEnd w:id="221"/>
    </w:p>
    <w:p w14:paraId="2004DB6A" w14:textId="4B49CF3F" w:rsidR="00334A8E" w:rsidRDefault="00334A8E" w:rsidP="00334A8E">
      <w:pPr>
        <w:rPr>
          <w:rFonts w:ascii="Times New Roman" w:hAnsi="Times New Roman" w:cs="Times New Roman"/>
          <w:b/>
          <w:bCs/>
        </w:rPr>
      </w:pPr>
      <w:r>
        <w:rPr>
          <w:rFonts w:ascii="Times New Roman" w:hAnsi="Times New Roman" w:cs="Times New Roman"/>
          <w:i/>
          <w:iCs/>
        </w:rPr>
        <w:t>Visualization of Event Study, Imputation, and OLS Estimators All Institutions</w:t>
      </w:r>
    </w:p>
    <w:p w14:paraId="49C0BEF4" w14:textId="77777777" w:rsidR="00334A8E" w:rsidRDefault="00334A8E" w:rsidP="005166C7">
      <w:pPr>
        <w:rPr>
          <w:rFonts w:ascii="Times New Roman" w:hAnsi="Times New Roman" w:cs="Times New Roman"/>
          <w:b/>
          <w:bCs/>
        </w:rPr>
      </w:pPr>
    </w:p>
    <w:p w14:paraId="0F9EB978" w14:textId="77777777" w:rsidR="00121D59" w:rsidRDefault="00121D59" w:rsidP="005166C7">
      <w:pPr>
        <w:rPr>
          <w:rFonts w:ascii="Times New Roman" w:hAnsi="Times New Roman" w:cs="Times New Roman"/>
          <w:b/>
          <w:bCs/>
        </w:rPr>
      </w:pPr>
    </w:p>
    <w:tbl>
      <w:tblPr>
        <w:tblStyle w:val="TableGrid"/>
        <w:tblW w:w="0" w:type="auto"/>
        <w:tblLook w:val="04A0" w:firstRow="1" w:lastRow="0" w:firstColumn="1" w:lastColumn="0" w:noHBand="0" w:noVBand="1"/>
      </w:tblPr>
      <w:tblGrid>
        <w:gridCol w:w="4315"/>
        <w:gridCol w:w="4315"/>
      </w:tblGrid>
      <w:tr w:rsidR="00121D59" w14:paraId="1EEAE1C3" w14:textId="77777777" w:rsidTr="00321842">
        <w:tc>
          <w:tcPr>
            <w:tcW w:w="4315" w:type="dxa"/>
          </w:tcPr>
          <w:p w14:paraId="71C15766" w14:textId="77777777" w:rsidR="00121D59" w:rsidRDefault="00121D59" w:rsidP="00321842">
            <w:pPr>
              <w:rPr>
                <w:rFonts w:ascii="Times New Roman" w:hAnsi="Times New Roman" w:cs="Times New Roman"/>
                <w:b/>
                <w:bCs/>
              </w:rPr>
            </w:pPr>
            <w:r>
              <w:rPr>
                <w:rFonts w:ascii="Times New Roman" w:hAnsi="Times New Roman" w:cs="Times New Roman"/>
                <w:b/>
                <w:bCs/>
              </w:rPr>
              <w:t>Panel G</w:t>
            </w:r>
            <w:r w:rsidRPr="00063374">
              <w:rPr>
                <w:noProof/>
              </w:rPr>
              <w:t xml:space="preserve"> </w:t>
            </w:r>
            <w:r w:rsidRPr="00063374">
              <w:rPr>
                <w:noProof/>
              </w:rPr>
              <w:drawing>
                <wp:inline distT="0" distB="0" distL="0" distR="0" wp14:anchorId="6F23AF66" wp14:editId="470CBC1D">
                  <wp:extent cx="2560876" cy="1862455"/>
                  <wp:effectExtent l="0" t="0" r="5080" b="4445"/>
                  <wp:docPr id="883558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58009" name=""/>
                          <pic:cNvPicPr/>
                        </pic:nvPicPr>
                        <pic:blipFill>
                          <a:blip r:embed="rId100"/>
                          <a:stretch>
                            <a:fillRect/>
                          </a:stretch>
                        </pic:blipFill>
                        <pic:spPr>
                          <a:xfrm>
                            <a:off x="0" y="0"/>
                            <a:ext cx="2582194" cy="1877959"/>
                          </a:xfrm>
                          <a:prstGeom prst="rect">
                            <a:avLst/>
                          </a:prstGeom>
                        </pic:spPr>
                      </pic:pic>
                    </a:graphicData>
                  </a:graphic>
                </wp:inline>
              </w:drawing>
            </w:r>
          </w:p>
        </w:tc>
        <w:tc>
          <w:tcPr>
            <w:tcW w:w="4315" w:type="dxa"/>
          </w:tcPr>
          <w:p w14:paraId="2142E8D4" w14:textId="77777777" w:rsidR="00121D59" w:rsidRDefault="00121D59" w:rsidP="00321842">
            <w:pPr>
              <w:rPr>
                <w:rFonts w:ascii="Times New Roman" w:hAnsi="Times New Roman" w:cs="Times New Roman"/>
                <w:b/>
                <w:bCs/>
              </w:rPr>
            </w:pPr>
            <w:r>
              <w:rPr>
                <w:rFonts w:ascii="Times New Roman" w:hAnsi="Times New Roman" w:cs="Times New Roman"/>
                <w:b/>
                <w:bCs/>
              </w:rPr>
              <w:t>Panel H</w:t>
            </w:r>
            <w:r w:rsidRPr="005B1690">
              <w:rPr>
                <w:noProof/>
              </w:rPr>
              <w:t xml:space="preserve"> </w:t>
            </w:r>
            <w:r w:rsidRPr="005B1690">
              <w:rPr>
                <w:noProof/>
              </w:rPr>
              <w:drawing>
                <wp:inline distT="0" distB="0" distL="0" distR="0" wp14:anchorId="4E997921" wp14:editId="70C8C399">
                  <wp:extent cx="2596093" cy="1888067"/>
                  <wp:effectExtent l="0" t="0" r="0" b="4445"/>
                  <wp:docPr id="490833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33780" name=""/>
                          <pic:cNvPicPr/>
                        </pic:nvPicPr>
                        <pic:blipFill>
                          <a:blip r:embed="rId101"/>
                          <a:stretch>
                            <a:fillRect/>
                          </a:stretch>
                        </pic:blipFill>
                        <pic:spPr>
                          <a:xfrm>
                            <a:off x="0" y="0"/>
                            <a:ext cx="2628558" cy="1911678"/>
                          </a:xfrm>
                          <a:prstGeom prst="rect">
                            <a:avLst/>
                          </a:prstGeom>
                        </pic:spPr>
                      </pic:pic>
                    </a:graphicData>
                  </a:graphic>
                </wp:inline>
              </w:drawing>
            </w:r>
          </w:p>
        </w:tc>
      </w:tr>
      <w:tr w:rsidR="00121D59" w14:paraId="1F5A8817" w14:textId="77777777" w:rsidTr="00321842">
        <w:tc>
          <w:tcPr>
            <w:tcW w:w="4315" w:type="dxa"/>
          </w:tcPr>
          <w:p w14:paraId="33E3BA07" w14:textId="77777777" w:rsidR="00121D59" w:rsidRDefault="00121D59" w:rsidP="00321842">
            <w:pPr>
              <w:rPr>
                <w:rFonts w:ascii="Times New Roman" w:hAnsi="Times New Roman" w:cs="Times New Roman"/>
                <w:b/>
                <w:bCs/>
              </w:rPr>
            </w:pPr>
            <w:r>
              <w:rPr>
                <w:rFonts w:ascii="Times New Roman" w:hAnsi="Times New Roman" w:cs="Times New Roman"/>
                <w:b/>
                <w:bCs/>
              </w:rPr>
              <w:t>Panel I</w:t>
            </w:r>
            <w:r w:rsidRPr="005B1690">
              <w:rPr>
                <w:noProof/>
              </w:rPr>
              <w:t xml:space="preserve"> </w:t>
            </w:r>
            <w:r w:rsidRPr="005B1690">
              <w:rPr>
                <w:noProof/>
              </w:rPr>
              <w:drawing>
                <wp:inline distT="0" distB="0" distL="0" distR="0" wp14:anchorId="6104B1E7" wp14:editId="0C29C55C">
                  <wp:extent cx="2631016" cy="1913466"/>
                  <wp:effectExtent l="0" t="0" r="0" b="4445"/>
                  <wp:docPr id="2093532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32000" name=""/>
                          <pic:cNvPicPr/>
                        </pic:nvPicPr>
                        <pic:blipFill>
                          <a:blip r:embed="rId102"/>
                          <a:stretch>
                            <a:fillRect/>
                          </a:stretch>
                        </pic:blipFill>
                        <pic:spPr>
                          <a:xfrm>
                            <a:off x="0" y="0"/>
                            <a:ext cx="2655490" cy="1931265"/>
                          </a:xfrm>
                          <a:prstGeom prst="rect">
                            <a:avLst/>
                          </a:prstGeom>
                        </pic:spPr>
                      </pic:pic>
                    </a:graphicData>
                  </a:graphic>
                </wp:inline>
              </w:drawing>
            </w:r>
          </w:p>
        </w:tc>
        <w:tc>
          <w:tcPr>
            <w:tcW w:w="4315" w:type="dxa"/>
          </w:tcPr>
          <w:p w14:paraId="42645D42" w14:textId="77777777" w:rsidR="00121D59" w:rsidRDefault="00121D59" w:rsidP="00321842">
            <w:pPr>
              <w:rPr>
                <w:rFonts w:ascii="Times New Roman" w:hAnsi="Times New Roman" w:cs="Times New Roman"/>
                <w:b/>
                <w:bCs/>
              </w:rPr>
            </w:pPr>
            <w:r>
              <w:rPr>
                <w:rFonts w:ascii="Times New Roman" w:hAnsi="Times New Roman" w:cs="Times New Roman"/>
                <w:b/>
                <w:bCs/>
              </w:rPr>
              <w:t>Panel J</w:t>
            </w:r>
            <w:r w:rsidRPr="006213A1">
              <w:rPr>
                <w:noProof/>
              </w:rPr>
              <w:t xml:space="preserve"> </w:t>
            </w:r>
            <w:r w:rsidRPr="006213A1">
              <w:rPr>
                <w:noProof/>
              </w:rPr>
              <w:drawing>
                <wp:inline distT="0" distB="0" distL="0" distR="0" wp14:anchorId="3985171D" wp14:editId="41D49252">
                  <wp:extent cx="2630726" cy="1913255"/>
                  <wp:effectExtent l="0" t="0" r="0" b="4445"/>
                  <wp:docPr id="1838755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55849" name=""/>
                          <pic:cNvPicPr/>
                        </pic:nvPicPr>
                        <pic:blipFill>
                          <a:blip r:embed="rId103"/>
                          <a:stretch>
                            <a:fillRect/>
                          </a:stretch>
                        </pic:blipFill>
                        <pic:spPr>
                          <a:xfrm>
                            <a:off x="0" y="0"/>
                            <a:ext cx="2656702" cy="1932147"/>
                          </a:xfrm>
                          <a:prstGeom prst="rect">
                            <a:avLst/>
                          </a:prstGeom>
                        </pic:spPr>
                      </pic:pic>
                    </a:graphicData>
                  </a:graphic>
                </wp:inline>
              </w:drawing>
            </w:r>
          </w:p>
        </w:tc>
      </w:tr>
    </w:tbl>
    <w:p w14:paraId="308B7983" w14:textId="77777777" w:rsidR="00121D59" w:rsidRPr="001D0692" w:rsidRDefault="00121D59" w:rsidP="005166C7">
      <w:pPr>
        <w:rPr>
          <w:rFonts w:ascii="Times New Roman" w:hAnsi="Times New Roman" w:cs="Times New Roman"/>
          <w:b/>
          <w:bCs/>
        </w:rPr>
      </w:pPr>
    </w:p>
    <w:p w14:paraId="65A576E0" w14:textId="77777777" w:rsidR="00334A8E" w:rsidRDefault="00334A8E" w:rsidP="00334A8E">
      <w:pPr>
        <w:rPr>
          <w:rFonts w:ascii="Times New Roman" w:hAnsi="Times New Roman" w:cs="Times New Roman"/>
          <w:b/>
          <w:bCs/>
        </w:rPr>
      </w:pPr>
      <w:r>
        <w:rPr>
          <w:rFonts w:ascii="Times New Roman" w:hAnsi="Times New Roman" w:cs="Times New Roman"/>
          <w:b/>
          <w:bCs/>
        </w:rPr>
        <w:t>Figure 33 continued</w:t>
      </w:r>
    </w:p>
    <w:p w14:paraId="04222AF7" w14:textId="66A64EAC" w:rsidR="00E32ADB" w:rsidRPr="00EC3E7D" w:rsidRDefault="00E32ADB" w:rsidP="00334A8E">
      <w:pPr>
        <w:rPr>
          <w:rFonts w:ascii="Times New Roman" w:hAnsi="Times New Roman" w:cs="Times New Roman"/>
        </w:rPr>
      </w:pPr>
      <w:r>
        <w:rPr>
          <w:rFonts w:ascii="Times New Roman" w:hAnsi="Times New Roman" w:cs="Times New Roman"/>
        </w:rPr>
        <w:t xml:space="preserve">Figure 33 contains a joint plot of the outputs for the Sun &amp; Abraham (2020), Ordinary Least Squares, and Borusyak et al. (2021) estimators in Panels A through J. In each panel, the y-axis represents the treatment coefficient’s effect on the number of awards produced at institutions at that period (x-axis) in natural log units for each outcome variable of interest in this study. </w:t>
      </w:r>
    </w:p>
    <w:p w14:paraId="124F37F3" w14:textId="77777777" w:rsidR="00E32ADB" w:rsidRDefault="00E32ADB" w:rsidP="00D165B0">
      <w:pPr>
        <w:pStyle w:val="AltHeading1"/>
      </w:pPr>
    </w:p>
    <w:p w14:paraId="16EEA00B" w14:textId="3D8E6DC4" w:rsidR="00D53771" w:rsidRDefault="00D53771">
      <w:pPr>
        <w:rPr>
          <w:rFonts w:ascii="Times New Roman" w:hAnsi="Times New Roman" w:cs="Times New Roman"/>
          <w:b/>
          <w:caps/>
          <w:color w:val="000000" w:themeColor="text1"/>
        </w:rPr>
      </w:pPr>
      <w:r>
        <w:rPr>
          <w:rFonts w:ascii="Times New Roman" w:hAnsi="Times New Roman" w:cs="Times New Roman"/>
          <w:b/>
          <w:caps/>
          <w:color w:val="000000" w:themeColor="text1"/>
        </w:rPr>
        <w:br w:type="page"/>
      </w:r>
    </w:p>
    <w:p w14:paraId="689DF4A7" w14:textId="630284A4" w:rsidR="007C5655" w:rsidRPr="007C5655" w:rsidRDefault="00D53771" w:rsidP="00334A8E">
      <w:pPr>
        <w:pStyle w:val="Chapter"/>
      </w:pPr>
      <w:bookmarkStart w:id="222" w:name="_Toc183282308"/>
      <w:r w:rsidRPr="007C5655">
        <w:lastRenderedPageBreak/>
        <w:t>VITA</w:t>
      </w:r>
      <w:bookmarkEnd w:id="222"/>
    </w:p>
    <w:p w14:paraId="5DC50CB2" w14:textId="12DF4EFA" w:rsidR="00D53771" w:rsidRPr="007C5655" w:rsidRDefault="00D53771" w:rsidP="00334A8E">
      <w:pPr>
        <w:spacing w:line="480" w:lineRule="auto"/>
        <w:rPr>
          <w:rFonts w:ascii="Times New Roman" w:hAnsi="Times New Roman" w:cs="Times New Roman"/>
          <w:bCs/>
        </w:rPr>
      </w:pPr>
      <w:r w:rsidRPr="007C5655">
        <w:rPr>
          <w:rFonts w:ascii="Times New Roman" w:hAnsi="Times New Roman" w:cs="Times New Roman"/>
          <w:bCs/>
        </w:rPr>
        <w:tab/>
      </w:r>
      <w:r w:rsidR="00B021DA" w:rsidRPr="007C5655">
        <w:rPr>
          <w:rFonts w:ascii="Times New Roman" w:hAnsi="Times New Roman" w:cs="Times New Roman"/>
          <w:bCs/>
        </w:rPr>
        <w:t xml:space="preserve">Zachary “Zac” John Hyder </w:t>
      </w:r>
      <w:r w:rsidR="001B4D71" w:rsidRPr="007C5655">
        <w:rPr>
          <w:rFonts w:ascii="Times New Roman" w:hAnsi="Times New Roman" w:cs="Times New Roman"/>
          <w:bCs/>
        </w:rPr>
        <w:t>grew up on a family farm in</w:t>
      </w:r>
      <w:r w:rsidR="00032847" w:rsidRPr="007C5655">
        <w:rPr>
          <w:rFonts w:ascii="Times New Roman" w:hAnsi="Times New Roman" w:cs="Times New Roman"/>
          <w:bCs/>
        </w:rPr>
        <w:t xml:space="preserve"> </w:t>
      </w:r>
      <w:r w:rsidR="000E05BA" w:rsidRPr="007C5655">
        <w:rPr>
          <w:rFonts w:ascii="Times New Roman" w:hAnsi="Times New Roman" w:cs="Times New Roman"/>
          <w:bCs/>
        </w:rPr>
        <w:t xml:space="preserve">the </w:t>
      </w:r>
      <w:r w:rsidR="00032847" w:rsidRPr="007C5655">
        <w:rPr>
          <w:rFonts w:ascii="Times New Roman" w:hAnsi="Times New Roman" w:cs="Times New Roman"/>
          <w:bCs/>
        </w:rPr>
        <w:t>Appalachian Mountains of</w:t>
      </w:r>
      <w:r w:rsidR="001B4D71" w:rsidRPr="007C5655">
        <w:rPr>
          <w:rFonts w:ascii="Times New Roman" w:hAnsi="Times New Roman" w:cs="Times New Roman"/>
          <w:bCs/>
        </w:rPr>
        <w:t xml:space="preserve"> East Tennessee</w:t>
      </w:r>
      <w:r w:rsidR="00935ECA" w:rsidRPr="007C5655">
        <w:rPr>
          <w:rFonts w:ascii="Times New Roman" w:hAnsi="Times New Roman" w:cs="Times New Roman"/>
          <w:bCs/>
        </w:rPr>
        <w:t xml:space="preserve">. </w:t>
      </w:r>
      <w:r w:rsidR="00032847" w:rsidRPr="007C5655">
        <w:rPr>
          <w:rFonts w:ascii="Times New Roman" w:hAnsi="Times New Roman" w:cs="Times New Roman"/>
          <w:bCs/>
        </w:rPr>
        <w:t>While he</w:t>
      </w:r>
      <w:r w:rsidR="00935ECA" w:rsidRPr="007C5655">
        <w:rPr>
          <w:rFonts w:ascii="Times New Roman" w:hAnsi="Times New Roman" w:cs="Times New Roman"/>
          <w:bCs/>
        </w:rPr>
        <w:t xml:space="preserve"> was the first person in his family to attend a four-year postsecondary institution</w:t>
      </w:r>
      <w:r w:rsidR="00032847" w:rsidRPr="007C5655">
        <w:rPr>
          <w:rFonts w:ascii="Times New Roman" w:hAnsi="Times New Roman" w:cs="Times New Roman"/>
          <w:bCs/>
        </w:rPr>
        <w:t xml:space="preserve">, Zac </w:t>
      </w:r>
      <w:r w:rsidR="00935ECA" w:rsidRPr="007C5655">
        <w:rPr>
          <w:rFonts w:ascii="Times New Roman" w:hAnsi="Times New Roman" w:cs="Times New Roman"/>
          <w:bCs/>
        </w:rPr>
        <w:t>maintains</w:t>
      </w:r>
      <w:r w:rsidR="00032847" w:rsidRPr="007C5655">
        <w:rPr>
          <w:rFonts w:ascii="Times New Roman" w:hAnsi="Times New Roman" w:cs="Times New Roman"/>
          <w:bCs/>
        </w:rPr>
        <w:t xml:space="preserve"> that</w:t>
      </w:r>
      <w:r w:rsidR="00935ECA" w:rsidRPr="007C5655">
        <w:rPr>
          <w:rFonts w:ascii="Times New Roman" w:hAnsi="Times New Roman" w:cs="Times New Roman"/>
          <w:bCs/>
        </w:rPr>
        <w:t xml:space="preserve"> he is not the first well-learned person of his family with </w:t>
      </w:r>
      <w:r w:rsidR="008B3AED" w:rsidRPr="007C5655">
        <w:rPr>
          <w:rFonts w:ascii="Times New Roman" w:hAnsi="Times New Roman" w:cs="Times New Roman"/>
          <w:bCs/>
        </w:rPr>
        <w:t>resilient</w:t>
      </w:r>
      <w:r w:rsidR="00935ECA" w:rsidRPr="007C5655">
        <w:rPr>
          <w:rFonts w:ascii="Times New Roman" w:hAnsi="Times New Roman" w:cs="Times New Roman"/>
          <w:bCs/>
        </w:rPr>
        <w:t xml:space="preserve"> grandparents</w:t>
      </w:r>
      <w:r w:rsidR="008B3AED" w:rsidRPr="007C5655">
        <w:rPr>
          <w:rFonts w:ascii="Times New Roman" w:hAnsi="Times New Roman" w:cs="Times New Roman"/>
          <w:bCs/>
        </w:rPr>
        <w:t xml:space="preserve"> who had a wealth wisdom</w:t>
      </w:r>
      <w:r w:rsidR="00935ECA" w:rsidRPr="007C5655">
        <w:rPr>
          <w:rFonts w:ascii="Times New Roman" w:hAnsi="Times New Roman" w:cs="Times New Roman"/>
          <w:bCs/>
        </w:rPr>
        <w:t xml:space="preserve"> and </w:t>
      </w:r>
      <w:r w:rsidR="00D864E5" w:rsidRPr="007C5655">
        <w:rPr>
          <w:rFonts w:ascii="Times New Roman" w:hAnsi="Times New Roman" w:cs="Times New Roman"/>
          <w:bCs/>
        </w:rPr>
        <w:t xml:space="preserve">industrious parents who </w:t>
      </w:r>
      <w:r w:rsidR="00482370" w:rsidRPr="007C5655">
        <w:rPr>
          <w:rFonts w:ascii="Times New Roman" w:hAnsi="Times New Roman" w:cs="Times New Roman"/>
          <w:bCs/>
        </w:rPr>
        <w:t>role-modeled the importance of education</w:t>
      </w:r>
      <w:r w:rsidR="00D864E5" w:rsidRPr="007C5655">
        <w:rPr>
          <w:rFonts w:ascii="Times New Roman" w:hAnsi="Times New Roman" w:cs="Times New Roman"/>
          <w:bCs/>
        </w:rPr>
        <w:t xml:space="preserve"> </w:t>
      </w:r>
      <w:r w:rsidR="00482370" w:rsidRPr="007C5655">
        <w:rPr>
          <w:rFonts w:ascii="Times New Roman" w:hAnsi="Times New Roman" w:cs="Times New Roman"/>
          <w:bCs/>
        </w:rPr>
        <w:t xml:space="preserve">through </w:t>
      </w:r>
      <w:r w:rsidR="00031AF6" w:rsidRPr="007C5655">
        <w:rPr>
          <w:rFonts w:ascii="Times New Roman" w:hAnsi="Times New Roman" w:cs="Times New Roman"/>
          <w:bCs/>
        </w:rPr>
        <w:t xml:space="preserve">their </w:t>
      </w:r>
      <w:r w:rsidR="00D864E5" w:rsidRPr="007C5655">
        <w:rPr>
          <w:rFonts w:ascii="Times New Roman" w:hAnsi="Times New Roman" w:cs="Times New Roman"/>
          <w:bCs/>
        </w:rPr>
        <w:t xml:space="preserve">sub-baccalaureate postsecondary </w:t>
      </w:r>
      <w:r w:rsidR="00482370" w:rsidRPr="007C5655">
        <w:rPr>
          <w:rFonts w:ascii="Times New Roman" w:hAnsi="Times New Roman" w:cs="Times New Roman"/>
          <w:bCs/>
        </w:rPr>
        <w:t>experiences</w:t>
      </w:r>
      <w:r w:rsidR="00260739" w:rsidRPr="007C5655">
        <w:rPr>
          <w:rFonts w:ascii="Times New Roman" w:hAnsi="Times New Roman" w:cs="Times New Roman"/>
          <w:bCs/>
        </w:rPr>
        <w:t xml:space="preserve">. </w:t>
      </w:r>
      <w:r w:rsidR="006847DB" w:rsidRPr="007C5655">
        <w:rPr>
          <w:rFonts w:ascii="Times New Roman" w:hAnsi="Times New Roman" w:cs="Times New Roman"/>
          <w:bCs/>
        </w:rPr>
        <w:t xml:space="preserve">Zac attended the University of Tennessee, Knoxville </w:t>
      </w:r>
      <w:r w:rsidR="004E3A1D" w:rsidRPr="007C5655">
        <w:rPr>
          <w:rFonts w:ascii="Times New Roman" w:hAnsi="Times New Roman" w:cs="Times New Roman"/>
          <w:bCs/>
        </w:rPr>
        <w:t xml:space="preserve">and graduated with a </w:t>
      </w:r>
      <w:r w:rsidR="004E7939" w:rsidRPr="007C5655">
        <w:rPr>
          <w:rFonts w:ascii="Times New Roman" w:hAnsi="Times New Roman" w:cs="Times New Roman"/>
          <w:bCs/>
        </w:rPr>
        <w:t>B.S.</w:t>
      </w:r>
      <w:r w:rsidR="004E3A1D" w:rsidRPr="007C5655">
        <w:rPr>
          <w:rFonts w:ascii="Times New Roman" w:hAnsi="Times New Roman" w:cs="Times New Roman"/>
          <w:bCs/>
        </w:rPr>
        <w:t xml:space="preserve"> in Biological Sciences </w:t>
      </w:r>
      <w:r w:rsidR="00DD573C">
        <w:rPr>
          <w:rFonts w:ascii="Times New Roman" w:hAnsi="Times New Roman" w:cs="Times New Roman"/>
          <w:bCs/>
        </w:rPr>
        <w:t>with</w:t>
      </w:r>
      <w:r w:rsidR="004E3A1D" w:rsidRPr="007C5655">
        <w:rPr>
          <w:rFonts w:ascii="Times New Roman" w:hAnsi="Times New Roman" w:cs="Times New Roman"/>
          <w:bCs/>
        </w:rPr>
        <w:t xml:space="preserve"> Chancellor’s Honors</w:t>
      </w:r>
      <w:r w:rsidR="0099174F" w:rsidRPr="007C5655">
        <w:rPr>
          <w:rFonts w:ascii="Times New Roman" w:hAnsi="Times New Roman" w:cs="Times New Roman"/>
          <w:bCs/>
        </w:rPr>
        <w:t xml:space="preserve"> in 2015</w:t>
      </w:r>
      <w:r w:rsidR="004E3A1D" w:rsidRPr="007C5655">
        <w:rPr>
          <w:rFonts w:ascii="Times New Roman" w:hAnsi="Times New Roman" w:cs="Times New Roman"/>
          <w:bCs/>
        </w:rPr>
        <w:t>.</w:t>
      </w:r>
      <w:r w:rsidR="00901558" w:rsidRPr="007C5655">
        <w:rPr>
          <w:rFonts w:ascii="Times New Roman" w:hAnsi="Times New Roman" w:cs="Times New Roman"/>
          <w:bCs/>
        </w:rPr>
        <w:t xml:space="preserve"> During this time, Zac was heavily involved in </w:t>
      </w:r>
      <w:r w:rsidR="00C96D65" w:rsidRPr="007C5655">
        <w:rPr>
          <w:rFonts w:ascii="Times New Roman" w:hAnsi="Times New Roman" w:cs="Times New Roman"/>
          <w:bCs/>
        </w:rPr>
        <w:t xml:space="preserve">student life activities such as fraternity/sorority life, </w:t>
      </w:r>
      <w:r w:rsidR="00526311" w:rsidRPr="007C5655">
        <w:rPr>
          <w:rFonts w:ascii="Times New Roman" w:hAnsi="Times New Roman" w:cs="Times New Roman"/>
          <w:bCs/>
        </w:rPr>
        <w:t xml:space="preserve">student </w:t>
      </w:r>
      <w:r w:rsidR="002C06C2" w:rsidRPr="007C5655">
        <w:rPr>
          <w:rFonts w:ascii="Times New Roman" w:hAnsi="Times New Roman" w:cs="Times New Roman"/>
          <w:bCs/>
        </w:rPr>
        <w:t>orientation and extended orientation</w:t>
      </w:r>
      <w:r w:rsidR="00526311" w:rsidRPr="007C5655">
        <w:rPr>
          <w:rFonts w:ascii="Times New Roman" w:hAnsi="Times New Roman" w:cs="Times New Roman"/>
          <w:bCs/>
        </w:rPr>
        <w:t xml:space="preserve">, and </w:t>
      </w:r>
      <w:r w:rsidR="00F7371B" w:rsidRPr="007C5655">
        <w:rPr>
          <w:rFonts w:ascii="Times New Roman" w:hAnsi="Times New Roman" w:cs="Times New Roman"/>
          <w:bCs/>
        </w:rPr>
        <w:t xml:space="preserve">the </w:t>
      </w:r>
      <w:r w:rsidR="00526311" w:rsidRPr="007C5655">
        <w:rPr>
          <w:rFonts w:ascii="Times New Roman" w:hAnsi="Times New Roman" w:cs="Times New Roman"/>
          <w:bCs/>
        </w:rPr>
        <w:t>university honors office</w:t>
      </w:r>
      <w:r w:rsidR="001D1D1F" w:rsidRPr="007C5655">
        <w:rPr>
          <w:rFonts w:ascii="Times New Roman" w:hAnsi="Times New Roman" w:cs="Times New Roman"/>
          <w:bCs/>
        </w:rPr>
        <w:t xml:space="preserve">. Meeting </w:t>
      </w:r>
      <w:r w:rsidR="004E171F" w:rsidRPr="007C5655">
        <w:rPr>
          <w:rFonts w:ascii="Times New Roman" w:hAnsi="Times New Roman" w:cs="Times New Roman"/>
          <w:bCs/>
        </w:rPr>
        <w:t xml:space="preserve">and sharing college experiences with many, Zac became interested </w:t>
      </w:r>
      <w:r w:rsidR="00E6460B" w:rsidRPr="007C5655">
        <w:rPr>
          <w:rFonts w:ascii="Times New Roman" w:hAnsi="Times New Roman" w:cs="Times New Roman"/>
          <w:bCs/>
        </w:rPr>
        <w:t xml:space="preserve">in why some students persist to graduation and find success in postsecondary education while others do not. </w:t>
      </w:r>
    </w:p>
    <w:p w14:paraId="3570263F" w14:textId="30A62F01" w:rsidR="00D92C86" w:rsidRPr="007C5655" w:rsidRDefault="00E6460B" w:rsidP="00334A8E">
      <w:pPr>
        <w:spacing w:line="480" w:lineRule="auto"/>
        <w:rPr>
          <w:rFonts w:ascii="Times New Roman" w:hAnsi="Times New Roman" w:cs="Times New Roman"/>
          <w:bCs/>
        </w:rPr>
      </w:pPr>
      <w:r w:rsidRPr="007C5655">
        <w:rPr>
          <w:rFonts w:ascii="Times New Roman" w:hAnsi="Times New Roman" w:cs="Times New Roman"/>
          <w:bCs/>
        </w:rPr>
        <w:tab/>
        <w:t>This motivated Zac to become a student affairs professional</w:t>
      </w:r>
      <w:r w:rsidR="000556B7" w:rsidRPr="007C5655">
        <w:rPr>
          <w:rFonts w:ascii="Times New Roman" w:hAnsi="Times New Roman" w:cs="Times New Roman"/>
          <w:bCs/>
        </w:rPr>
        <w:t>. F</w:t>
      </w:r>
      <w:r w:rsidRPr="007C5655">
        <w:rPr>
          <w:rFonts w:ascii="Times New Roman" w:hAnsi="Times New Roman" w:cs="Times New Roman"/>
          <w:bCs/>
        </w:rPr>
        <w:t xml:space="preserve">ollowing graduation, he attended the University of Maryland, College Park where he completed a </w:t>
      </w:r>
      <w:r w:rsidR="004E7939" w:rsidRPr="007C5655">
        <w:rPr>
          <w:rFonts w:ascii="Times New Roman" w:hAnsi="Times New Roman" w:cs="Times New Roman"/>
          <w:bCs/>
        </w:rPr>
        <w:t xml:space="preserve">M.Ed. </w:t>
      </w:r>
      <w:r w:rsidRPr="007C5655">
        <w:rPr>
          <w:rFonts w:ascii="Times New Roman" w:hAnsi="Times New Roman" w:cs="Times New Roman"/>
          <w:bCs/>
        </w:rPr>
        <w:t xml:space="preserve">in </w:t>
      </w:r>
      <w:r w:rsidR="00630889" w:rsidRPr="007C5655">
        <w:rPr>
          <w:rFonts w:ascii="Times New Roman" w:hAnsi="Times New Roman" w:cs="Times New Roman"/>
          <w:bCs/>
        </w:rPr>
        <w:t>Higher Education, Student Affairs, and International Education Policy (Student Affairs Concentration)</w:t>
      </w:r>
      <w:r w:rsidR="0099174F" w:rsidRPr="007C5655">
        <w:rPr>
          <w:rFonts w:ascii="Times New Roman" w:hAnsi="Times New Roman" w:cs="Times New Roman"/>
          <w:bCs/>
        </w:rPr>
        <w:t xml:space="preserve"> in 2017</w:t>
      </w:r>
      <w:r w:rsidR="00630889" w:rsidRPr="007C5655">
        <w:rPr>
          <w:rFonts w:ascii="Times New Roman" w:hAnsi="Times New Roman" w:cs="Times New Roman"/>
          <w:bCs/>
        </w:rPr>
        <w:t>. Following this, Zac worked professional</w:t>
      </w:r>
      <w:r w:rsidR="006E2BEA" w:rsidRPr="007C5655">
        <w:rPr>
          <w:rFonts w:ascii="Times New Roman" w:hAnsi="Times New Roman" w:cs="Times New Roman"/>
          <w:bCs/>
        </w:rPr>
        <w:t>ly</w:t>
      </w:r>
      <w:r w:rsidR="00630889" w:rsidRPr="007C5655">
        <w:rPr>
          <w:rFonts w:ascii="Times New Roman" w:hAnsi="Times New Roman" w:cs="Times New Roman"/>
          <w:bCs/>
        </w:rPr>
        <w:t xml:space="preserve"> in metric-driven, student success focused </w:t>
      </w:r>
      <w:r w:rsidR="000B4A41" w:rsidRPr="007C5655">
        <w:rPr>
          <w:rFonts w:ascii="Times New Roman" w:hAnsi="Times New Roman" w:cs="Times New Roman"/>
          <w:bCs/>
        </w:rPr>
        <w:t xml:space="preserve">universities. </w:t>
      </w:r>
      <w:r w:rsidR="00211F3A" w:rsidRPr="007C5655">
        <w:rPr>
          <w:rFonts w:ascii="Times New Roman" w:hAnsi="Times New Roman" w:cs="Times New Roman"/>
          <w:bCs/>
        </w:rPr>
        <w:t xml:space="preserve">Working with </w:t>
      </w:r>
      <w:r w:rsidR="00483AF3" w:rsidRPr="007C5655">
        <w:rPr>
          <w:rFonts w:ascii="Times New Roman" w:hAnsi="Times New Roman" w:cs="Times New Roman"/>
          <w:bCs/>
        </w:rPr>
        <w:t xml:space="preserve">and supporting </w:t>
      </w:r>
      <w:r w:rsidR="00211F3A" w:rsidRPr="007C5655">
        <w:rPr>
          <w:rFonts w:ascii="Times New Roman" w:hAnsi="Times New Roman" w:cs="Times New Roman"/>
          <w:bCs/>
        </w:rPr>
        <w:t>students through the Covid-19 pandemic</w:t>
      </w:r>
      <w:r w:rsidR="00F362B4" w:rsidRPr="007C5655">
        <w:rPr>
          <w:rFonts w:ascii="Times New Roman" w:hAnsi="Times New Roman" w:cs="Times New Roman"/>
          <w:bCs/>
        </w:rPr>
        <w:t xml:space="preserve"> energized Zac to return </w:t>
      </w:r>
      <w:r w:rsidR="0014685E" w:rsidRPr="007C5655">
        <w:rPr>
          <w:rFonts w:ascii="Times New Roman" w:hAnsi="Times New Roman" w:cs="Times New Roman"/>
          <w:bCs/>
        </w:rPr>
        <w:t xml:space="preserve">to the University of Tennessee, Knoxville to pursue a Ph.D. in Higher Education Administration. </w:t>
      </w:r>
    </w:p>
    <w:p w14:paraId="49893A1D" w14:textId="05C4E855" w:rsidR="00314B54" w:rsidRPr="007C5655" w:rsidRDefault="00523A8C" w:rsidP="00334A8E">
      <w:pPr>
        <w:spacing w:line="480" w:lineRule="auto"/>
        <w:ind w:firstLine="720"/>
        <w:rPr>
          <w:rFonts w:ascii="Times New Roman" w:hAnsi="Times New Roman" w:cs="Times New Roman"/>
          <w:bCs/>
        </w:rPr>
      </w:pPr>
      <w:r w:rsidRPr="007C5655">
        <w:rPr>
          <w:rFonts w:ascii="Times New Roman" w:hAnsi="Times New Roman" w:cs="Times New Roman"/>
          <w:bCs/>
        </w:rPr>
        <w:t xml:space="preserve">Today, </w:t>
      </w:r>
      <w:r w:rsidR="00D92C86" w:rsidRPr="007C5655">
        <w:rPr>
          <w:rFonts w:ascii="Times New Roman" w:hAnsi="Times New Roman" w:cs="Times New Roman"/>
          <w:bCs/>
        </w:rPr>
        <w:t>Zac</w:t>
      </w:r>
      <w:r w:rsidR="0014685E" w:rsidRPr="007C5655">
        <w:rPr>
          <w:rFonts w:ascii="Times New Roman" w:hAnsi="Times New Roman" w:cs="Times New Roman"/>
          <w:bCs/>
        </w:rPr>
        <w:t xml:space="preserve"> </w:t>
      </w:r>
      <w:r w:rsidRPr="007C5655">
        <w:rPr>
          <w:rFonts w:ascii="Times New Roman" w:hAnsi="Times New Roman" w:cs="Times New Roman"/>
          <w:bCs/>
        </w:rPr>
        <w:t>is still</w:t>
      </w:r>
      <w:r w:rsidR="0014685E" w:rsidRPr="007C5655">
        <w:rPr>
          <w:rFonts w:ascii="Times New Roman" w:hAnsi="Times New Roman" w:cs="Times New Roman"/>
          <w:bCs/>
        </w:rPr>
        <w:t xml:space="preserve"> deeply concerned with issues of </w:t>
      </w:r>
      <w:r w:rsidR="007059B2" w:rsidRPr="007C5655">
        <w:rPr>
          <w:rFonts w:ascii="Times New Roman" w:hAnsi="Times New Roman" w:cs="Times New Roman"/>
          <w:bCs/>
        </w:rPr>
        <w:t xml:space="preserve">postsecondary </w:t>
      </w:r>
      <w:r w:rsidR="0014685E" w:rsidRPr="007C5655">
        <w:rPr>
          <w:rFonts w:ascii="Times New Roman" w:hAnsi="Times New Roman" w:cs="Times New Roman"/>
          <w:bCs/>
        </w:rPr>
        <w:t xml:space="preserve">student success </w:t>
      </w:r>
      <w:r w:rsidRPr="007C5655">
        <w:rPr>
          <w:rFonts w:ascii="Times New Roman" w:hAnsi="Times New Roman" w:cs="Times New Roman"/>
          <w:bCs/>
        </w:rPr>
        <w:t xml:space="preserve">as he researches </w:t>
      </w:r>
      <w:r w:rsidR="0014685E" w:rsidRPr="007C5655">
        <w:rPr>
          <w:rFonts w:ascii="Times New Roman" w:hAnsi="Times New Roman" w:cs="Times New Roman"/>
          <w:bCs/>
        </w:rPr>
        <w:t xml:space="preserve">how the lever of college affordability affects student outcomes such as </w:t>
      </w:r>
      <w:r w:rsidR="0014685E" w:rsidRPr="007C5655">
        <w:rPr>
          <w:rFonts w:ascii="Times New Roman" w:hAnsi="Times New Roman" w:cs="Times New Roman"/>
          <w:bCs/>
        </w:rPr>
        <w:lastRenderedPageBreak/>
        <w:t xml:space="preserve">enrollment, graduation, and labor market returns. </w:t>
      </w:r>
      <w:r w:rsidR="00D92C86" w:rsidRPr="007C5655">
        <w:rPr>
          <w:rFonts w:ascii="Times New Roman" w:hAnsi="Times New Roman" w:cs="Times New Roman"/>
          <w:bCs/>
        </w:rPr>
        <w:t xml:space="preserve">He is currently a recipient of an ECMC Foundation Post-Doctoral Grant </w:t>
      </w:r>
      <w:r w:rsidR="00A744BF" w:rsidRPr="007C5655">
        <w:rPr>
          <w:rFonts w:ascii="Times New Roman" w:hAnsi="Times New Roman" w:cs="Times New Roman"/>
          <w:bCs/>
        </w:rPr>
        <w:t xml:space="preserve">where he works </w:t>
      </w:r>
      <w:r w:rsidR="00D92C86" w:rsidRPr="007C5655">
        <w:rPr>
          <w:rFonts w:ascii="Times New Roman" w:hAnsi="Times New Roman" w:cs="Times New Roman"/>
          <w:bCs/>
        </w:rPr>
        <w:t>in a cost share agreement with the Tennessee State Collaborative on Reforming Education</w:t>
      </w:r>
      <w:r w:rsidR="00CE5B8D" w:rsidRPr="007C5655">
        <w:rPr>
          <w:rFonts w:ascii="Times New Roman" w:hAnsi="Times New Roman" w:cs="Times New Roman"/>
          <w:bCs/>
        </w:rPr>
        <w:t xml:space="preserve">. In this position following graduation, </w:t>
      </w:r>
      <w:r w:rsidR="00D92C86" w:rsidRPr="007C5655">
        <w:rPr>
          <w:rFonts w:ascii="Times New Roman" w:hAnsi="Times New Roman" w:cs="Times New Roman"/>
          <w:bCs/>
        </w:rPr>
        <w:t>he</w:t>
      </w:r>
      <w:r w:rsidR="00CE5B8D" w:rsidRPr="007C5655">
        <w:rPr>
          <w:rFonts w:ascii="Times New Roman" w:hAnsi="Times New Roman" w:cs="Times New Roman"/>
          <w:bCs/>
        </w:rPr>
        <w:t xml:space="preserve"> </w:t>
      </w:r>
      <w:r w:rsidR="00D92C86" w:rsidRPr="007C5655">
        <w:rPr>
          <w:rFonts w:ascii="Times New Roman" w:hAnsi="Times New Roman" w:cs="Times New Roman"/>
          <w:bCs/>
        </w:rPr>
        <w:t>support</w:t>
      </w:r>
      <w:r w:rsidR="00503548" w:rsidRPr="007C5655">
        <w:rPr>
          <w:rFonts w:ascii="Times New Roman" w:hAnsi="Times New Roman" w:cs="Times New Roman"/>
          <w:bCs/>
        </w:rPr>
        <w:t>s</w:t>
      </w:r>
      <w:r w:rsidR="00D92C86" w:rsidRPr="007C5655">
        <w:rPr>
          <w:rFonts w:ascii="Times New Roman" w:hAnsi="Times New Roman" w:cs="Times New Roman"/>
          <w:bCs/>
        </w:rPr>
        <w:t xml:space="preserve"> the organization </w:t>
      </w:r>
      <w:r w:rsidR="00EA5DB4" w:rsidRPr="007C5655">
        <w:rPr>
          <w:rFonts w:ascii="Times New Roman" w:hAnsi="Times New Roman" w:cs="Times New Roman"/>
          <w:bCs/>
        </w:rPr>
        <w:t xml:space="preserve">in the realm of education to workforce policy, </w:t>
      </w:r>
      <w:r w:rsidR="00D92C86" w:rsidRPr="007C5655">
        <w:rPr>
          <w:rFonts w:ascii="Times New Roman" w:hAnsi="Times New Roman" w:cs="Times New Roman"/>
          <w:bCs/>
        </w:rPr>
        <w:t>research</w:t>
      </w:r>
      <w:r w:rsidR="00EA5DB4" w:rsidRPr="007C5655">
        <w:rPr>
          <w:rFonts w:ascii="Times New Roman" w:hAnsi="Times New Roman" w:cs="Times New Roman"/>
          <w:bCs/>
        </w:rPr>
        <w:t>,</w:t>
      </w:r>
      <w:r w:rsidR="00D92C86" w:rsidRPr="007C5655">
        <w:rPr>
          <w:rFonts w:ascii="Times New Roman" w:hAnsi="Times New Roman" w:cs="Times New Roman"/>
          <w:bCs/>
        </w:rPr>
        <w:t xml:space="preserve"> and data analysis</w:t>
      </w:r>
      <w:r w:rsidR="00EA5DB4" w:rsidRPr="007C5655">
        <w:rPr>
          <w:rFonts w:ascii="Times New Roman" w:hAnsi="Times New Roman" w:cs="Times New Roman"/>
          <w:bCs/>
        </w:rPr>
        <w:t xml:space="preserve">. </w:t>
      </w:r>
    </w:p>
    <w:sectPr w:rsidR="00314B54" w:rsidRPr="007C5655" w:rsidSect="00A53EA7">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01A18" w14:textId="77777777" w:rsidR="00262C61" w:rsidRDefault="00262C61">
      <w:r>
        <w:separator/>
      </w:r>
    </w:p>
  </w:endnote>
  <w:endnote w:type="continuationSeparator" w:id="0">
    <w:p w14:paraId="4CF6B9AF" w14:textId="77777777" w:rsidR="00262C61" w:rsidRDefault="00262C61">
      <w:r>
        <w:continuationSeparator/>
      </w:r>
    </w:p>
  </w:endnote>
  <w:endnote w:type="continuationNotice" w:id="1">
    <w:p w14:paraId="5E957163" w14:textId="77777777" w:rsidR="00262C61" w:rsidRDefault="00262C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05BE6A73" w14:textId="0253B03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4BC6A29" w14:textId="762847B4" w:rsidR="002E752C" w:rsidRDefault="002E75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1330D" w14:textId="77777777" w:rsidR="00262C61" w:rsidRDefault="00262C61">
      <w:r>
        <w:separator/>
      </w:r>
    </w:p>
  </w:footnote>
  <w:footnote w:type="continuationSeparator" w:id="0">
    <w:p w14:paraId="41BBEF71" w14:textId="77777777" w:rsidR="00262C61" w:rsidRDefault="00262C61">
      <w:r>
        <w:continuationSeparator/>
      </w:r>
    </w:p>
  </w:footnote>
  <w:footnote w:type="continuationNotice" w:id="1">
    <w:p w14:paraId="0DDD6990" w14:textId="77777777" w:rsidR="00262C61" w:rsidRDefault="00262C61"/>
  </w:footnote>
  <w:footnote w:id="2">
    <w:p w14:paraId="3376190A" w14:textId="77777777" w:rsidR="002E752C" w:rsidRPr="00B06ECA" w:rsidRDefault="002E752C" w:rsidP="002E752C">
      <w:pPr>
        <w:pStyle w:val="FootnoteText"/>
        <w:rPr>
          <w:rFonts w:ascii="Times New Roman" w:hAnsi="Times New Roman"/>
          <w:sz w:val="24"/>
        </w:rPr>
      </w:pPr>
      <w:r w:rsidRPr="00B06ECA">
        <w:rPr>
          <w:rStyle w:val="FootnoteReference"/>
          <w:rFonts w:ascii="Times New Roman" w:hAnsi="Times New Roman"/>
          <w:sz w:val="24"/>
        </w:rPr>
        <w:footnoteRef/>
      </w:r>
      <w:r w:rsidRPr="00B06ECA">
        <w:rPr>
          <w:rFonts w:ascii="Times New Roman" w:hAnsi="Times New Roman"/>
          <w:sz w:val="24"/>
        </w:rPr>
        <w:t xml:space="preserve"> While this merit aid scholarship is referred to as the West Virginia Promise Scholarship, it is important to note that the scholarship’s award criteria make it more similar to programs such as Tennessee and Georgia’s HOPE scholarships rather than a traditional college promise program such as the Tennessee Promise or Kalamazoo Promise.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A919A"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9F65A"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C1BD6"/>
    <w:multiLevelType w:val="hybridMultilevel"/>
    <w:tmpl w:val="548E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2D4320"/>
    <w:multiLevelType w:val="hybridMultilevel"/>
    <w:tmpl w:val="C6542D2A"/>
    <w:lvl w:ilvl="0" w:tplc="33444970">
      <w:start w:val="1"/>
      <w:numFmt w:val="decimal"/>
      <w:lvlText w:val="%1)"/>
      <w:lvlJc w:val="left"/>
      <w:pPr>
        <w:ind w:left="1020" w:hanging="360"/>
      </w:pPr>
    </w:lvl>
    <w:lvl w:ilvl="1" w:tplc="CE901BAC">
      <w:start w:val="1"/>
      <w:numFmt w:val="decimal"/>
      <w:lvlText w:val="%2)"/>
      <w:lvlJc w:val="left"/>
      <w:pPr>
        <w:ind w:left="1020" w:hanging="360"/>
      </w:pPr>
    </w:lvl>
    <w:lvl w:ilvl="2" w:tplc="E5941188">
      <w:start w:val="1"/>
      <w:numFmt w:val="decimal"/>
      <w:lvlText w:val="%3)"/>
      <w:lvlJc w:val="left"/>
      <w:pPr>
        <w:ind w:left="1020" w:hanging="360"/>
      </w:pPr>
    </w:lvl>
    <w:lvl w:ilvl="3" w:tplc="D1B467F4">
      <w:start w:val="1"/>
      <w:numFmt w:val="decimal"/>
      <w:lvlText w:val="%4)"/>
      <w:lvlJc w:val="left"/>
      <w:pPr>
        <w:ind w:left="1020" w:hanging="360"/>
      </w:pPr>
    </w:lvl>
    <w:lvl w:ilvl="4" w:tplc="8E805B72">
      <w:start w:val="1"/>
      <w:numFmt w:val="decimal"/>
      <w:lvlText w:val="%5)"/>
      <w:lvlJc w:val="left"/>
      <w:pPr>
        <w:ind w:left="1020" w:hanging="360"/>
      </w:pPr>
    </w:lvl>
    <w:lvl w:ilvl="5" w:tplc="A2C4DC96">
      <w:start w:val="1"/>
      <w:numFmt w:val="decimal"/>
      <w:lvlText w:val="%6)"/>
      <w:lvlJc w:val="left"/>
      <w:pPr>
        <w:ind w:left="1020" w:hanging="360"/>
      </w:pPr>
    </w:lvl>
    <w:lvl w:ilvl="6" w:tplc="F4CCBB50">
      <w:start w:val="1"/>
      <w:numFmt w:val="decimal"/>
      <w:lvlText w:val="%7)"/>
      <w:lvlJc w:val="left"/>
      <w:pPr>
        <w:ind w:left="1020" w:hanging="360"/>
      </w:pPr>
    </w:lvl>
    <w:lvl w:ilvl="7" w:tplc="76483F8E">
      <w:start w:val="1"/>
      <w:numFmt w:val="decimal"/>
      <w:lvlText w:val="%8)"/>
      <w:lvlJc w:val="left"/>
      <w:pPr>
        <w:ind w:left="1020" w:hanging="360"/>
      </w:pPr>
    </w:lvl>
    <w:lvl w:ilvl="8" w:tplc="7E086B00">
      <w:start w:val="1"/>
      <w:numFmt w:val="decimal"/>
      <w:lvlText w:val="%9)"/>
      <w:lvlJc w:val="left"/>
      <w:pPr>
        <w:ind w:left="1020" w:hanging="360"/>
      </w:pPr>
    </w:lvl>
  </w:abstractNum>
  <w:abstractNum w:abstractNumId="5"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492981"/>
    <w:multiLevelType w:val="hybridMultilevel"/>
    <w:tmpl w:val="D86E7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594D7C"/>
    <w:multiLevelType w:val="hybridMultilevel"/>
    <w:tmpl w:val="03D09706"/>
    <w:lvl w:ilvl="0" w:tplc="63FC1CBC">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2DE7B19"/>
    <w:multiLevelType w:val="hybridMultilevel"/>
    <w:tmpl w:val="6228FD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B02406B"/>
    <w:multiLevelType w:val="hybridMultilevel"/>
    <w:tmpl w:val="31FE5458"/>
    <w:lvl w:ilvl="0" w:tplc="40707B9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865887"/>
    <w:multiLevelType w:val="hybridMultilevel"/>
    <w:tmpl w:val="D9F29364"/>
    <w:lvl w:ilvl="0" w:tplc="EB6C0FBE">
      <w:start w:val="1"/>
      <w:numFmt w:val="decimal"/>
      <w:pStyle w:val="Style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0440B3E"/>
    <w:multiLevelType w:val="multilevel"/>
    <w:tmpl w:val="9FAC3476"/>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5" w15:restartNumberingAfterBreak="0">
    <w:nsid w:val="23CD384E"/>
    <w:multiLevelType w:val="hybridMultilevel"/>
    <w:tmpl w:val="88C8D7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25F563FA"/>
    <w:multiLevelType w:val="hybridMultilevel"/>
    <w:tmpl w:val="7D360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151308"/>
    <w:multiLevelType w:val="hybridMultilevel"/>
    <w:tmpl w:val="AD229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321382"/>
    <w:multiLevelType w:val="hybridMultilevel"/>
    <w:tmpl w:val="0E567A82"/>
    <w:lvl w:ilvl="0" w:tplc="4A6CA2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E13033"/>
    <w:multiLevelType w:val="hybridMultilevel"/>
    <w:tmpl w:val="E47AA2C4"/>
    <w:lvl w:ilvl="0" w:tplc="A3EE5E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2D97569"/>
    <w:multiLevelType w:val="hybridMultilevel"/>
    <w:tmpl w:val="1C4AB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59C6721"/>
    <w:multiLevelType w:val="hybridMultilevel"/>
    <w:tmpl w:val="63203B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FDA4E02"/>
    <w:multiLevelType w:val="hybridMultilevel"/>
    <w:tmpl w:val="E2E2B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F1023A"/>
    <w:multiLevelType w:val="hybridMultilevel"/>
    <w:tmpl w:val="3F260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BF700AE"/>
    <w:multiLevelType w:val="hybridMultilevel"/>
    <w:tmpl w:val="72E8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A10787"/>
    <w:multiLevelType w:val="multilevel"/>
    <w:tmpl w:val="DCB48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9FB31FF"/>
    <w:multiLevelType w:val="hybridMultilevel"/>
    <w:tmpl w:val="70804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C514C57"/>
    <w:multiLevelType w:val="hybridMultilevel"/>
    <w:tmpl w:val="E10872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0404DC9"/>
    <w:multiLevelType w:val="hybridMultilevel"/>
    <w:tmpl w:val="B0D0B470"/>
    <w:lvl w:ilvl="0" w:tplc="ABEAA216">
      <w:start w:val="1"/>
      <w:numFmt w:val="bullet"/>
      <w:lvlText w:val=""/>
      <w:lvlJc w:val="left"/>
      <w:pPr>
        <w:ind w:left="1800" w:hanging="360"/>
      </w:pPr>
      <w:rPr>
        <w:rFonts w:ascii="Symbol" w:hAnsi="Symbol"/>
      </w:rPr>
    </w:lvl>
    <w:lvl w:ilvl="1" w:tplc="92ECE3E6">
      <w:start w:val="1"/>
      <w:numFmt w:val="bullet"/>
      <w:lvlText w:val=""/>
      <w:lvlJc w:val="left"/>
      <w:pPr>
        <w:ind w:left="1800" w:hanging="360"/>
      </w:pPr>
      <w:rPr>
        <w:rFonts w:ascii="Symbol" w:hAnsi="Symbol"/>
      </w:rPr>
    </w:lvl>
    <w:lvl w:ilvl="2" w:tplc="5C56AA7A">
      <w:start w:val="1"/>
      <w:numFmt w:val="bullet"/>
      <w:lvlText w:val=""/>
      <w:lvlJc w:val="left"/>
      <w:pPr>
        <w:ind w:left="2520" w:hanging="360"/>
      </w:pPr>
      <w:rPr>
        <w:rFonts w:ascii="Symbol" w:hAnsi="Symbol"/>
      </w:rPr>
    </w:lvl>
    <w:lvl w:ilvl="3" w:tplc="DC64A42E">
      <w:start w:val="1"/>
      <w:numFmt w:val="bullet"/>
      <w:lvlText w:val=""/>
      <w:lvlJc w:val="left"/>
      <w:pPr>
        <w:ind w:left="3240" w:hanging="360"/>
      </w:pPr>
      <w:rPr>
        <w:rFonts w:ascii="Symbol" w:hAnsi="Symbol"/>
      </w:rPr>
    </w:lvl>
    <w:lvl w:ilvl="4" w:tplc="3AF88BA2">
      <w:start w:val="1"/>
      <w:numFmt w:val="bullet"/>
      <w:lvlText w:val=""/>
      <w:lvlJc w:val="left"/>
      <w:pPr>
        <w:ind w:left="1800" w:hanging="360"/>
      </w:pPr>
      <w:rPr>
        <w:rFonts w:ascii="Symbol" w:hAnsi="Symbol"/>
      </w:rPr>
    </w:lvl>
    <w:lvl w:ilvl="5" w:tplc="37C6FDBC">
      <w:start w:val="1"/>
      <w:numFmt w:val="bullet"/>
      <w:lvlText w:val=""/>
      <w:lvlJc w:val="left"/>
      <w:pPr>
        <w:ind w:left="1800" w:hanging="360"/>
      </w:pPr>
      <w:rPr>
        <w:rFonts w:ascii="Symbol" w:hAnsi="Symbol"/>
      </w:rPr>
    </w:lvl>
    <w:lvl w:ilvl="6" w:tplc="C2C24208">
      <w:start w:val="1"/>
      <w:numFmt w:val="bullet"/>
      <w:lvlText w:val=""/>
      <w:lvlJc w:val="left"/>
      <w:pPr>
        <w:ind w:left="1800" w:hanging="360"/>
      </w:pPr>
      <w:rPr>
        <w:rFonts w:ascii="Symbol" w:hAnsi="Symbol"/>
      </w:rPr>
    </w:lvl>
    <w:lvl w:ilvl="7" w:tplc="7EF4BA82">
      <w:start w:val="1"/>
      <w:numFmt w:val="bullet"/>
      <w:lvlText w:val=""/>
      <w:lvlJc w:val="left"/>
      <w:pPr>
        <w:ind w:left="1800" w:hanging="360"/>
      </w:pPr>
      <w:rPr>
        <w:rFonts w:ascii="Symbol" w:hAnsi="Symbol"/>
      </w:rPr>
    </w:lvl>
    <w:lvl w:ilvl="8" w:tplc="827896CC">
      <w:start w:val="1"/>
      <w:numFmt w:val="bullet"/>
      <w:lvlText w:val=""/>
      <w:lvlJc w:val="left"/>
      <w:pPr>
        <w:ind w:left="1800" w:hanging="360"/>
      </w:pPr>
      <w:rPr>
        <w:rFonts w:ascii="Symbol" w:hAnsi="Symbol"/>
      </w:rPr>
    </w:lvl>
  </w:abstractNum>
  <w:abstractNum w:abstractNumId="3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8ED2648"/>
    <w:multiLevelType w:val="hybridMultilevel"/>
    <w:tmpl w:val="C0BC9BC2"/>
    <w:lvl w:ilvl="0" w:tplc="8D32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D187FA5"/>
    <w:multiLevelType w:val="hybridMultilevel"/>
    <w:tmpl w:val="C0BC9BC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6F525E87"/>
    <w:multiLevelType w:val="hybridMultilevel"/>
    <w:tmpl w:val="3A788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4404AB"/>
    <w:multiLevelType w:val="hybridMultilevel"/>
    <w:tmpl w:val="C0BC9BC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91C67C8"/>
    <w:multiLevelType w:val="hybridMultilevel"/>
    <w:tmpl w:val="6D9C7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CD58B5"/>
    <w:multiLevelType w:val="hybridMultilevel"/>
    <w:tmpl w:val="AF3C02C8"/>
    <w:lvl w:ilvl="0" w:tplc="5D60AB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4967077">
    <w:abstractNumId w:val="1"/>
  </w:num>
  <w:num w:numId="2" w16cid:durableId="1689138513">
    <w:abstractNumId w:val="14"/>
  </w:num>
  <w:num w:numId="3" w16cid:durableId="344208731">
    <w:abstractNumId w:val="5"/>
  </w:num>
  <w:num w:numId="4" w16cid:durableId="2056461592">
    <w:abstractNumId w:val="29"/>
  </w:num>
  <w:num w:numId="5" w16cid:durableId="1047489123">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0913880">
    <w:abstractNumId w:val="39"/>
  </w:num>
  <w:num w:numId="7" w16cid:durableId="1333026161">
    <w:abstractNumId w:val="13"/>
  </w:num>
  <w:num w:numId="8" w16cid:durableId="1667126096">
    <w:abstractNumId w:val="42"/>
  </w:num>
  <w:num w:numId="9" w16cid:durableId="1334140021">
    <w:abstractNumId w:val="19"/>
  </w:num>
  <w:num w:numId="10" w16cid:durableId="1440760378">
    <w:abstractNumId w:val="23"/>
  </w:num>
  <w:num w:numId="11" w16cid:durableId="1026830958">
    <w:abstractNumId w:val="0"/>
  </w:num>
  <w:num w:numId="12" w16cid:durableId="443572953">
    <w:abstractNumId w:val="15"/>
  </w:num>
  <w:num w:numId="13" w16cid:durableId="774130576">
    <w:abstractNumId w:val="17"/>
  </w:num>
  <w:num w:numId="14" w16cid:durableId="1350640525">
    <w:abstractNumId w:val="28"/>
  </w:num>
  <w:num w:numId="15" w16cid:durableId="154499504">
    <w:abstractNumId w:val="30"/>
  </w:num>
  <w:num w:numId="16" w16cid:durableId="80302129">
    <w:abstractNumId w:val="31"/>
  </w:num>
  <w:num w:numId="17" w16cid:durableId="1031300204">
    <w:abstractNumId w:val="4"/>
  </w:num>
  <w:num w:numId="18" w16cid:durableId="608702108">
    <w:abstractNumId w:val="37"/>
  </w:num>
  <w:num w:numId="19" w16cid:durableId="678049126">
    <w:abstractNumId w:val="25"/>
  </w:num>
  <w:num w:numId="20" w16cid:durableId="1156650149">
    <w:abstractNumId w:val="45"/>
  </w:num>
  <w:num w:numId="21" w16cid:durableId="1424184372">
    <w:abstractNumId w:val="43"/>
  </w:num>
  <w:num w:numId="22" w16cid:durableId="732384755">
    <w:abstractNumId w:val="12"/>
  </w:num>
  <w:num w:numId="23" w16cid:durableId="1599751269">
    <w:abstractNumId w:val="18"/>
  </w:num>
  <w:num w:numId="24" w16cid:durableId="1896430932">
    <w:abstractNumId w:val="6"/>
  </w:num>
  <w:num w:numId="25" w16cid:durableId="376586160">
    <w:abstractNumId w:val="44"/>
  </w:num>
  <w:num w:numId="26" w16cid:durableId="1254045317">
    <w:abstractNumId w:val="7"/>
  </w:num>
  <w:num w:numId="27" w16cid:durableId="1496147785">
    <w:abstractNumId w:val="21"/>
  </w:num>
  <w:num w:numId="28" w16cid:durableId="931817052">
    <w:abstractNumId w:val="40"/>
  </w:num>
  <w:num w:numId="29" w16cid:durableId="1520311495">
    <w:abstractNumId w:val="27"/>
  </w:num>
  <w:num w:numId="30" w16cid:durableId="1167210796">
    <w:abstractNumId w:val="9"/>
  </w:num>
  <w:num w:numId="31" w16cid:durableId="538132339">
    <w:abstractNumId w:val="34"/>
  </w:num>
  <w:num w:numId="32" w16cid:durableId="565262001">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4EB"/>
    <w:rsid w:val="000021A7"/>
    <w:rsid w:val="00002989"/>
    <w:rsid w:val="00002D03"/>
    <w:rsid w:val="00003515"/>
    <w:rsid w:val="0000375C"/>
    <w:rsid w:val="00003AA0"/>
    <w:rsid w:val="0000427C"/>
    <w:rsid w:val="000044AE"/>
    <w:rsid w:val="000044E4"/>
    <w:rsid w:val="000047EE"/>
    <w:rsid w:val="00004EA3"/>
    <w:rsid w:val="000054B5"/>
    <w:rsid w:val="0000580C"/>
    <w:rsid w:val="0000596D"/>
    <w:rsid w:val="00005E73"/>
    <w:rsid w:val="000061D0"/>
    <w:rsid w:val="00006279"/>
    <w:rsid w:val="000070C8"/>
    <w:rsid w:val="000071DB"/>
    <w:rsid w:val="00007A8C"/>
    <w:rsid w:val="00007C4C"/>
    <w:rsid w:val="0001013A"/>
    <w:rsid w:val="00010DF3"/>
    <w:rsid w:val="00011295"/>
    <w:rsid w:val="00011724"/>
    <w:rsid w:val="00011B66"/>
    <w:rsid w:val="000120BD"/>
    <w:rsid w:val="00012665"/>
    <w:rsid w:val="00013918"/>
    <w:rsid w:val="00013B3A"/>
    <w:rsid w:val="00013C7B"/>
    <w:rsid w:val="000147BB"/>
    <w:rsid w:val="00014A3E"/>
    <w:rsid w:val="00014B30"/>
    <w:rsid w:val="00016060"/>
    <w:rsid w:val="000166A9"/>
    <w:rsid w:val="000166C5"/>
    <w:rsid w:val="00016D5C"/>
    <w:rsid w:val="00017206"/>
    <w:rsid w:val="00017C8C"/>
    <w:rsid w:val="00017E4E"/>
    <w:rsid w:val="000200F4"/>
    <w:rsid w:val="00020112"/>
    <w:rsid w:val="0002037F"/>
    <w:rsid w:val="00020D98"/>
    <w:rsid w:val="0002193A"/>
    <w:rsid w:val="000223F9"/>
    <w:rsid w:val="0002258F"/>
    <w:rsid w:val="000225A6"/>
    <w:rsid w:val="00022881"/>
    <w:rsid w:val="00022AD4"/>
    <w:rsid w:val="00022B5A"/>
    <w:rsid w:val="0002372D"/>
    <w:rsid w:val="00024218"/>
    <w:rsid w:val="000242A4"/>
    <w:rsid w:val="00024B81"/>
    <w:rsid w:val="0002667C"/>
    <w:rsid w:val="00026B47"/>
    <w:rsid w:val="00026CDC"/>
    <w:rsid w:val="00026DD5"/>
    <w:rsid w:val="00026DE7"/>
    <w:rsid w:val="0002731B"/>
    <w:rsid w:val="0002737E"/>
    <w:rsid w:val="000273AB"/>
    <w:rsid w:val="00027769"/>
    <w:rsid w:val="000278FB"/>
    <w:rsid w:val="00030397"/>
    <w:rsid w:val="00030EF0"/>
    <w:rsid w:val="00031AF6"/>
    <w:rsid w:val="00031C91"/>
    <w:rsid w:val="00032057"/>
    <w:rsid w:val="00032847"/>
    <w:rsid w:val="00033559"/>
    <w:rsid w:val="000349F2"/>
    <w:rsid w:val="00035011"/>
    <w:rsid w:val="000357FC"/>
    <w:rsid w:val="00035C4D"/>
    <w:rsid w:val="00035F69"/>
    <w:rsid w:val="00036786"/>
    <w:rsid w:val="000373AE"/>
    <w:rsid w:val="00037BCA"/>
    <w:rsid w:val="00040714"/>
    <w:rsid w:val="0004094A"/>
    <w:rsid w:val="00040B25"/>
    <w:rsid w:val="00041DE4"/>
    <w:rsid w:val="000420D1"/>
    <w:rsid w:val="00042185"/>
    <w:rsid w:val="00042D51"/>
    <w:rsid w:val="00042EFF"/>
    <w:rsid w:val="000436F9"/>
    <w:rsid w:val="000437EE"/>
    <w:rsid w:val="00043C31"/>
    <w:rsid w:val="00043CC9"/>
    <w:rsid w:val="00043DD6"/>
    <w:rsid w:val="00043DE7"/>
    <w:rsid w:val="00044773"/>
    <w:rsid w:val="00044B71"/>
    <w:rsid w:val="00044DFE"/>
    <w:rsid w:val="00045410"/>
    <w:rsid w:val="000457ED"/>
    <w:rsid w:val="00046C87"/>
    <w:rsid w:val="00046DA6"/>
    <w:rsid w:val="00046F42"/>
    <w:rsid w:val="000473EE"/>
    <w:rsid w:val="000500FF"/>
    <w:rsid w:val="0005075B"/>
    <w:rsid w:val="000507B6"/>
    <w:rsid w:val="000511BB"/>
    <w:rsid w:val="00051C5D"/>
    <w:rsid w:val="000522F6"/>
    <w:rsid w:val="000523FF"/>
    <w:rsid w:val="00052561"/>
    <w:rsid w:val="00052601"/>
    <w:rsid w:val="00053095"/>
    <w:rsid w:val="000534D1"/>
    <w:rsid w:val="00053665"/>
    <w:rsid w:val="00053B45"/>
    <w:rsid w:val="000543EC"/>
    <w:rsid w:val="00054E0D"/>
    <w:rsid w:val="00055439"/>
    <w:rsid w:val="000556B7"/>
    <w:rsid w:val="000556DA"/>
    <w:rsid w:val="000557A8"/>
    <w:rsid w:val="00055D10"/>
    <w:rsid w:val="000560E4"/>
    <w:rsid w:val="000563A7"/>
    <w:rsid w:val="00056E61"/>
    <w:rsid w:val="00057004"/>
    <w:rsid w:val="00057684"/>
    <w:rsid w:val="00057739"/>
    <w:rsid w:val="00057873"/>
    <w:rsid w:val="00057B2C"/>
    <w:rsid w:val="00060AA6"/>
    <w:rsid w:val="000619F4"/>
    <w:rsid w:val="00062E3F"/>
    <w:rsid w:val="00063245"/>
    <w:rsid w:val="00063374"/>
    <w:rsid w:val="000638B7"/>
    <w:rsid w:val="00063B19"/>
    <w:rsid w:val="00063D8A"/>
    <w:rsid w:val="00063FAD"/>
    <w:rsid w:val="00064297"/>
    <w:rsid w:val="00064468"/>
    <w:rsid w:val="00064E7A"/>
    <w:rsid w:val="00064EF2"/>
    <w:rsid w:val="0006584C"/>
    <w:rsid w:val="00065B1A"/>
    <w:rsid w:val="000709C7"/>
    <w:rsid w:val="00070A8F"/>
    <w:rsid w:val="00070DE4"/>
    <w:rsid w:val="00071009"/>
    <w:rsid w:val="0007102A"/>
    <w:rsid w:val="000713BA"/>
    <w:rsid w:val="00071F86"/>
    <w:rsid w:val="00071FB8"/>
    <w:rsid w:val="0007243B"/>
    <w:rsid w:val="00073034"/>
    <w:rsid w:val="00073428"/>
    <w:rsid w:val="000738D0"/>
    <w:rsid w:val="000749ED"/>
    <w:rsid w:val="00075E92"/>
    <w:rsid w:val="000760C0"/>
    <w:rsid w:val="00076A95"/>
    <w:rsid w:val="00076D54"/>
    <w:rsid w:val="00077B29"/>
    <w:rsid w:val="00077D6A"/>
    <w:rsid w:val="00077DB7"/>
    <w:rsid w:val="00080A04"/>
    <w:rsid w:val="0008190E"/>
    <w:rsid w:val="00081A53"/>
    <w:rsid w:val="00082B27"/>
    <w:rsid w:val="000835C8"/>
    <w:rsid w:val="00083AD2"/>
    <w:rsid w:val="000840F6"/>
    <w:rsid w:val="000843A3"/>
    <w:rsid w:val="000843F4"/>
    <w:rsid w:val="000845E9"/>
    <w:rsid w:val="00084AA0"/>
    <w:rsid w:val="00084B4A"/>
    <w:rsid w:val="00084DF5"/>
    <w:rsid w:val="00084F25"/>
    <w:rsid w:val="0008563D"/>
    <w:rsid w:val="0008646F"/>
    <w:rsid w:val="000866ED"/>
    <w:rsid w:val="000868E6"/>
    <w:rsid w:val="00086992"/>
    <w:rsid w:val="00087238"/>
    <w:rsid w:val="000879AF"/>
    <w:rsid w:val="00087A07"/>
    <w:rsid w:val="00087A60"/>
    <w:rsid w:val="000903D2"/>
    <w:rsid w:val="0009080F"/>
    <w:rsid w:val="000911BF"/>
    <w:rsid w:val="00091616"/>
    <w:rsid w:val="00091AAA"/>
    <w:rsid w:val="00091C49"/>
    <w:rsid w:val="00092030"/>
    <w:rsid w:val="0009214B"/>
    <w:rsid w:val="000924AB"/>
    <w:rsid w:val="00092FB0"/>
    <w:rsid w:val="000939CD"/>
    <w:rsid w:val="00093C3F"/>
    <w:rsid w:val="0009426F"/>
    <w:rsid w:val="00094A78"/>
    <w:rsid w:val="000951EA"/>
    <w:rsid w:val="00095553"/>
    <w:rsid w:val="000957C1"/>
    <w:rsid w:val="000963E0"/>
    <w:rsid w:val="000966E9"/>
    <w:rsid w:val="00096FF3"/>
    <w:rsid w:val="0009720E"/>
    <w:rsid w:val="00097781"/>
    <w:rsid w:val="000977F7"/>
    <w:rsid w:val="000A0539"/>
    <w:rsid w:val="000A0544"/>
    <w:rsid w:val="000A069E"/>
    <w:rsid w:val="000A06D3"/>
    <w:rsid w:val="000A1306"/>
    <w:rsid w:val="000A131F"/>
    <w:rsid w:val="000A1815"/>
    <w:rsid w:val="000A1A08"/>
    <w:rsid w:val="000A1FB2"/>
    <w:rsid w:val="000A204B"/>
    <w:rsid w:val="000A3ACA"/>
    <w:rsid w:val="000A43DF"/>
    <w:rsid w:val="000A443F"/>
    <w:rsid w:val="000A4CF1"/>
    <w:rsid w:val="000A51F6"/>
    <w:rsid w:val="000A56A8"/>
    <w:rsid w:val="000A5A49"/>
    <w:rsid w:val="000A5CA8"/>
    <w:rsid w:val="000A5D81"/>
    <w:rsid w:val="000A64BD"/>
    <w:rsid w:val="000A67A3"/>
    <w:rsid w:val="000A6FC1"/>
    <w:rsid w:val="000A7B13"/>
    <w:rsid w:val="000A7B34"/>
    <w:rsid w:val="000A7D20"/>
    <w:rsid w:val="000A7D86"/>
    <w:rsid w:val="000B010E"/>
    <w:rsid w:val="000B047B"/>
    <w:rsid w:val="000B0764"/>
    <w:rsid w:val="000B07AB"/>
    <w:rsid w:val="000B0A40"/>
    <w:rsid w:val="000B0A96"/>
    <w:rsid w:val="000B180E"/>
    <w:rsid w:val="000B1D19"/>
    <w:rsid w:val="000B2267"/>
    <w:rsid w:val="000B22BD"/>
    <w:rsid w:val="000B2F08"/>
    <w:rsid w:val="000B4A41"/>
    <w:rsid w:val="000B4E7B"/>
    <w:rsid w:val="000B50B5"/>
    <w:rsid w:val="000B5500"/>
    <w:rsid w:val="000B5A27"/>
    <w:rsid w:val="000B5C42"/>
    <w:rsid w:val="000B6DBD"/>
    <w:rsid w:val="000B6DCE"/>
    <w:rsid w:val="000B6F35"/>
    <w:rsid w:val="000B6FF1"/>
    <w:rsid w:val="000B71D9"/>
    <w:rsid w:val="000B7EC2"/>
    <w:rsid w:val="000C082E"/>
    <w:rsid w:val="000C0D95"/>
    <w:rsid w:val="000C0EFC"/>
    <w:rsid w:val="000C10EE"/>
    <w:rsid w:val="000C18F5"/>
    <w:rsid w:val="000C1BCD"/>
    <w:rsid w:val="000C2006"/>
    <w:rsid w:val="000C2143"/>
    <w:rsid w:val="000C2A51"/>
    <w:rsid w:val="000C3437"/>
    <w:rsid w:val="000C35AB"/>
    <w:rsid w:val="000C38F4"/>
    <w:rsid w:val="000C41E1"/>
    <w:rsid w:val="000C52FE"/>
    <w:rsid w:val="000C59D4"/>
    <w:rsid w:val="000C5B16"/>
    <w:rsid w:val="000C6241"/>
    <w:rsid w:val="000C6682"/>
    <w:rsid w:val="000C6FB6"/>
    <w:rsid w:val="000D05E1"/>
    <w:rsid w:val="000D112B"/>
    <w:rsid w:val="000D1A60"/>
    <w:rsid w:val="000D1D68"/>
    <w:rsid w:val="000D1FC7"/>
    <w:rsid w:val="000D22DD"/>
    <w:rsid w:val="000D2BB4"/>
    <w:rsid w:val="000D39D2"/>
    <w:rsid w:val="000D46ED"/>
    <w:rsid w:val="000D4DEC"/>
    <w:rsid w:val="000D53E9"/>
    <w:rsid w:val="000D5AB3"/>
    <w:rsid w:val="000D6BCE"/>
    <w:rsid w:val="000D7B86"/>
    <w:rsid w:val="000D7BCC"/>
    <w:rsid w:val="000E05BA"/>
    <w:rsid w:val="000E0673"/>
    <w:rsid w:val="000E1569"/>
    <w:rsid w:val="000E23E0"/>
    <w:rsid w:val="000E28C8"/>
    <w:rsid w:val="000E2903"/>
    <w:rsid w:val="000E29B0"/>
    <w:rsid w:val="000E2DCD"/>
    <w:rsid w:val="000E348D"/>
    <w:rsid w:val="000E398C"/>
    <w:rsid w:val="000E3C8D"/>
    <w:rsid w:val="000E4588"/>
    <w:rsid w:val="000E45B2"/>
    <w:rsid w:val="000E49BD"/>
    <w:rsid w:val="000E5E4D"/>
    <w:rsid w:val="000E60CE"/>
    <w:rsid w:val="000E66C4"/>
    <w:rsid w:val="000E6E95"/>
    <w:rsid w:val="000E753C"/>
    <w:rsid w:val="000F016D"/>
    <w:rsid w:val="000F0CE8"/>
    <w:rsid w:val="000F0F5A"/>
    <w:rsid w:val="000F1208"/>
    <w:rsid w:val="000F156D"/>
    <w:rsid w:val="000F18F9"/>
    <w:rsid w:val="000F18FC"/>
    <w:rsid w:val="000F1D7D"/>
    <w:rsid w:val="000F200B"/>
    <w:rsid w:val="000F2995"/>
    <w:rsid w:val="000F2D46"/>
    <w:rsid w:val="000F44D7"/>
    <w:rsid w:val="000F5B2D"/>
    <w:rsid w:val="000F60D3"/>
    <w:rsid w:val="000F6483"/>
    <w:rsid w:val="000F6486"/>
    <w:rsid w:val="000F66F1"/>
    <w:rsid w:val="000F7230"/>
    <w:rsid w:val="000F79B3"/>
    <w:rsid w:val="000F7D3A"/>
    <w:rsid w:val="000F7F50"/>
    <w:rsid w:val="001001F1"/>
    <w:rsid w:val="00100870"/>
    <w:rsid w:val="00100CC0"/>
    <w:rsid w:val="00100D13"/>
    <w:rsid w:val="0010135D"/>
    <w:rsid w:val="0010186B"/>
    <w:rsid w:val="00101EFB"/>
    <w:rsid w:val="0010217F"/>
    <w:rsid w:val="0010275D"/>
    <w:rsid w:val="001038E9"/>
    <w:rsid w:val="00104196"/>
    <w:rsid w:val="001041B1"/>
    <w:rsid w:val="00105055"/>
    <w:rsid w:val="001058D7"/>
    <w:rsid w:val="00105A86"/>
    <w:rsid w:val="00105B02"/>
    <w:rsid w:val="00105B0E"/>
    <w:rsid w:val="0010730C"/>
    <w:rsid w:val="00107535"/>
    <w:rsid w:val="001100C3"/>
    <w:rsid w:val="00110F09"/>
    <w:rsid w:val="00111A0C"/>
    <w:rsid w:val="00111B2A"/>
    <w:rsid w:val="001125A5"/>
    <w:rsid w:val="00112F00"/>
    <w:rsid w:val="0011300F"/>
    <w:rsid w:val="00113027"/>
    <w:rsid w:val="0011336D"/>
    <w:rsid w:val="00113728"/>
    <w:rsid w:val="00113F21"/>
    <w:rsid w:val="001147D8"/>
    <w:rsid w:val="001148DA"/>
    <w:rsid w:val="00115116"/>
    <w:rsid w:val="0011567F"/>
    <w:rsid w:val="00115BAF"/>
    <w:rsid w:val="00115E40"/>
    <w:rsid w:val="00115F60"/>
    <w:rsid w:val="00115FBA"/>
    <w:rsid w:val="00116EEB"/>
    <w:rsid w:val="00116F52"/>
    <w:rsid w:val="00120090"/>
    <w:rsid w:val="00120431"/>
    <w:rsid w:val="00120A8F"/>
    <w:rsid w:val="0012172B"/>
    <w:rsid w:val="00121D59"/>
    <w:rsid w:val="00121DF3"/>
    <w:rsid w:val="0012245A"/>
    <w:rsid w:val="0012286A"/>
    <w:rsid w:val="00122E6F"/>
    <w:rsid w:val="001233B1"/>
    <w:rsid w:val="00123F82"/>
    <w:rsid w:val="00124347"/>
    <w:rsid w:val="00124BA3"/>
    <w:rsid w:val="00126073"/>
    <w:rsid w:val="001260DD"/>
    <w:rsid w:val="00126117"/>
    <w:rsid w:val="001265CC"/>
    <w:rsid w:val="001268CE"/>
    <w:rsid w:val="00127795"/>
    <w:rsid w:val="00127B98"/>
    <w:rsid w:val="001303D8"/>
    <w:rsid w:val="001311CA"/>
    <w:rsid w:val="00131226"/>
    <w:rsid w:val="001314B3"/>
    <w:rsid w:val="0013162F"/>
    <w:rsid w:val="00131BC2"/>
    <w:rsid w:val="0013310A"/>
    <w:rsid w:val="00133795"/>
    <w:rsid w:val="001354A9"/>
    <w:rsid w:val="00135B0A"/>
    <w:rsid w:val="00135E92"/>
    <w:rsid w:val="00135FD5"/>
    <w:rsid w:val="00136227"/>
    <w:rsid w:val="00136654"/>
    <w:rsid w:val="00137157"/>
    <w:rsid w:val="00137BAD"/>
    <w:rsid w:val="00137D59"/>
    <w:rsid w:val="00141B93"/>
    <w:rsid w:val="00141F4F"/>
    <w:rsid w:val="00142469"/>
    <w:rsid w:val="0014271B"/>
    <w:rsid w:val="00142F2D"/>
    <w:rsid w:val="001434EF"/>
    <w:rsid w:val="00143F37"/>
    <w:rsid w:val="00143F61"/>
    <w:rsid w:val="00144CCD"/>
    <w:rsid w:val="00145269"/>
    <w:rsid w:val="001452BB"/>
    <w:rsid w:val="0014572A"/>
    <w:rsid w:val="00145EEC"/>
    <w:rsid w:val="001461C7"/>
    <w:rsid w:val="0014685E"/>
    <w:rsid w:val="00146865"/>
    <w:rsid w:val="00146EA0"/>
    <w:rsid w:val="00147D17"/>
    <w:rsid w:val="001506D1"/>
    <w:rsid w:val="001511AF"/>
    <w:rsid w:val="001516F6"/>
    <w:rsid w:val="00152321"/>
    <w:rsid w:val="00152335"/>
    <w:rsid w:val="001525F6"/>
    <w:rsid w:val="00152EF0"/>
    <w:rsid w:val="001534FD"/>
    <w:rsid w:val="0015363C"/>
    <w:rsid w:val="00153DD4"/>
    <w:rsid w:val="00154B38"/>
    <w:rsid w:val="00154B48"/>
    <w:rsid w:val="00155244"/>
    <w:rsid w:val="0015535F"/>
    <w:rsid w:val="001568A7"/>
    <w:rsid w:val="00157920"/>
    <w:rsid w:val="001579D1"/>
    <w:rsid w:val="0016000A"/>
    <w:rsid w:val="00160056"/>
    <w:rsid w:val="00160624"/>
    <w:rsid w:val="001606CE"/>
    <w:rsid w:val="00160AF4"/>
    <w:rsid w:val="00160FE7"/>
    <w:rsid w:val="00161597"/>
    <w:rsid w:val="001618A0"/>
    <w:rsid w:val="001618C0"/>
    <w:rsid w:val="00162765"/>
    <w:rsid w:val="00162F6B"/>
    <w:rsid w:val="001630AB"/>
    <w:rsid w:val="00163106"/>
    <w:rsid w:val="00163E2A"/>
    <w:rsid w:val="00164C1E"/>
    <w:rsid w:val="00165770"/>
    <w:rsid w:val="00165FDD"/>
    <w:rsid w:val="00166739"/>
    <w:rsid w:val="001669A7"/>
    <w:rsid w:val="00167D8D"/>
    <w:rsid w:val="001704AA"/>
    <w:rsid w:val="00170516"/>
    <w:rsid w:val="00170A98"/>
    <w:rsid w:val="00171790"/>
    <w:rsid w:val="00171904"/>
    <w:rsid w:val="001719C4"/>
    <w:rsid w:val="00171A70"/>
    <w:rsid w:val="00171DBD"/>
    <w:rsid w:val="00171EDB"/>
    <w:rsid w:val="00172344"/>
    <w:rsid w:val="001724A7"/>
    <w:rsid w:val="00172673"/>
    <w:rsid w:val="00172C76"/>
    <w:rsid w:val="001731F3"/>
    <w:rsid w:val="00173691"/>
    <w:rsid w:val="00173751"/>
    <w:rsid w:val="00173757"/>
    <w:rsid w:val="00173B2C"/>
    <w:rsid w:val="00173D18"/>
    <w:rsid w:val="00173FB5"/>
    <w:rsid w:val="001745DE"/>
    <w:rsid w:val="001749C9"/>
    <w:rsid w:val="00174BCB"/>
    <w:rsid w:val="00175501"/>
    <w:rsid w:val="00175A2B"/>
    <w:rsid w:val="0017697F"/>
    <w:rsid w:val="00176FE1"/>
    <w:rsid w:val="001773AB"/>
    <w:rsid w:val="00177648"/>
    <w:rsid w:val="00177824"/>
    <w:rsid w:val="00177AC3"/>
    <w:rsid w:val="00177D09"/>
    <w:rsid w:val="00177E42"/>
    <w:rsid w:val="001812A0"/>
    <w:rsid w:val="00181829"/>
    <w:rsid w:val="001820E0"/>
    <w:rsid w:val="00182381"/>
    <w:rsid w:val="00184039"/>
    <w:rsid w:val="00184A09"/>
    <w:rsid w:val="001851BB"/>
    <w:rsid w:val="00185385"/>
    <w:rsid w:val="00185477"/>
    <w:rsid w:val="001854FB"/>
    <w:rsid w:val="0018594C"/>
    <w:rsid w:val="00186422"/>
    <w:rsid w:val="00186546"/>
    <w:rsid w:val="00187277"/>
    <w:rsid w:val="001874D9"/>
    <w:rsid w:val="00187989"/>
    <w:rsid w:val="00187D60"/>
    <w:rsid w:val="0019069D"/>
    <w:rsid w:val="00191DD7"/>
    <w:rsid w:val="0019286C"/>
    <w:rsid w:val="00192ADE"/>
    <w:rsid w:val="00193233"/>
    <w:rsid w:val="00193397"/>
    <w:rsid w:val="00193588"/>
    <w:rsid w:val="00193642"/>
    <w:rsid w:val="0019396F"/>
    <w:rsid w:val="00193CE3"/>
    <w:rsid w:val="00194391"/>
    <w:rsid w:val="00194E7D"/>
    <w:rsid w:val="00195B5F"/>
    <w:rsid w:val="00196016"/>
    <w:rsid w:val="00196D62"/>
    <w:rsid w:val="00196D77"/>
    <w:rsid w:val="00197360"/>
    <w:rsid w:val="00197BBA"/>
    <w:rsid w:val="001A00A2"/>
    <w:rsid w:val="001A0D20"/>
    <w:rsid w:val="001A14E1"/>
    <w:rsid w:val="001A154D"/>
    <w:rsid w:val="001A1C39"/>
    <w:rsid w:val="001A20C1"/>
    <w:rsid w:val="001A23AC"/>
    <w:rsid w:val="001A2767"/>
    <w:rsid w:val="001A2811"/>
    <w:rsid w:val="001A2ACA"/>
    <w:rsid w:val="001A30A9"/>
    <w:rsid w:val="001A338F"/>
    <w:rsid w:val="001A4E18"/>
    <w:rsid w:val="001A5B4F"/>
    <w:rsid w:val="001A5FE5"/>
    <w:rsid w:val="001A6E4A"/>
    <w:rsid w:val="001A6FFC"/>
    <w:rsid w:val="001A771B"/>
    <w:rsid w:val="001A77EA"/>
    <w:rsid w:val="001B138D"/>
    <w:rsid w:val="001B1F98"/>
    <w:rsid w:val="001B22B5"/>
    <w:rsid w:val="001B2791"/>
    <w:rsid w:val="001B283C"/>
    <w:rsid w:val="001B2C10"/>
    <w:rsid w:val="001B37F1"/>
    <w:rsid w:val="001B3A3A"/>
    <w:rsid w:val="001B3FE6"/>
    <w:rsid w:val="001B40CC"/>
    <w:rsid w:val="001B4380"/>
    <w:rsid w:val="001B49A7"/>
    <w:rsid w:val="001B4D62"/>
    <w:rsid w:val="001B4D71"/>
    <w:rsid w:val="001B5124"/>
    <w:rsid w:val="001B5629"/>
    <w:rsid w:val="001B569F"/>
    <w:rsid w:val="001B6034"/>
    <w:rsid w:val="001B66FD"/>
    <w:rsid w:val="001B6745"/>
    <w:rsid w:val="001B67BF"/>
    <w:rsid w:val="001B766D"/>
    <w:rsid w:val="001C05D3"/>
    <w:rsid w:val="001C070B"/>
    <w:rsid w:val="001C25B3"/>
    <w:rsid w:val="001C2772"/>
    <w:rsid w:val="001C2A1E"/>
    <w:rsid w:val="001C2D12"/>
    <w:rsid w:val="001C34B7"/>
    <w:rsid w:val="001C39F6"/>
    <w:rsid w:val="001C3D5F"/>
    <w:rsid w:val="001C3E76"/>
    <w:rsid w:val="001C456E"/>
    <w:rsid w:val="001C45C5"/>
    <w:rsid w:val="001C5588"/>
    <w:rsid w:val="001C61CE"/>
    <w:rsid w:val="001C649A"/>
    <w:rsid w:val="001C66FE"/>
    <w:rsid w:val="001C67C3"/>
    <w:rsid w:val="001C6CB3"/>
    <w:rsid w:val="001C730E"/>
    <w:rsid w:val="001C763F"/>
    <w:rsid w:val="001C7750"/>
    <w:rsid w:val="001D0290"/>
    <w:rsid w:val="001D0692"/>
    <w:rsid w:val="001D121A"/>
    <w:rsid w:val="001D1D08"/>
    <w:rsid w:val="001D1D1F"/>
    <w:rsid w:val="001D21B4"/>
    <w:rsid w:val="001D2D51"/>
    <w:rsid w:val="001D3010"/>
    <w:rsid w:val="001D31EC"/>
    <w:rsid w:val="001D35DE"/>
    <w:rsid w:val="001D3648"/>
    <w:rsid w:val="001D3A3B"/>
    <w:rsid w:val="001D3DF4"/>
    <w:rsid w:val="001D4277"/>
    <w:rsid w:val="001D4566"/>
    <w:rsid w:val="001D4908"/>
    <w:rsid w:val="001D4BF5"/>
    <w:rsid w:val="001D534A"/>
    <w:rsid w:val="001D645C"/>
    <w:rsid w:val="001D6904"/>
    <w:rsid w:val="001D6D22"/>
    <w:rsid w:val="001D75FA"/>
    <w:rsid w:val="001D7600"/>
    <w:rsid w:val="001D7A2E"/>
    <w:rsid w:val="001E0790"/>
    <w:rsid w:val="001E115C"/>
    <w:rsid w:val="001E119D"/>
    <w:rsid w:val="001E1DCE"/>
    <w:rsid w:val="001E1E8A"/>
    <w:rsid w:val="001E22C1"/>
    <w:rsid w:val="001E23FC"/>
    <w:rsid w:val="001E2927"/>
    <w:rsid w:val="001E329E"/>
    <w:rsid w:val="001E3353"/>
    <w:rsid w:val="001E389C"/>
    <w:rsid w:val="001E4201"/>
    <w:rsid w:val="001E4D4D"/>
    <w:rsid w:val="001E4FEB"/>
    <w:rsid w:val="001E5709"/>
    <w:rsid w:val="001E616B"/>
    <w:rsid w:val="001E6651"/>
    <w:rsid w:val="001E6B59"/>
    <w:rsid w:val="001E7D18"/>
    <w:rsid w:val="001F0C0E"/>
    <w:rsid w:val="001F1122"/>
    <w:rsid w:val="001F1596"/>
    <w:rsid w:val="001F1B8F"/>
    <w:rsid w:val="001F1E85"/>
    <w:rsid w:val="001F233F"/>
    <w:rsid w:val="001F475F"/>
    <w:rsid w:val="001F482F"/>
    <w:rsid w:val="001F5036"/>
    <w:rsid w:val="001F522F"/>
    <w:rsid w:val="001F5945"/>
    <w:rsid w:val="001F5F17"/>
    <w:rsid w:val="001F60FB"/>
    <w:rsid w:val="001F61CC"/>
    <w:rsid w:val="001F7485"/>
    <w:rsid w:val="001F7E4D"/>
    <w:rsid w:val="002003F6"/>
    <w:rsid w:val="0020079D"/>
    <w:rsid w:val="00200918"/>
    <w:rsid w:val="0020226D"/>
    <w:rsid w:val="002024D3"/>
    <w:rsid w:val="00202BEC"/>
    <w:rsid w:val="0020350D"/>
    <w:rsid w:val="00203A14"/>
    <w:rsid w:val="00203A7E"/>
    <w:rsid w:val="00203DA9"/>
    <w:rsid w:val="002040D3"/>
    <w:rsid w:val="00205C17"/>
    <w:rsid w:val="00205CC5"/>
    <w:rsid w:val="00205CE6"/>
    <w:rsid w:val="00206090"/>
    <w:rsid w:val="002062E3"/>
    <w:rsid w:val="00206646"/>
    <w:rsid w:val="00206D3E"/>
    <w:rsid w:val="00206DA6"/>
    <w:rsid w:val="00207159"/>
    <w:rsid w:val="002071F3"/>
    <w:rsid w:val="00207219"/>
    <w:rsid w:val="00207D6C"/>
    <w:rsid w:val="00210A9D"/>
    <w:rsid w:val="00210BCE"/>
    <w:rsid w:val="00210BEB"/>
    <w:rsid w:val="0021190D"/>
    <w:rsid w:val="00211F3A"/>
    <w:rsid w:val="00212768"/>
    <w:rsid w:val="0021277B"/>
    <w:rsid w:val="00213689"/>
    <w:rsid w:val="00213DFE"/>
    <w:rsid w:val="00214851"/>
    <w:rsid w:val="00214896"/>
    <w:rsid w:val="0021542E"/>
    <w:rsid w:val="0021567B"/>
    <w:rsid w:val="00215D9F"/>
    <w:rsid w:val="002168B0"/>
    <w:rsid w:val="002169EF"/>
    <w:rsid w:val="00216BE5"/>
    <w:rsid w:val="00216E62"/>
    <w:rsid w:val="00217666"/>
    <w:rsid w:val="00217866"/>
    <w:rsid w:val="00217EFC"/>
    <w:rsid w:val="00220081"/>
    <w:rsid w:val="00220197"/>
    <w:rsid w:val="002205BC"/>
    <w:rsid w:val="00220A19"/>
    <w:rsid w:val="00221681"/>
    <w:rsid w:val="002217BC"/>
    <w:rsid w:val="00221836"/>
    <w:rsid w:val="00221AFC"/>
    <w:rsid w:val="00221F4E"/>
    <w:rsid w:val="002222AA"/>
    <w:rsid w:val="00222CFC"/>
    <w:rsid w:val="00223407"/>
    <w:rsid w:val="0022395A"/>
    <w:rsid w:val="002244BA"/>
    <w:rsid w:val="002249CE"/>
    <w:rsid w:val="00226240"/>
    <w:rsid w:val="002269EB"/>
    <w:rsid w:val="00226FB3"/>
    <w:rsid w:val="00227660"/>
    <w:rsid w:val="002278B6"/>
    <w:rsid w:val="00230657"/>
    <w:rsid w:val="00230FB5"/>
    <w:rsid w:val="00231619"/>
    <w:rsid w:val="00231697"/>
    <w:rsid w:val="002316FD"/>
    <w:rsid w:val="0023194B"/>
    <w:rsid w:val="00232A4C"/>
    <w:rsid w:val="002330A3"/>
    <w:rsid w:val="00233314"/>
    <w:rsid w:val="00233C51"/>
    <w:rsid w:val="00234AAD"/>
    <w:rsid w:val="00235D3C"/>
    <w:rsid w:val="00235D45"/>
    <w:rsid w:val="00236060"/>
    <w:rsid w:val="00236E6D"/>
    <w:rsid w:val="0023733D"/>
    <w:rsid w:val="00237437"/>
    <w:rsid w:val="0023782B"/>
    <w:rsid w:val="002409AD"/>
    <w:rsid w:val="00241048"/>
    <w:rsid w:val="00241191"/>
    <w:rsid w:val="002417B6"/>
    <w:rsid w:val="00241E8A"/>
    <w:rsid w:val="0024281E"/>
    <w:rsid w:val="002429B0"/>
    <w:rsid w:val="002429E5"/>
    <w:rsid w:val="0024304D"/>
    <w:rsid w:val="0024361B"/>
    <w:rsid w:val="00243DE9"/>
    <w:rsid w:val="00243FB3"/>
    <w:rsid w:val="00244577"/>
    <w:rsid w:val="00245787"/>
    <w:rsid w:val="0024598C"/>
    <w:rsid w:val="00245ADA"/>
    <w:rsid w:val="00245B3F"/>
    <w:rsid w:val="00245FBB"/>
    <w:rsid w:val="002465E5"/>
    <w:rsid w:val="00246789"/>
    <w:rsid w:val="00246A11"/>
    <w:rsid w:val="00247115"/>
    <w:rsid w:val="00247AFA"/>
    <w:rsid w:val="00247F4E"/>
    <w:rsid w:val="00250E58"/>
    <w:rsid w:val="00250E70"/>
    <w:rsid w:val="00251122"/>
    <w:rsid w:val="002521BA"/>
    <w:rsid w:val="002524EA"/>
    <w:rsid w:val="002525B9"/>
    <w:rsid w:val="002525DC"/>
    <w:rsid w:val="0025267B"/>
    <w:rsid w:val="00252709"/>
    <w:rsid w:val="00253C4D"/>
    <w:rsid w:val="00253C63"/>
    <w:rsid w:val="00254171"/>
    <w:rsid w:val="002557B1"/>
    <w:rsid w:val="00255B64"/>
    <w:rsid w:val="00256D36"/>
    <w:rsid w:val="00257238"/>
    <w:rsid w:val="00257806"/>
    <w:rsid w:val="00260621"/>
    <w:rsid w:val="00260739"/>
    <w:rsid w:val="00260AA5"/>
    <w:rsid w:val="0026136C"/>
    <w:rsid w:val="00262043"/>
    <w:rsid w:val="0026209C"/>
    <w:rsid w:val="002620DF"/>
    <w:rsid w:val="00262293"/>
    <w:rsid w:val="0026262F"/>
    <w:rsid w:val="00262BF2"/>
    <w:rsid w:val="00262C61"/>
    <w:rsid w:val="00262D4B"/>
    <w:rsid w:val="0026332A"/>
    <w:rsid w:val="00263B2A"/>
    <w:rsid w:val="00263D93"/>
    <w:rsid w:val="00264014"/>
    <w:rsid w:val="002641B4"/>
    <w:rsid w:val="0026437D"/>
    <w:rsid w:val="00264E0E"/>
    <w:rsid w:val="00264FC7"/>
    <w:rsid w:val="0026520A"/>
    <w:rsid w:val="00265FFA"/>
    <w:rsid w:val="0026675D"/>
    <w:rsid w:val="00266950"/>
    <w:rsid w:val="00266D76"/>
    <w:rsid w:val="002674DC"/>
    <w:rsid w:val="002700C4"/>
    <w:rsid w:val="0027061D"/>
    <w:rsid w:val="0027109B"/>
    <w:rsid w:val="00271343"/>
    <w:rsid w:val="00271877"/>
    <w:rsid w:val="00272792"/>
    <w:rsid w:val="00273A1C"/>
    <w:rsid w:val="00273FCE"/>
    <w:rsid w:val="00274009"/>
    <w:rsid w:val="002746D3"/>
    <w:rsid w:val="00274E04"/>
    <w:rsid w:val="00275D9D"/>
    <w:rsid w:val="00275E11"/>
    <w:rsid w:val="00276535"/>
    <w:rsid w:val="0027664D"/>
    <w:rsid w:val="00276AF2"/>
    <w:rsid w:val="00276EC2"/>
    <w:rsid w:val="002779E2"/>
    <w:rsid w:val="00277E6B"/>
    <w:rsid w:val="002807FA"/>
    <w:rsid w:val="00280BE3"/>
    <w:rsid w:val="00280CEF"/>
    <w:rsid w:val="0028149F"/>
    <w:rsid w:val="0028172D"/>
    <w:rsid w:val="002820A4"/>
    <w:rsid w:val="002825DD"/>
    <w:rsid w:val="00283259"/>
    <w:rsid w:val="002832B8"/>
    <w:rsid w:val="00283F81"/>
    <w:rsid w:val="00284E62"/>
    <w:rsid w:val="00284FAE"/>
    <w:rsid w:val="002850CD"/>
    <w:rsid w:val="00285CD5"/>
    <w:rsid w:val="00286707"/>
    <w:rsid w:val="00287079"/>
    <w:rsid w:val="0028757A"/>
    <w:rsid w:val="00287A6F"/>
    <w:rsid w:val="00287E36"/>
    <w:rsid w:val="00287E3B"/>
    <w:rsid w:val="00290798"/>
    <w:rsid w:val="0029093B"/>
    <w:rsid w:val="00290995"/>
    <w:rsid w:val="00290A84"/>
    <w:rsid w:val="00290C44"/>
    <w:rsid w:val="002914DD"/>
    <w:rsid w:val="00291A68"/>
    <w:rsid w:val="00291A83"/>
    <w:rsid w:val="002922C6"/>
    <w:rsid w:val="002940F2"/>
    <w:rsid w:val="00294979"/>
    <w:rsid w:val="00294A87"/>
    <w:rsid w:val="00294F6B"/>
    <w:rsid w:val="002957AA"/>
    <w:rsid w:val="002958E5"/>
    <w:rsid w:val="00295B50"/>
    <w:rsid w:val="002970B8"/>
    <w:rsid w:val="0029767A"/>
    <w:rsid w:val="002A050D"/>
    <w:rsid w:val="002A0659"/>
    <w:rsid w:val="002A0966"/>
    <w:rsid w:val="002A0F69"/>
    <w:rsid w:val="002A1303"/>
    <w:rsid w:val="002A1995"/>
    <w:rsid w:val="002A3095"/>
    <w:rsid w:val="002A377D"/>
    <w:rsid w:val="002A416A"/>
    <w:rsid w:val="002A4220"/>
    <w:rsid w:val="002A493F"/>
    <w:rsid w:val="002A4A78"/>
    <w:rsid w:val="002A4D97"/>
    <w:rsid w:val="002A53F3"/>
    <w:rsid w:val="002A545C"/>
    <w:rsid w:val="002A5A3C"/>
    <w:rsid w:val="002A76B2"/>
    <w:rsid w:val="002A7A35"/>
    <w:rsid w:val="002B017A"/>
    <w:rsid w:val="002B06BB"/>
    <w:rsid w:val="002B0773"/>
    <w:rsid w:val="002B0791"/>
    <w:rsid w:val="002B114F"/>
    <w:rsid w:val="002B1C5F"/>
    <w:rsid w:val="002B202D"/>
    <w:rsid w:val="002B2E06"/>
    <w:rsid w:val="002B3182"/>
    <w:rsid w:val="002B3599"/>
    <w:rsid w:val="002B3A50"/>
    <w:rsid w:val="002B48E5"/>
    <w:rsid w:val="002B4DBB"/>
    <w:rsid w:val="002B50F3"/>
    <w:rsid w:val="002B51B7"/>
    <w:rsid w:val="002B61BE"/>
    <w:rsid w:val="002B6497"/>
    <w:rsid w:val="002B6A00"/>
    <w:rsid w:val="002B778B"/>
    <w:rsid w:val="002B7E9E"/>
    <w:rsid w:val="002C03C8"/>
    <w:rsid w:val="002C06C2"/>
    <w:rsid w:val="002C160C"/>
    <w:rsid w:val="002C1701"/>
    <w:rsid w:val="002C1ACD"/>
    <w:rsid w:val="002C1D6A"/>
    <w:rsid w:val="002C1FA9"/>
    <w:rsid w:val="002C2865"/>
    <w:rsid w:val="002C3000"/>
    <w:rsid w:val="002C33AA"/>
    <w:rsid w:val="002C35ED"/>
    <w:rsid w:val="002C3775"/>
    <w:rsid w:val="002C3F4C"/>
    <w:rsid w:val="002C4BA9"/>
    <w:rsid w:val="002C56FE"/>
    <w:rsid w:val="002C5A9F"/>
    <w:rsid w:val="002C5C50"/>
    <w:rsid w:val="002C5E61"/>
    <w:rsid w:val="002C5F9B"/>
    <w:rsid w:val="002C63EE"/>
    <w:rsid w:val="002C7078"/>
    <w:rsid w:val="002C7A5A"/>
    <w:rsid w:val="002D005A"/>
    <w:rsid w:val="002D0BA7"/>
    <w:rsid w:val="002D0F84"/>
    <w:rsid w:val="002D13C1"/>
    <w:rsid w:val="002D1481"/>
    <w:rsid w:val="002D1A2C"/>
    <w:rsid w:val="002D1B93"/>
    <w:rsid w:val="002D1CF8"/>
    <w:rsid w:val="002D1FB9"/>
    <w:rsid w:val="002D1FE4"/>
    <w:rsid w:val="002D2124"/>
    <w:rsid w:val="002D2411"/>
    <w:rsid w:val="002D2C52"/>
    <w:rsid w:val="002D470F"/>
    <w:rsid w:val="002D5461"/>
    <w:rsid w:val="002D61E8"/>
    <w:rsid w:val="002D6816"/>
    <w:rsid w:val="002D7625"/>
    <w:rsid w:val="002D77EC"/>
    <w:rsid w:val="002D7E5C"/>
    <w:rsid w:val="002D7EB3"/>
    <w:rsid w:val="002D7F0D"/>
    <w:rsid w:val="002E0619"/>
    <w:rsid w:val="002E0BF3"/>
    <w:rsid w:val="002E1439"/>
    <w:rsid w:val="002E2492"/>
    <w:rsid w:val="002E2D78"/>
    <w:rsid w:val="002E2DF5"/>
    <w:rsid w:val="002E36CA"/>
    <w:rsid w:val="002E3A48"/>
    <w:rsid w:val="002E4366"/>
    <w:rsid w:val="002E45F3"/>
    <w:rsid w:val="002E481E"/>
    <w:rsid w:val="002E5444"/>
    <w:rsid w:val="002E5738"/>
    <w:rsid w:val="002E68A8"/>
    <w:rsid w:val="002E6C46"/>
    <w:rsid w:val="002E6D39"/>
    <w:rsid w:val="002E6E14"/>
    <w:rsid w:val="002E752C"/>
    <w:rsid w:val="002E7F20"/>
    <w:rsid w:val="002F0AA2"/>
    <w:rsid w:val="002F15D8"/>
    <w:rsid w:val="002F19FB"/>
    <w:rsid w:val="002F2406"/>
    <w:rsid w:val="002F2E3C"/>
    <w:rsid w:val="002F39C4"/>
    <w:rsid w:val="002F3B61"/>
    <w:rsid w:val="002F3BAA"/>
    <w:rsid w:val="002F3E53"/>
    <w:rsid w:val="002F4270"/>
    <w:rsid w:val="002F47F1"/>
    <w:rsid w:val="002F504D"/>
    <w:rsid w:val="002F5581"/>
    <w:rsid w:val="002F57DD"/>
    <w:rsid w:val="002F5A4D"/>
    <w:rsid w:val="002F5D6C"/>
    <w:rsid w:val="002F6CD0"/>
    <w:rsid w:val="002F73D3"/>
    <w:rsid w:val="002F73F8"/>
    <w:rsid w:val="002F7716"/>
    <w:rsid w:val="002F78A8"/>
    <w:rsid w:val="003004F6"/>
    <w:rsid w:val="00300948"/>
    <w:rsid w:val="00300D85"/>
    <w:rsid w:val="00300E52"/>
    <w:rsid w:val="00302361"/>
    <w:rsid w:val="003023A5"/>
    <w:rsid w:val="00302407"/>
    <w:rsid w:val="00302BF1"/>
    <w:rsid w:val="00303B12"/>
    <w:rsid w:val="003046B3"/>
    <w:rsid w:val="00304B27"/>
    <w:rsid w:val="00304BD0"/>
    <w:rsid w:val="00304E96"/>
    <w:rsid w:val="00305217"/>
    <w:rsid w:val="00305F7F"/>
    <w:rsid w:val="00306176"/>
    <w:rsid w:val="003061CA"/>
    <w:rsid w:val="00307022"/>
    <w:rsid w:val="00307955"/>
    <w:rsid w:val="00307AC5"/>
    <w:rsid w:val="00307D77"/>
    <w:rsid w:val="0031015D"/>
    <w:rsid w:val="00310357"/>
    <w:rsid w:val="003103C9"/>
    <w:rsid w:val="003105AA"/>
    <w:rsid w:val="00311699"/>
    <w:rsid w:val="003116F1"/>
    <w:rsid w:val="00311F1A"/>
    <w:rsid w:val="003121AC"/>
    <w:rsid w:val="0031239D"/>
    <w:rsid w:val="00313038"/>
    <w:rsid w:val="00313C54"/>
    <w:rsid w:val="00313E9E"/>
    <w:rsid w:val="00314B54"/>
    <w:rsid w:val="003150D5"/>
    <w:rsid w:val="00315266"/>
    <w:rsid w:val="00315583"/>
    <w:rsid w:val="00315C87"/>
    <w:rsid w:val="00316805"/>
    <w:rsid w:val="0031694C"/>
    <w:rsid w:val="003203C1"/>
    <w:rsid w:val="0032071D"/>
    <w:rsid w:val="00320F78"/>
    <w:rsid w:val="00321229"/>
    <w:rsid w:val="0032131F"/>
    <w:rsid w:val="0032237E"/>
    <w:rsid w:val="003226CF"/>
    <w:rsid w:val="00322738"/>
    <w:rsid w:val="003229C7"/>
    <w:rsid w:val="003230F4"/>
    <w:rsid w:val="003246BD"/>
    <w:rsid w:val="0032471E"/>
    <w:rsid w:val="00324B76"/>
    <w:rsid w:val="00325E4D"/>
    <w:rsid w:val="00326612"/>
    <w:rsid w:val="0032688B"/>
    <w:rsid w:val="0032705E"/>
    <w:rsid w:val="00327083"/>
    <w:rsid w:val="003271D2"/>
    <w:rsid w:val="00327691"/>
    <w:rsid w:val="003276E7"/>
    <w:rsid w:val="003278CF"/>
    <w:rsid w:val="00327B1D"/>
    <w:rsid w:val="00330499"/>
    <w:rsid w:val="00330814"/>
    <w:rsid w:val="00330A23"/>
    <w:rsid w:val="00330FEB"/>
    <w:rsid w:val="00332281"/>
    <w:rsid w:val="00332999"/>
    <w:rsid w:val="003329BE"/>
    <w:rsid w:val="00332DA4"/>
    <w:rsid w:val="00333973"/>
    <w:rsid w:val="0033430C"/>
    <w:rsid w:val="00334A8E"/>
    <w:rsid w:val="00334AD6"/>
    <w:rsid w:val="00334E0E"/>
    <w:rsid w:val="00334F2A"/>
    <w:rsid w:val="00336007"/>
    <w:rsid w:val="003362D9"/>
    <w:rsid w:val="0033653D"/>
    <w:rsid w:val="003365D3"/>
    <w:rsid w:val="00336951"/>
    <w:rsid w:val="00336EE0"/>
    <w:rsid w:val="003407EF"/>
    <w:rsid w:val="003415F0"/>
    <w:rsid w:val="00341AC6"/>
    <w:rsid w:val="00341CF6"/>
    <w:rsid w:val="00342292"/>
    <w:rsid w:val="00342F5E"/>
    <w:rsid w:val="00343429"/>
    <w:rsid w:val="003436EC"/>
    <w:rsid w:val="00343C91"/>
    <w:rsid w:val="0034459E"/>
    <w:rsid w:val="00344841"/>
    <w:rsid w:val="003448A8"/>
    <w:rsid w:val="00344FE8"/>
    <w:rsid w:val="0034570A"/>
    <w:rsid w:val="00345BC8"/>
    <w:rsid w:val="00345D25"/>
    <w:rsid w:val="003469E0"/>
    <w:rsid w:val="00347723"/>
    <w:rsid w:val="0034793C"/>
    <w:rsid w:val="00347DB7"/>
    <w:rsid w:val="003504A7"/>
    <w:rsid w:val="003507A3"/>
    <w:rsid w:val="003510E6"/>
    <w:rsid w:val="003514B9"/>
    <w:rsid w:val="0035155B"/>
    <w:rsid w:val="00351B76"/>
    <w:rsid w:val="00352691"/>
    <w:rsid w:val="00352B20"/>
    <w:rsid w:val="00352D0D"/>
    <w:rsid w:val="003538E4"/>
    <w:rsid w:val="00353B36"/>
    <w:rsid w:val="003549D6"/>
    <w:rsid w:val="00354EEE"/>
    <w:rsid w:val="00356C38"/>
    <w:rsid w:val="0035768F"/>
    <w:rsid w:val="003576D5"/>
    <w:rsid w:val="00360CC8"/>
    <w:rsid w:val="00360E9D"/>
    <w:rsid w:val="00361162"/>
    <w:rsid w:val="0036139B"/>
    <w:rsid w:val="00361D7E"/>
    <w:rsid w:val="00362107"/>
    <w:rsid w:val="00362754"/>
    <w:rsid w:val="00362EAC"/>
    <w:rsid w:val="00362F7A"/>
    <w:rsid w:val="003636CE"/>
    <w:rsid w:val="0036471E"/>
    <w:rsid w:val="00364A87"/>
    <w:rsid w:val="00366054"/>
    <w:rsid w:val="003664B2"/>
    <w:rsid w:val="0036656F"/>
    <w:rsid w:val="00366899"/>
    <w:rsid w:val="00367842"/>
    <w:rsid w:val="00367B4A"/>
    <w:rsid w:val="003708F7"/>
    <w:rsid w:val="00370E93"/>
    <w:rsid w:val="00371275"/>
    <w:rsid w:val="00371559"/>
    <w:rsid w:val="0037163A"/>
    <w:rsid w:val="00371B0E"/>
    <w:rsid w:val="00373292"/>
    <w:rsid w:val="003743AA"/>
    <w:rsid w:val="0037470F"/>
    <w:rsid w:val="003748B9"/>
    <w:rsid w:val="00376101"/>
    <w:rsid w:val="003776FB"/>
    <w:rsid w:val="00380C81"/>
    <w:rsid w:val="0038177C"/>
    <w:rsid w:val="0038204E"/>
    <w:rsid w:val="003820C3"/>
    <w:rsid w:val="00382623"/>
    <w:rsid w:val="00382775"/>
    <w:rsid w:val="00382E8B"/>
    <w:rsid w:val="003835AF"/>
    <w:rsid w:val="003836EB"/>
    <w:rsid w:val="00384C7F"/>
    <w:rsid w:val="00385110"/>
    <w:rsid w:val="00385475"/>
    <w:rsid w:val="0038610B"/>
    <w:rsid w:val="0038634E"/>
    <w:rsid w:val="00386549"/>
    <w:rsid w:val="00386551"/>
    <w:rsid w:val="00386D6E"/>
    <w:rsid w:val="00386F30"/>
    <w:rsid w:val="00387024"/>
    <w:rsid w:val="003874BD"/>
    <w:rsid w:val="00390080"/>
    <w:rsid w:val="00390F1A"/>
    <w:rsid w:val="003911AB"/>
    <w:rsid w:val="00391C55"/>
    <w:rsid w:val="00392672"/>
    <w:rsid w:val="0039365D"/>
    <w:rsid w:val="00393CF0"/>
    <w:rsid w:val="003940E0"/>
    <w:rsid w:val="003948A3"/>
    <w:rsid w:val="003949EE"/>
    <w:rsid w:val="00394B57"/>
    <w:rsid w:val="00394C8E"/>
    <w:rsid w:val="003963D3"/>
    <w:rsid w:val="00396787"/>
    <w:rsid w:val="00396968"/>
    <w:rsid w:val="00397A1C"/>
    <w:rsid w:val="00397BAD"/>
    <w:rsid w:val="00397D41"/>
    <w:rsid w:val="003A0084"/>
    <w:rsid w:val="003A07D1"/>
    <w:rsid w:val="003A1641"/>
    <w:rsid w:val="003A1940"/>
    <w:rsid w:val="003A1A71"/>
    <w:rsid w:val="003A1F54"/>
    <w:rsid w:val="003A2108"/>
    <w:rsid w:val="003A2405"/>
    <w:rsid w:val="003A258B"/>
    <w:rsid w:val="003A2956"/>
    <w:rsid w:val="003A394E"/>
    <w:rsid w:val="003A3CC8"/>
    <w:rsid w:val="003A42B6"/>
    <w:rsid w:val="003A43BD"/>
    <w:rsid w:val="003A44B9"/>
    <w:rsid w:val="003A47C4"/>
    <w:rsid w:val="003A50AB"/>
    <w:rsid w:val="003A5D58"/>
    <w:rsid w:val="003A5D87"/>
    <w:rsid w:val="003A61A8"/>
    <w:rsid w:val="003A6204"/>
    <w:rsid w:val="003A690E"/>
    <w:rsid w:val="003A7533"/>
    <w:rsid w:val="003A761C"/>
    <w:rsid w:val="003A7C9C"/>
    <w:rsid w:val="003A7DD1"/>
    <w:rsid w:val="003B02C3"/>
    <w:rsid w:val="003B05E8"/>
    <w:rsid w:val="003B06CE"/>
    <w:rsid w:val="003B0709"/>
    <w:rsid w:val="003B0F3E"/>
    <w:rsid w:val="003B1059"/>
    <w:rsid w:val="003B1921"/>
    <w:rsid w:val="003B1A5F"/>
    <w:rsid w:val="003B1B58"/>
    <w:rsid w:val="003B22C4"/>
    <w:rsid w:val="003B273E"/>
    <w:rsid w:val="003B3193"/>
    <w:rsid w:val="003B3376"/>
    <w:rsid w:val="003B3F0B"/>
    <w:rsid w:val="003B4209"/>
    <w:rsid w:val="003B4657"/>
    <w:rsid w:val="003B4E0B"/>
    <w:rsid w:val="003B5195"/>
    <w:rsid w:val="003B5C48"/>
    <w:rsid w:val="003B6339"/>
    <w:rsid w:val="003B64BB"/>
    <w:rsid w:val="003B64BC"/>
    <w:rsid w:val="003B6A14"/>
    <w:rsid w:val="003B717A"/>
    <w:rsid w:val="003B77F5"/>
    <w:rsid w:val="003B7CCF"/>
    <w:rsid w:val="003C033F"/>
    <w:rsid w:val="003C039C"/>
    <w:rsid w:val="003C0CA1"/>
    <w:rsid w:val="003C105E"/>
    <w:rsid w:val="003C1575"/>
    <w:rsid w:val="003C2524"/>
    <w:rsid w:val="003C2B6B"/>
    <w:rsid w:val="003C2B95"/>
    <w:rsid w:val="003C49CA"/>
    <w:rsid w:val="003C5F25"/>
    <w:rsid w:val="003C6011"/>
    <w:rsid w:val="003C60DC"/>
    <w:rsid w:val="003C6566"/>
    <w:rsid w:val="003C663F"/>
    <w:rsid w:val="003C686A"/>
    <w:rsid w:val="003C6A6C"/>
    <w:rsid w:val="003C6DFC"/>
    <w:rsid w:val="003C75BC"/>
    <w:rsid w:val="003C7A24"/>
    <w:rsid w:val="003D07F7"/>
    <w:rsid w:val="003D1D01"/>
    <w:rsid w:val="003D2EA3"/>
    <w:rsid w:val="003D2F58"/>
    <w:rsid w:val="003D32CF"/>
    <w:rsid w:val="003D375B"/>
    <w:rsid w:val="003D3B53"/>
    <w:rsid w:val="003D3DFB"/>
    <w:rsid w:val="003D4A35"/>
    <w:rsid w:val="003D4A8C"/>
    <w:rsid w:val="003D4B2E"/>
    <w:rsid w:val="003D4CA7"/>
    <w:rsid w:val="003D504D"/>
    <w:rsid w:val="003D5275"/>
    <w:rsid w:val="003D54E3"/>
    <w:rsid w:val="003D56B1"/>
    <w:rsid w:val="003D57B3"/>
    <w:rsid w:val="003D63DF"/>
    <w:rsid w:val="003D737F"/>
    <w:rsid w:val="003D7C50"/>
    <w:rsid w:val="003E005B"/>
    <w:rsid w:val="003E0D02"/>
    <w:rsid w:val="003E108E"/>
    <w:rsid w:val="003E2944"/>
    <w:rsid w:val="003E34EB"/>
    <w:rsid w:val="003E55B9"/>
    <w:rsid w:val="003E5D69"/>
    <w:rsid w:val="003E5EA7"/>
    <w:rsid w:val="003E6576"/>
    <w:rsid w:val="003E66C9"/>
    <w:rsid w:val="003E7415"/>
    <w:rsid w:val="003F02FF"/>
    <w:rsid w:val="003F03A5"/>
    <w:rsid w:val="003F041D"/>
    <w:rsid w:val="003F0B56"/>
    <w:rsid w:val="003F0CF2"/>
    <w:rsid w:val="003F1E60"/>
    <w:rsid w:val="003F2427"/>
    <w:rsid w:val="003F397E"/>
    <w:rsid w:val="003F3B19"/>
    <w:rsid w:val="003F3BCF"/>
    <w:rsid w:val="003F54BC"/>
    <w:rsid w:val="003F55A9"/>
    <w:rsid w:val="003F596D"/>
    <w:rsid w:val="003F64DA"/>
    <w:rsid w:val="003F6BD7"/>
    <w:rsid w:val="003F6D83"/>
    <w:rsid w:val="003F72A6"/>
    <w:rsid w:val="003F7474"/>
    <w:rsid w:val="003F7794"/>
    <w:rsid w:val="003F7810"/>
    <w:rsid w:val="003F7FED"/>
    <w:rsid w:val="004004E1"/>
    <w:rsid w:val="004012F7"/>
    <w:rsid w:val="00401A63"/>
    <w:rsid w:val="00401E05"/>
    <w:rsid w:val="00402126"/>
    <w:rsid w:val="00403836"/>
    <w:rsid w:val="00403975"/>
    <w:rsid w:val="00403DF9"/>
    <w:rsid w:val="00403E48"/>
    <w:rsid w:val="00404616"/>
    <w:rsid w:val="00404EE3"/>
    <w:rsid w:val="0040536C"/>
    <w:rsid w:val="0040621D"/>
    <w:rsid w:val="00407340"/>
    <w:rsid w:val="00407B6A"/>
    <w:rsid w:val="00410279"/>
    <w:rsid w:val="0041031B"/>
    <w:rsid w:val="004104ED"/>
    <w:rsid w:val="00410BDB"/>
    <w:rsid w:val="00410C13"/>
    <w:rsid w:val="004112E0"/>
    <w:rsid w:val="0041178E"/>
    <w:rsid w:val="0041199D"/>
    <w:rsid w:val="004120E5"/>
    <w:rsid w:val="0041331C"/>
    <w:rsid w:val="00413EDA"/>
    <w:rsid w:val="004140E4"/>
    <w:rsid w:val="0041410F"/>
    <w:rsid w:val="00414400"/>
    <w:rsid w:val="004147F9"/>
    <w:rsid w:val="00414E0C"/>
    <w:rsid w:val="0041526C"/>
    <w:rsid w:val="00415CDA"/>
    <w:rsid w:val="00417286"/>
    <w:rsid w:val="00417974"/>
    <w:rsid w:val="00420910"/>
    <w:rsid w:val="004216C1"/>
    <w:rsid w:val="004217C5"/>
    <w:rsid w:val="00421CD4"/>
    <w:rsid w:val="004220D3"/>
    <w:rsid w:val="004223B8"/>
    <w:rsid w:val="004224C0"/>
    <w:rsid w:val="00423C9D"/>
    <w:rsid w:val="00423D0B"/>
    <w:rsid w:val="00423FFF"/>
    <w:rsid w:val="004248E5"/>
    <w:rsid w:val="00424B2D"/>
    <w:rsid w:val="00424BF2"/>
    <w:rsid w:val="0042538D"/>
    <w:rsid w:val="004255A7"/>
    <w:rsid w:val="00425906"/>
    <w:rsid w:val="00425CD8"/>
    <w:rsid w:val="0042665E"/>
    <w:rsid w:val="00426680"/>
    <w:rsid w:val="004274B9"/>
    <w:rsid w:val="00427833"/>
    <w:rsid w:val="00430AA3"/>
    <w:rsid w:val="00430EDD"/>
    <w:rsid w:val="00431356"/>
    <w:rsid w:val="0043160A"/>
    <w:rsid w:val="0043188B"/>
    <w:rsid w:val="00431C20"/>
    <w:rsid w:val="00431EBE"/>
    <w:rsid w:val="0043285C"/>
    <w:rsid w:val="00432C89"/>
    <w:rsid w:val="004349D6"/>
    <w:rsid w:val="00434F90"/>
    <w:rsid w:val="004353B2"/>
    <w:rsid w:val="00436434"/>
    <w:rsid w:val="00436482"/>
    <w:rsid w:val="00436886"/>
    <w:rsid w:val="004376B7"/>
    <w:rsid w:val="00437B50"/>
    <w:rsid w:val="00440838"/>
    <w:rsid w:val="00441443"/>
    <w:rsid w:val="00441756"/>
    <w:rsid w:val="004417D1"/>
    <w:rsid w:val="0044196E"/>
    <w:rsid w:val="00441CA6"/>
    <w:rsid w:val="004420CA"/>
    <w:rsid w:val="00442D75"/>
    <w:rsid w:val="004438A2"/>
    <w:rsid w:val="00443E70"/>
    <w:rsid w:val="00444339"/>
    <w:rsid w:val="0044447D"/>
    <w:rsid w:val="00444DDD"/>
    <w:rsid w:val="004455FA"/>
    <w:rsid w:val="00445C72"/>
    <w:rsid w:val="00445D07"/>
    <w:rsid w:val="00445E88"/>
    <w:rsid w:val="0044625A"/>
    <w:rsid w:val="00446343"/>
    <w:rsid w:val="00446459"/>
    <w:rsid w:val="00446540"/>
    <w:rsid w:val="00447257"/>
    <w:rsid w:val="0045040E"/>
    <w:rsid w:val="00450449"/>
    <w:rsid w:val="004504C6"/>
    <w:rsid w:val="00451691"/>
    <w:rsid w:val="00451EAB"/>
    <w:rsid w:val="004527B3"/>
    <w:rsid w:val="00452F52"/>
    <w:rsid w:val="0045308E"/>
    <w:rsid w:val="004533FD"/>
    <w:rsid w:val="0045377C"/>
    <w:rsid w:val="004538AE"/>
    <w:rsid w:val="0045394E"/>
    <w:rsid w:val="00453B5F"/>
    <w:rsid w:val="0045402A"/>
    <w:rsid w:val="00455166"/>
    <w:rsid w:val="004566D9"/>
    <w:rsid w:val="00456954"/>
    <w:rsid w:val="00456A0B"/>
    <w:rsid w:val="00457E6B"/>
    <w:rsid w:val="00457F87"/>
    <w:rsid w:val="00460521"/>
    <w:rsid w:val="004608EE"/>
    <w:rsid w:val="004614F6"/>
    <w:rsid w:val="00461574"/>
    <w:rsid w:val="004617B2"/>
    <w:rsid w:val="00461D3D"/>
    <w:rsid w:val="00461EBF"/>
    <w:rsid w:val="0046227B"/>
    <w:rsid w:val="00462F6C"/>
    <w:rsid w:val="004630E8"/>
    <w:rsid w:val="004634B8"/>
    <w:rsid w:val="00463A26"/>
    <w:rsid w:val="00464A74"/>
    <w:rsid w:val="00465DFF"/>
    <w:rsid w:val="004664D8"/>
    <w:rsid w:val="004668AF"/>
    <w:rsid w:val="00466D0A"/>
    <w:rsid w:val="00466F57"/>
    <w:rsid w:val="0046780D"/>
    <w:rsid w:val="00467843"/>
    <w:rsid w:val="00467E9E"/>
    <w:rsid w:val="004700B7"/>
    <w:rsid w:val="00470978"/>
    <w:rsid w:val="00470A69"/>
    <w:rsid w:val="00470C7A"/>
    <w:rsid w:val="00470FFF"/>
    <w:rsid w:val="0047179F"/>
    <w:rsid w:val="00471AC8"/>
    <w:rsid w:val="00471BE0"/>
    <w:rsid w:val="00471CEB"/>
    <w:rsid w:val="004727EB"/>
    <w:rsid w:val="00472827"/>
    <w:rsid w:val="00472DB6"/>
    <w:rsid w:val="00473331"/>
    <w:rsid w:val="00474210"/>
    <w:rsid w:val="0047445A"/>
    <w:rsid w:val="00474A47"/>
    <w:rsid w:val="0047506C"/>
    <w:rsid w:val="00475211"/>
    <w:rsid w:val="004753C2"/>
    <w:rsid w:val="00475E91"/>
    <w:rsid w:val="004764FF"/>
    <w:rsid w:val="00476745"/>
    <w:rsid w:val="00477628"/>
    <w:rsid w:val="004777D5"/>
    <w:rsid w:val="004778E6"/>
    <w:rsid w:val="0047791F"/>
    <w:rsid w:val="00480273"/>
    <w:rsid w:val="00480641"/>
    <w:rsid w:val="004808D8"/>
    <w:rsid w:val="00480B96"/>
    <w:rsid w:val="00480D84"/>
    <w:rsid w:val="00481723"/>
    <w:rsid w:val="00481DDC"/>
    <w:rsid w:val="00481E37"/>
    <w:rsid w:val="00482370"/>
    <w:rsid w:val="0048269C"/>
    <w:rsid w:val="00482843"/>
    <w:rsid w:val="0048303E"/>
    <w:rsid w:val="00483546"/>
    <w:rsid w:val="004838F9"/>
    <w:rsid w:val="00483AF3"/>
    <w:rsid w:val="00483B7C"/>
    <w:rsid w:val="00484582"/>
    <w:rsid w:val="00485870"/>
    <w:rsid w:val="0048596F"/>
    <w:rsid w:val="00485C57"/>
    <w:rsid w:val="00490BE2"/>
    <w:rsid w:val="004911F8"/>
    <w:rsid w:val="0049160F"/>
    <w:rsid w:val="00491B43"/>
    <w:rsid w:val="004920F6"/>
    <w:rsid w:val="004923B3"/>
    <w:rsid w:val="004925FE"/>
    <w:rsid w:val="004926EA"/>
    <w:rsid w:val="004928C1"/>
    <w:rsid w:val="0049342E"/>
    <w:rsid w:val="00494307"/>
    <w:rsid w:val="004947E7"/>
    <w:rsid w:val="00495615"/>
    <w:rsid w:val="00495792"/>
    <w:rsid w:val="00495880"/>
    <w:rsid w:val="00495A35"/>
    <w:rsid w:val="00495C07"/>
    <w:rsid w:val="0049665B"/>
    <w:rsid w:val="00496B68"/>
    <w:rsid w:val="00496DDF"/>
    <w:rsid w:val="00497001"/>
    <w:rsid w:val="0049747B"/>
    <w:rsid w:val="004977C8"/>
    <w:rsid w:val="00497BD0"/>
    <w:rsid w:val="004A096F"/>
    <w:rsid w:val="004A0E3E"/>
    <w:rsid w:val="004A0E81"/>
    <w:rsid w:val="004A19A1"/>
    <w:rsid w:val="004A1A20"/>
    <w:rsid w:val="004A1B3F"/>
    <w:rsid w:val="004A22F6"/>
    <w:rsid w:val="004A242B"/>
    <w:rsid w:val="004A28ED"/>
    <w:rsid w:val="004A2A35"/>
    <w:rsid w:val="004A2E0E"/>
    <w:rsid w:val="004A3366"/>
    <w:rsid w:val="004A3801"/>
    <w:rsid w:val="004A3BCF"/>
    <w:rsid w:val="004A401E"/>
    <w:rsid w:val="004A4412"/>
    <w:rsid w:val="004A44AE"/>
    <w:rsid w:val="004A47A2"/>
    <w:rsid w:val="004A47D0"/>
    <w:rsid w:val="004A4D44"/>
    <w:rsid w:val="004A5139"/>
    <w:rsid w:val="004A5163"/>
    <w:rsid w:val="004A5AA2"/>
    <w:rsid w:val="004A5C06"/>
    <w:rsid w:val="004A677F"/>
    <w:rsid w:val="004A67E8"/>
    <w:rsid w:val="004A6BB0"/>
    <w:rsid w:val="004A6C6F"/>
    <w:rsid w:val="004A7338"/>
    <w:rsid w:val="004B00B4"/>
    <w:rsid w:val="004B01E4"/>
    <w:rsid w:val="004B06E1"/>
    <w:rsid w:val="004B18BD"/>
    <w:rsid w:val="004B18E2"/>
    <w:rsid w:val="004B23AD"/>
    <w:rsid w:val="004B2511"/>
    <w:rsid w:val="004B28BD"/>
    <w:rsid w:val="004B2ECB"/>
    <w:rsid w:val="004B320D"/>
    <w:rsid w:val="004B3415"/>
    <w:rsid w:val="004B3A58"/>
    <w:rsid w:val="004B3DF2"/>
    <w:rsid w:val="004B3F22"/>
    <w:rsid w:val="004B42A5"/>
    <w:rsid w:val="004B4357"/>
    <w:rsid w:val="004B4F57"/>
    <w:rsid w:val="004B6F38"/>
    <w:rsid w:val="004B76E7"/>
    <w:rsid w:val="004B7D16"/>
    <w:rsid w:val="004C0A19"/>
    <w:rsid w:val="004C0F05"/>
    <w:rsid w:val="004C1478"/>
    <w:rsid w:val="004C1504"/>
    <w:rsid w:val="004C1851"/>
    <w:rsid w:val="004C28FB"/>
    <w:rsid w:val="004C3161"/>
    <w:rsid w:val="004C3348"/>
    <w:rsid w:val="004C3431"/>
    <w:rsid w:val="004C3818"/>
    <w:rsid w:val="004C3AAE"/>
    <w:rsid w:val="004C3D11"/>
    <w:rsid w:val="004C3D65"/>
    <w:rsid w:val="004C3FF8"/>
    <w:rsid w:val="004C415A"/>
    <w:rsid w:val="004C4496"/>
    <w:rsid w:val="004C4B6E"/>
    <w:rsid w:val="004C4B86"/>
    <w:rsid w:val="004C50E4"/>
    <w:rsid w:val="004C514A"/>
    <w:rsid w:val="004C5276"/>
    <w:rsid w:val="004C564E"/>
    <w:rsid w:val="004C57E3"/>
    <w:rsid w:val="004C5DAA"/>
    <w:rsid w:val="004C6455"/>
    <w:rsid w:val="004C66A8"/>
    <w:rsid w:val="004C6865"/>
    <w:rsid w:val="004C69CF"/>
    <w:rsid w:val="004C7310"/>
    <w:rsid w:val="004C7A15"/>
    <w:rsid w:val="004C7AE3"/>
    <w:rsid w:val="004D0328"/>
    <w:rsid w:val="004D05F5"/>
    <w:rsid w:val="004D0BAF"/>
    <w:rsid w:val="004D11C0"/>
    <w:rsid w:val="004D1464"/>
    <w:rsid w:val="004D1E94"/>
    <w:rsid w:val="004D3054"/>
    <w:rsid w:val="004D3690"/>
    <w:rsid w:val="004D36B1"/>
    <w:rsid w:val="004D3F47"/>
    <w:rsid w:val="004D5335"/>
    <w:rsid w:val="004D53A0"/>
    <w:rsid w:val="004D5D8B"/>
    <w:rsid w:val="004D5E97"/>
    <w:rsid w:val="004D6472"/>
    <w:rsid w:val="004D6A00"/>
    <w:rsid w:val="004D6CFA"/>
    <w:rsid w:val="004D6D39"/>
    <w:rsid w:val="004D70BA"/>
    <w:rsid w:val="004E06A1"/>
    <w:rsid w:val="004E0C52"/>
    <w:rsid w:val="004E171F"/>
    <w:rsid w:val="004E17FC"/>
    <w:rsid w:val="004E1FDB"/>
    <w:rsid w:val="004E28E0"/>
    <w:rsid w:val="004E2CF7"/>
    <w:rsid w:val="004E384A"/>
    <w:rsid w:val="004E39F5"/>
    <w:rsid w:val="004E3A1D"/>
    <w:rsid w:val="004E3F2E"/>
    <w:rsid w:val="004E43B1"/>
    <w:rsid w:val="004E4677"/>
    <w:rsid w:val="004E4A87"/>
    <w:rsid w:val="004E4C98"/>
    <w:rsid w:val="004E6EF8"/>
    <w:rsid w:val="004E7939"/>
    <w:rsid w:val="004F020D"/>
    <w:rsid w:val="004F0436"/>
    <w:rsid w:val="004F08CE"/>
    <w:rsid w:val="004F0ACF"/>
    <w:rsid w:val="004F153E"/>
    <w:rsid w:val="004F207E"/>
    <w:rsid w:val="004F2800"/>
    <w:rsid w:val="004F293F"/>
    <w:rsid w:val="004F2F97"/>
    <w:rsid w:val="004F3D67"/>
    <w:rsid w:val="004F45AA"/>
    <w:rsid w:val="004F4A7A"/>
    <w:rsid w:val="004F52AC"/>
    <w:rsid w:val="004F59CC"/>
    <w:rsid w:val="004F5CA2"/>
    <w:rsid w:val="004F5E4C"/>
    <w:rsid w:val="004F62E5"/>
    <w:rsid w:val="004F7012"/>
    <w:rsid w:val="004F7B79"/>
    <w:rsid w:val="004F7D74"/>
    <w:rsid w:val="004F7E2F"/>
    <w:rsid w:val="004F7EAC"/>
    <w:rsid w:val="005002D1"/>
    <w:rsid w:val="005002EE"/>
    <w:rsid w:val="00500703"/>
    <w:rsid w:val="00500F0C"/>
    <w:rsid w:val="0050113C"/>
    <w:rsid w:val="00501373"/>
    <w:rsid w:val="00501581"/>
    <w:rsid w:val="00501753"/>
    <w:rsid w:val="00503548"/>
    <w:rsid w:val="00503DA2"/>
    <w:rsid w:val="00504669"/>
    <w:rsid w:val="00504FB2"/>
    <w:rsid w:val="005058CF"/>
    <w:rsid w:val="00505E4F"/>
    <w:rsid w:val="00506CDF"/>
    <w:rsid w:val="00507133"/>
    <w:rsid w:val="00507668"/>
    <w:rsid w:val="00507CA1"/>
    <w:rsid w:val="00510B44"/>
    <w:rsid w:val="00510D1F"/>
    <w:rsid w:val="0051103F"/>
    <w:rsid w:val="00511102"/>
    <w:rsid w:val="00511B08"/>
    <w:rsid w:val="0051210E"/>
    <w:rsid w:val="00513B41"/>
    <w:rsid w:val="00513BB6"/>
    <w:rsid w:val="00513DD2"/>
    <w:rsid w:val="00514C41"/>
    <w:rsid w:val="00514D18"/>
    <w:rsid w:val="00515124"/>
    <w:rsid w:val="005151FF"/>
    <w:rsid w:val="005166C7"/>
    <w:rsid w:val="00516CDB"/>
    <w:rsid w:val="0051757B"/>
    <w:rsid w:val="005178F5"/>
    <w:rsid w:val="00517974"/>
    <w:rsid w:val="00517A75"/>
    <w:rsid w:val="00517F23"/>
    <w:rsid w:val="0052021E"/>
    <w:rsid w:val="0052146E"/>
    <w:rsid w:val="005219AD"/>
    <w:rsid w:val="00521B56"/>
    <w:rsid w:val="00522A4A"/>
    <w:rsid w:val="0052341B"/>
    <w:rsid w:val="00523A8C"/>
    <w:rsid w:val="00524125"/>
    <w:rsid w:val="005259F7"/>
    <w:rsid w:val="005262C6"/>
    <w:rsid w:val="00526311"/>
    <w:rsid w:val="005263AA"/>
    <w:rsid w:val="005263B6"/>
    <w:rsid w:val="00526BCC"/>
    <w:rsid w:val="00526C99"/>
    <w:rsid w:val="00527038"/>
    <w:rsid w:val="00527404"/>
    <w:rsid w:val="005276E5"/>
    <w:rsid w:val="00530128"/>
    <w:rsid w:val="0053071A"/>
    <w:rsid w:val="005320BF"/>
    <w:rsid w:val="00532279"/>
    <w:rsid w:val="005327C7"/>
    <w:rsid w:val="00532A10"/>
    <w:rsid w:val="00532D97"/>
    <w:rsid w:val="00533321"/>
    <w:rsid w:val="005337A2"/>
    <w:rsid w:val="00534081"/>
    <w:rsid w:val="00534835"/>
    <w:rsid w:val="005349C0"/>
    <w:rsid w:val="00534F83"/>
    <w:rsid w:val="005357FD"/>
    <w:rsid w:val="00535C10"/>
    <w:rsid w:val="005366BD"/>
    <w:rsid w:val="005367C9"/>
    <w:rsid w:val="00540048"/>
    <w:rsid w:val="005403C9"/>
    <w:rsid w:val="00540F44"/>
    <w:rsid w:val="00541413"/>
    <w:rsid w:val="00541BBA"/>
    <w:rsid w:val="00542408"/>
    <w:rsid w:val="005427A3"/>
    <w:rsid w:val="0054291D"/>
    <w:rsid w:val="00542FCE"/>
    <w:rsid w:val="00543160"/>
    <w:rsid w:val="00543C9B"/>
    <w:rsid w:val="00543DC3"/>
    <w:rsid w:val="005441F6"/>
    <w:rsid w:val="00544388"/>
    <w:rsid w:val="005446A2"/>
    <w:rsid w:val="00544C2C"/>
    <w:rsid w:val="00544D91"/>
    <w:rsid w:val="00545142"/>
    <w:rsid w:val="00545ABE"/>
    <w:rsid w:val="0054648E"/>
    <w:rsid w:val="0054664C"/>
    <w:rsid w:val="00546D52"/>
    <w:rsid w:val="0054777C"/>
    <w:rsid w:val="0055069C"/>
    <w:rsid w:val="005507DE"/>
    <w:rsid w:val="00550C6B"/>
    <w:rsid w:val="00551328"/>
    <w:rsid w:val="00551690"/>
    <w:rsid w:val="00551D05"/>
    <w:rsid w:val="0055228A"/>
    <w:rsid w:val="00552782"/>
    <w:rsid w:val="00552D03"/>
    <w:rsid w:val="00552F97"/>
    <w:rsid w:val="005532D7"/>
    <w:rsid w:val="00554A54"/>
    <w:rsid w:val="00554D1A"/>
    <w:rsid w:val="00555EA0"/>
    <w:rsid w:val="005566A9"/>
    <w:rsid w:val="00556738"/>
    <w:rsid w:val="005570B6"/>
    <w:rsid w:val="00560169"/>
    <w:rsid w:val="00560206"/>
    <w:rsid w:val="00561497"/>
    <w:rsid w:val="005619FC"/>
    <w:rsid w:val="00562185"/>
    <w:rsid w:val="00562EB1"/>
    <w:rsid w:val="00562EBC"/>
    <w:rsid w:val="005643CB"/>
    <w:rsid w:val="00564749"/>
    <w:rsid w:val="00564830"/>
    <w:rsid w:val="005661EA"/>
    <w:rsid w:val="00566546"/>
    <w:rsid w:val="00566AD0"/>
    <w:rsid w:val="0056715C"/>
    <w:rsid w:val="00567311"/>
    <w:rsid w:val="005673D3"/>
    <w:rsid w:val="0056789F"/>
    <w:rsid w:val="00570128"/>
    <w:rsid w:val="00570FC4"/>
    <w:rsid w:val="00571B1E"/>
    <w:rsid w:val="00571FD3"/>
    <w:rsid w:val="00572402"/>
    <w:rsid w:val="0057249D"/>
    <w:rsid w:val="00572F0F"/>
    <w:rsid w:val="005734F1"/>
    <w:rsid w:val="0057399B"/>
    <w:rsid w:val="00574006"/>
    <w:rsid w:val="005749F8"/>
    <w:rsid w:val="00575259"/>
    <w:rsid w:val="00575614"/>
    <w:rsid w:val="005756D8"/>
    <w:rsid w:val="005757C0"/>
    <w:rsid w:val="00575DF1"/>
    <w:rsid w:val="00576000"/>
    <w:rsid w:val="00576C6E"/>
    <w:rsid w:val="00576C76"/>
    <w:rsid w:val="005800F8"/>
    <w:rsid w:val="00580861"/>
    <w:rsid w:val="00581728"/>
    <w:rsid w:val="00581A4D"/>
    <w:rsid w:val="00581BA4"/>
    <w:rsid w:val="00581BD8"/>
    <w:rsid w:val="005828BD"/>
    <w:rsid w:val="00582E42"/>
    <w:rsid w:val="00582ED5"/>
    <w:rsid w:val="005839B0"/>
    <w:rsid w:val="005839C2"/>
    <w:rsid w:val="005842A1"/>
    <w:rsid w:val="005853C0"/>
    <w:rsid w:val="00585C17"/>
    <w:rsid w:val="00586387"/>
    <w:rsid w:val="0058654D"/>
    <w:rsid w:val="00586F7E"/>
    <w:rsid w:val="0058739A"/>
    <w:rsid w:val="005874E2"/>
    <w:rsid w:val="0058778F"/>
    <w:rsid w:val="005903A0"/>
    <w:rsid w:val="00590976"/>
    <w:rsid w:val="00591152"/>
    <w:rsid w:val="0059161D"/>
    <w:rsid w:val="00592631"/>
    <w:rsid w:val="005926C3"/>
    <w:rsid w:val="00592915"/>
    <w:rsid w:val="00592BCC"/>
    <w:rsid w:val="0059324B"/>
    <w:rsid w:val="00593291"/>
    <w:rsid w:val="0059339E"/>
    <w:rsid w:val="005939BE"/>
    <w:rsid w:val="00593BE2"/>
    <w:rsid w:val="00593CBB"/>
    <w:rsid w:val="005949A3"/>
    <w:rsid w:val="00594B99"/>
    <w:rsid w:val="00594C9F"/>
    <w:rsid w:val="00595C52"/>
    <w:rsid w:val="00596875"/>
    <w:rsid w:val="00596E0D"/>
    <w:rsid w:val="00596F1C"/>
    <w:rsid w:val="00597600"/>
    <w:rsid w:val="00597715"/>
    <w:rsid w:val="00597D3F"/>
    <w:rsid w:val="00597F83"/>
    <w:rsid w:val="005A0161"/>
    <w:rsid w:val="005A0177"/>
    <w:rsid w:val="005A060D"/>
    <w:rsid w:val="005A06B5"/>
    <w:rsid w:val="005A092B"/>
    <w:rsid w:val="005A0EB0"/>
    <w:rsid w:val="005A0EEF"/>
    <w:rsid w:val="005A1AA4"/>
    <w:rsid w:val="005A2398"/>
    <w:rsid w:val="005A295F"/>
    <w:rsid w:val="005A2D69"/>
    <w:rsid w:val="005A3A09"/>
    <w:rsid w:val="005A3B92"/>
    <w:rsid w:val="005A3CCB"/>
    <w:rsid w:val="005A3EDC"/>
    <w:rsid w:val="005A43A7"/>
    <w:rsid w:val="005A4452"/>
    <w:rsid w:val="005A45E3"/>
    <w:rsid w:val="005A4621"/>
    <w:rsid w:val="005A4DD0"/>
    <w:rsid w:val="005A6617"/>
    <w:rsid w:val="005A6822"/>
    <w:rsid w:val="005A7D95"/>
    <w:rsid w:val="005B08C3"/>
    <w:rsid w:val="005B0FFF"/>
    <w:rsid w:val="005B130A"/>
    <w:rsid w:val="005B1690"/>
    <w:rsid w:val="005B16C1"/>
    <w:rsid w:val="005B178E"/>
    <w:rsid w:val="005B2D03"/>
    <w:rsid w:val="005B3041"/>
    <w:rsid w:val="005B394D"/>
    <w:rsid w:val="005B4B13"/>
    <w:rsid w:val="005B4E13"/>
    <w:rsid w:val="005B6628"/>
    <w:rsid w:val="005B6ACB"/>
    <w:rsid w:val="005B6E23"/>
    <w:rsid w:val="005B7173"/>
    <w:rsid w:val="005B74B9"/>
    <w:rsid w:val="005B7745"/>
    <w:rsid w:val="005B7857"/>
    <w:rsid w:val="005B7886"/>
    <w:rsid w:val="005B79E9"/>
    <w:rsid w:val="005B7B54"/>
    <w:rsid w:val="005B7E5F"/>
    <w:rsid w:val="005B7F79"/>
    <w:rsid w:val="005C0C57"/>
    <w:rsid w:val="005C0F6B"/>
    <w:rsid w:val="005C1056"/>
    <w:rsid w:val="005C1138"/>
    <w:rsid w:val="005C1207"/>
    <w:rsid w:val="005C1347"/>
    <w:rsid w:val="005C1657"/>
    <w:rsid w:val="005C2230"/>
    <w:rsid w:val="005C22FC"/>
    <w:rsid w:val="005C35BB"/>
    <w:rsid w:val="005C3FD2"/>
    <w:rsid w:val="005C400F"/>
    <w:rsid w:val="005C479B"/>
    <w:rsid w:val="005C4C7F"/>
    <w:rsid w:val="005C4CC6"/>
    <w:rsid w:val="005C4D0F"/>
    <w:rsid w:val="005C5183"/>
    <w:rsid w:val="005C5EB5"/>
    <w:rsid w:val="005C6C3D"/>
    <w:rsid w:val="005C705E"/>
    <w:rsid w:val="005C796F"/>
    <w:rsid w:val="005C7EDF"/>
    <w:rsid w:val="005C7FE7"/>
    <w:rsid w:val="005D071D"/>
    <w:rsid w:val="005D083D"/>
    <w:rsid w:val="005D0883"/>
    <w:rsid w:val="005D0896"/>
    <w:rsid w:val="005D155E"/>
    <w:rsid w:val="005D17CF"/>
    <w:rsid w:val="005D1922"/>
    <w:rsid w:val="005D1D93"/>
    <w:rsid w:val="005D29CE"/>
    <w:rsid w:val="005D2FCE"/>
    <w:rsid w:val="005D3E20"/>
    <w:rsid w:val="005D3F7B"/>
    <w:rsid w:val="005D41DE"/>
    <w:rsid w:val="005D5785"/>
    <w:rsid w:val="005D6047"/>
    <w:rsid w:val="005D60CB"/>
    <w:rsid w:val="005D621D"/>
    <w:rsid w:val="005D6C41"/>
    <w:rsid w:val="005D7291"/>
    <w:rsid w:val="005D785D"/>
    <w:rsid w:val="005D7E74"/>
    <w:rsid w:val="005E0776"/>
    <w:rsid w:val="005E08E7"/>
    <w:rsid w:val="005E093B"/>
    <w:rsid w:val="005E186A"/>
    <w:rsid w:val="005E2A6B"/>
    <w:rsid w:val="005E3420"/>
    <w:rsid w:val="005E385F"/>
    <w:rsid w:val="005E3E43"/>
    <w:rsid w:val="005E45F1"/>
    <w:rsid w:val="005E4912"/>
    <w:rsid w:val="005E59EA"/>
    <w:rsid w:val="005E6F1F"/>
    <w:rsid w:val="005F0109"/>
    <w:rsid w:val="005F0157"/>
    <w:rsid w:val="005F01D0"/>
    <w:rsid w:val="005F08CF"/>
    <w:rsid w:val="005F12DA"/>
    <w:rsid w:val="005F1B56"/>
    <w:rsid w:val="005F22F7"/>
    <w:rsid w:val="005F2B0B"/>
    <w:rsid w:val="005F2F2F"/>
    <w:rsid w:val="005F3CBF"/>
    <w:rsid w:val="005F3EF4"/>
    <w:rsid w:val="005F4161"/>
    <w:rsid w:val="005F44D1"/>
    <w:rsid w:val="005F54B3"/>
    <w:rsid w:val="005F5B9C"/>
    <w:rsid w:val="005F5D9D"/>
    <w:rsid w:val="005F6CEA"/>
    <w:rsid w:val="005F70C7"/>
    <w:rsid w:val="005F7410"/>
    <w:rsid w:val="00600A5C"/>
    <w:rsid w:val="00600BA2"/>
    <w:rsid w:val="00600C82"/>
    <w:rsid w:val="006013AE"/>
    <w:rsid w:val="006030A3"/>
    <w:rsid w:val="006038C8"/>
    <w:rsid w:val="00603BB0"/>
    <w:rsid w:val="00604DF8"/>
    <w:rsid w:val="006058BB"/>
    <w:rsid w:val="00605B98"/>
    <w:rsid w:val="006064B2"/>
    <w:rsid w:val="00606B4E"/>
    <w:rsid w:val="006072E7"/>
    <w:rsid w:val="00607327"/>
    <w:rsid w:val="00607546"/>
    <w:rsid w:val="0060770A"/>
    <w:rsid w:val="00607862"/>
    <w:rsid w:val="00607D5A"/>
    <w:rsid w:val="00607DBC"/>
    <w:rsid w:val="00610831"/>
    <w:rsid w:val="006113DA"/>
    <w:rsid w:val="00611947"/>
    <w:rsid w:val="006125A5"/>
    <w:rsid w:val="006127E9"/>
    <w:rsid w:val="00612E76"/>
    <w:rsid w:val="00612FB1"/>
    <w:rsid w:val="006134D8"/>
    <w:rsid w:val="00613A9C"/>
    <w:rsid w:val="00613B00"/>
    <w:rsid w:val="00613D59"/>
    <w:rsid w:val="0061400C"/>
    <w:rsid w:val="00614B28"/>
    <w:rsid w:val="0061531A"/>
    <w:rsid w:val="006154D7"/>
    <w:rsid w:val="006155B2"/>
    <w:rsid w:val="006155FF"/>
    <w:rsid w:val="00615618"/>
    <w:rsid w:val="0061673D"/>
    <w:rsid w:val="006170AD"/>
    <w:rsid w:val="00617B04"/>
    <w:rsid w:val="00617DBC"/>
    <w:rsid w:val="00617ED4"/>
    <w:rsid w:val="006209C5"/>
    <w:rsid w:val="00620CE5"/>
    <w:rsid w:val="00621129"/>
    <w:rsid w:val="00621332"/>
    <w:rsid w:val="006213A1"/>
    <w:rsid w:val="006214ED"/>
    <w:rsid w:val="006218B6"/>
    <w:rsid w:val="00621A96"/>
    <w:rsid w:val="00621CED"/>
    <w:rsid w:val="006220D0"/>
    <w:rsid w:val="0062243C"/>
    <w:rsid w:val="00623088"/>
    <w:rsid w:val="00623135"/>
    <w:rsid w:val="00623255"/>
    <w:rsid w:val="0062368C"/>
    <w:rsid w:val="00623945"/>
    <w:rsid w:val="00623966"/>
    <w:rsid w:val="00624053"/>
    <w:rsid w:val="006242C1"/>
    <w:rsid w:val="006242DB"/>
    <w:rsid w:val="0062477F"/>
    <w:rsid w:val="006255D9"/>
    <w:rsid w:val="00625973"/>
    <w:rsid w:val="00625FE4"/>
    <w:rsid w:val="006260A9"/>
    <w:rsid w:val="00626D7B"/>
    <w:rsid w:val="00627D6C"/>
    <w:rsid w:val="00630090"/>
    <w:rsid w:val="006301D7"/>
    <w:rsid w:val="00630495"/>
    <w:rsid w:val="006306B2"/>
    <w:rsid w:val="00630889"/>
    <w:rsid w:val="00630E23"/>
    <w:rsid w:val="006316E3"/>
    <w:rsid w:val="00631CB7"/>
    <w:rsid w:val="00631EF1"/>
    <w:rsid w:val="00633916"/>
    <w:rsid w:val="00633F2E"/>
    <w:rsid w:val="006344E2"/>
    <w:rsid w:val="00634524"/>
    <w:rsid w:val="00634A68"/>
    <w:rsid w:val="00634BFA"/>
    <w:rsid w:val="00635656"/>
    <w:rsid w:val="00635B91"/>
    <w:rsid w:val="00635D56"/>
    <w:rsid w:val="006362AB"/>
    <w:rsid w:val="0063677D"/>
    <w:rsid w:val="00636F9F"/>
    <w:rsid w:val="00636FD8"/>
    <w:rsid w:val="00637DFC"/>
    <w:rsid w:val="00641D2B"/>
    <w:rsid w:val="0064253D"/>
    <w:rsid w:val="00643273"/>
    <w:rsid w:val="00643706"/>
    <w:rsid w:val="0064370F"/>
    <w:rsid w:val="0064405A"/>
    <w:rsid w:val="0064413D"/>
    <w:rsid w:val="00645700"/>
    <w:rsid w:val="00645702"/>
    <w:rsid w:val="006458A3"/>
    <w:rsid w:val="00645A26"/>
    <w:rsid w:val="00645DCB"/>
    <w:rsid w:val="00646613"/>
    <w:rsid w:val="00646C10"/>
    <w:rsid w:val="006476A9"/>
    <w:rsid w:val="00647AB1"/>
    <w:rsid w:val="006504C2"/>
    <w:rsid w:val="006507B3"/>
    <w:rsid w:val="0065123B"/>
    <w:rsid w:val="0065140A"/>
    <w:rsid w:val="0065162B"/>
    <w:rsid w:val="00651862"/>
    <w:rsid w:val="00651A9C"/>
    <w:rsid w:val="00651D9D"/>
    <w:rsid w:val="00652476"/>
    <w:rsid w:val="00652495"/>
    <w:rsid w:val="00652E20"/>
    <w:rsid w:val="006535D6"/>
    <w:rsid w:val="0065377B"/>
    <w:rsid w:val="00653CB2"/>
    <w:rsid w:val="00653F03"/>
    <w:rsid w:val="00653F99"/>
    <w:rsid w:val="00654144"/>
    <w:rsid w:val="00654A69"/>
    <w:rsid w:val="00655D3C"/>
    <w:rsid w:val="0065616C"/>
    <w:rsid w:val="006563D5"/>
    <w:rsid w:val="00656CCD"/>
    <w:rsid w:val="00656FF4"/>
    <w:rsid w:val="0065719E"/>
    <w:rsid w:val="00657B49"/>
    <w:rsid w:val="00657BCE"/>
    <w:rsid w:val="00657F0D"/>
    <w:rsid w:val="006608C6"/>
    <w:rsid w:val="00660D8F"/>
    <w:rsid w:val="006618F5"/>
    <w:rsid w:val="00661D04"/>
    <w:rsid w:val="00662075"/>
    <w:rsid w:val="006627F4"/>
    <w:rsid w:val="00662C20"/>
    <w:rsid w:val="00662D3E"/>
    <w:rsid w:val="0066369B"/>
    <w:rsid w:val="006648DC"/>
    <w:rsid w:val="0066585B"/>
    <w:rsid w:val="00665C7E"/>
    <w:rsid w:val="00665FD3"/>
    <w:rsid w:val="0066634E"/>
    <w:rsid w:val="00666695"/>
    <w:rsid w:val="006669C1"/>
    <w:rsid w:val="00666BFD"/>
    <w:rsid w:val="0066721D"/>
    <w:rsid w:val="006673AB"/>
    <w:rsid w:val="00667B94"/>
    <w:rsid w:val="006707DF"/>
    <w:rsid w:val="00671296"/>
    <w:rsid w:val="00671440"/>
    <w:rsid w:val="00671451"/>
    <w:rsid w:val="0067147A"/>
    <w:rsid w:val="0067199A"/>
    <w:rsid w:val="00671A66"/>
    <w:rsid w:val="00671B22"/>
    <w:rsid w:val="00672DDD"/>
    <w:rsid w:val="00672DE6"/>
    <w:rsid w:val="00672E31"/>
    <w:rsid w:val="00672F75"/>
    <w:rsid w:val="00674129"/>
    <w:rsid w:val="00675736"/>
    <w:rsid w:val="00675966"/>
    <w:rsid w:val="0067662D"/>
    <w:rsid w:val="00676C91"/>
    <w:rsid w:val="006775A7"/>
    <w:rsid w:val="00677B17"/>
    <w:rsid w:val="00677B93"/>
    <w:rsid w:val="00677C2E"/>
    <w:rsid w:val="00680740"/>
    <w:rsid w:val="00680DDF"/>
    <w:rsid w:val="00681573"/>
    <w:rsid w:val="006824A5"/>
    <w:rsid w:val="006825F4"/>
    <w:rsid w:val="00682BC8"/>
    <w:rsid w:val="00682F81"/>
    <w:rsid w:val="006836CE"/>
    <w:rsid w:val="00683A40"/>
    <w:rsid w:val="00683C25"/>
    <w:rsid w:val="00683F5B"/>
    <w:rsid w:val="006847DB"/>
    <w:rsid w:val="00685119"/>
    <w:rsid w:val="00686591"/>
    <w:rsid w:val="006867A9"/>
    <w:rsid w:val="00686A3D"/>
    <w:rsid w:val="0068713E"/>
    <w:rsid w:val="006879E0"/>
    <w:rsid w:val="006905F2"/>
    <w:rsid w:val="00690B77"/>
    <w:rsid w:val="00690C54"/>
    <w:rsid w:val="00690E9D"/>
    <w:rsid w:val="00692320"/>
    <w:rsid w:val="00692CF8"/>
    <w:rsid w:val="00693213"/>
    <w:rsid w:val="00693334"/>
    <w:rsid w:val="006936FF"/>
    <w:rsid w:val="00693706"/>
    <w:rsid w:val="00693756"/>
    <w:rsid w:val="0069439B"/>
    <w:rsid w:val="00694CFA"/>
    <w:rsid w:val="00695891"/>
    <w:rsid w:val="00695A18"/>
    <w:rsid w:val="0069670F"/>
    <w:rsid w:val="0069693C"/>
    <w:rsid w:val="006A01F2"/>
    <w:rsid w:val="006A091F"/>
    <w:rsid w:val="006A0E54"/>
    <w:rsid w:val="006A1F43"/>
    <w:rsid w:val="006A23A1"/>
    <w:rsid w:val="006A25B3"/>
    <w:rsid w:val="006A28B9"/>
    <w:rsid w:val="006A326C"/>
    <w:rsid w:val="006A32BC"/>
    <w:rsid w:val="006A3521"/>
    <w:rsid w:val="006A3898"/>
    <w:rsid w:val="006A59CD"/>
    <w:rsid w:val="006A5ABC"/>
    <w:rsid w:val="006A5EDF"/>
    <w:rsid w:val="006A68F3"/>
    <w:rsid w:val="006A7039"/>
    <w:rsid w:val="006A7041"/>
    <w:rsid w:val="006A705A"/>
    <w:rsid w:val="006A724B"/>
    <w:rsid w:val="006A79F9"/>
    <w:rsid w:val="006A7E64"/>
    <w:rsid w:val="006B0395"/>
    <w:rsid w:val="006B0689"/>
    <w:rsid w:val="006B0F22"/>
    <w:rsid w:val="006B1710"/>
    <w:rsid w:val="006B25FF"/>
    <w:rsid w:val="006B2A5B"/>
    <w:rsid w:val="006B30A0"/>
    <w:rsid w:val="006B30EA"/>
    <w:rsid w:val="006B3685"/>
    <w:rsid w:val="006B3B71"/>
    <w:rsid w:val="006B4B87"/>
    <w:rsid w:val="006B534A"/>
    <w:rsid w:val="006B615B"/>
    <w:rsid w:val="006B6272"/>
    <w:rsid w:val="006B62BD"/>
    <w:rsid w:val="006B68D6"/>
    <w:rsid w:val="006B694A"/>
    <w:rsid w:val="006B6D02"/>
    <w:rsid w:val="006B7112"/>
    <w:rsid w:val="006C13DF"/>
    <w:rsid w:val="006C153E"/>
    <w:rsid w:val="006C1FF4"/>
    <w:rsid w:val="006C20E2"/>
    <w:rsid w:val="006C2864"/>
    <w:rsid w:val="006C2F37"/>
    <w:rsid w:val="006C3055"/>
    <w:rsid w:val="006C34A7"/>
    <w:rsid w:val="006C382C"/>
    <w:rsid w:val="006C3B9C"/>
    <w:rsid w:val="006C3B9D"/>
    <w:rsid w:val="006C4000"/>
    <w:rsid w:val="006C4609"/>
    <w:rsid w:val="006C4802"/>
    <w:rsid w:val="006C49CC"/>
    <w:rsid w:val="006C5AAC"/>
    <w:rsid w:val="006C6807"/>
    <w:rsid w:val="006C6ADD"/>
    <w:rsid w:val="006C7172"/>
    <w:rsid w:val="006C773D"/>
    <w:rsid w:val="006C7CAB"/>
    <w:rsid w:val="006D05BC"/>
    <w:rsid w:val="006D0F61"/>
    <w:rsid w:val="006D11F4"/>
    <w:rsid w:val="006D1DCE"/>
    <w:rsid w:val="006D20A8"/>
    <w:rsid w:val="006D213C"/>
    <w:rsid w:val="006D236D"/>
    <w:rsid w:val="006D2A1F"/>
    <w:rsid w:val="006D3EE0"/>
    <w:rsid w:val="006D474B"/>
    <w:rsid w:val="006D51B5"/>
    <w:rsid w:val="006D573C"/>
    <w:rsid w:val="006D581C"/>
    <w:rsid w:val="006D6094"/>
    <w:rsid w:val="006D6CC4"/>
    <w:rsid w:val="006D6FB1"/>
    <w:rsid w:val="006D737F"/>
    <w:rsid w:val="006D7A55"/>
    <w:rsid w:val="006E0226"/>
    <w:rsid w:val="006E0DA8"/>
    <w:rsid w:val="006E100A"/>
    <w:rsid w:val="006E12F6"/>
    <w:rsid w:val="006E1487"/>
    <w:rsid w:val="006E17C3"/>
    <w:rsid w:val="006E1E6D"/>
    <w:rsid w:val="006E272D"/>
    <w:rsid w:val="006E2BEA"/>
    <w:rsid w:val="006E31E0"/>
    <w:rsid w:val="006E3CF1"/>
    <w:rsid w:val="006E480D"/>
    <w:rsid w:val="006E48A8"/>
    <w:rsid w:val="006E494A"/>
    <w:rsid w:val="006E4BDD"/>
    <w:rsid w:val="006E4C54"/>
    <w:rsid w:val="006E5488"/>
    <w:rsid w:val="006E5513"/>
    <w:rsid w:val="006E56E8"/>
    <w:rsid w:val="006E5B57"/>
    <w:rsid w:val="006E6540"/>
    <w:rsid w:val="006E6BE9"/>
    <w:rsid w:val="006E719C"/>
    <w:rsid w:val="006E7254"/>
    <w:rsid w:val="006E74AD"/>
    <w:rsid w:val="006E7877"/>
    <w:rsid w:val="006E7CDC"/>
    <w:rsid w:val="006F0704"/>
    <w:rsid w:val="006F0A0D"/>
    <w:rsid w:val="006F11E4"/>
    <w:rsid w:val="006F1D87"/>
    <w:rsid w:val="006F2052"/>
    <w:rsid w:val="006F23F0"/>
    <w:rsid w:val="006F3775"/>
    <w:rsid w:val="006F39B3"/>
    <w:rsid w:val="006F3D12"/>
    <w:rsid w:val="006F3E77"/>
    <w:rsid w:val="006F45AE"/>
    <w:rsid w:val="006F45E4"/>
    <w:rsid w:val="006F4E43"/>
    <w:rsid w:val="006F59B7"/>
    <w:rsid w:val="006F5D15"/>
    <w:rsid w:val="006F61C1"/>
    <w:rsid w:val="006F689C"/>
    <w:rsid w:val="006F6D59"/>
    <w:rsid w:val="006F710C"/>
    <w:rsid w:val="006F71E2"/>
    <w:rsid w:val="006F7373"/>
    <w:rsid w:val="006F7E1B"/>
    <w:rsid w:val="00700330"/>
    <w:rsid w:val="00700B49"/>
    <w:rsid w:val="007013AB"/>
    <w:rsid w:val="0070230C"/>
    <w:rsid w:val="007030E8"/>
    <w:rsid w:val="007033F1"/>
    <w:rsid w:val="00703438"/>
    <w:rsid w:val="00703ECB"/>
    <w:rsid w:val="00704B13"/>
    <w:rsid w:val="00704C48"/>
    <w:rsid w:val="007050EC"/>
    <w:rsid w:val="007059B2"/>
    <w:rsid w:val="007060EA"/>
    <w:rsid w:val="00707542"/>
    <w:rsid w:val="00710C3D"/>
    <w:rsid w:val="00711200"/>
    <w:rsid w:val="007113A5"/>
    <w:rsid w:val="00711BCC"/>
    <w:rsid w:val="00711C73"/>
    <w:rsid w:val="007122F4"/>
    <w:rsid w:val="00713267"/>
    <w:rsid w:val="00713330"/>
    <w:rsid w:val="00713A2E"/>
    <w:rsid w:val="007143E2"/>
    <w:rsid w:val="00714495"/>
    <w:rsid w:val="00714906"/>
    <w:rsid w:val="00714B31"/>
    <w:rsid w:val="00715023"/>
    <w:rsid w:val="00715981"/>
    <w:rsid w:val="00715D64"/>
    <w:rsid w:val="00716DDE"/>
    <w:rsid w:val="00720131"/>
    <w:rsid w:val="007202EC"/>
    <w:rsid w:val="00720B84"/>
    <w:rsid w:val="00720DB9"/>
    <w:rsid w:val="00721393"/>
    <w:rsid w:val="00721595"/>
    <w:rsid w:val="00722EDE"/>
    <w:rsid w:val="007233F8"/>
    <w:rsid w:val="0072397F"/>
    <w:rsid w:val="0072410A"/>
    <w:rsid w:val="00725EF6"/>
    <w:rsid w:val="007263A9"/>
    <w:rsid w:val="00726BF2"/>
    <w:rsid w:val="00726FB4"/>
    <w:rsid w:val="007277F1"/>
    <w:rsid w:val="00727810"/>
    <w:rsid w:val="007278B9"/>
    <w:rsid w:val="00727DCE"/>
    <w:rsid w:val="00730FE4"/>
    <w:rsid w:val="007311B8"/>
    <w:rsid w:val="00731922"/>
    <w:rsid w:val="0073192A"/>
    <w:rsid w:val="00731ACB"/>
    <w:rsid w:val="00731F4C"/>
    <w:rsid w:val="007320E0"/>
    <w:rsid w:val="00733236"/>
    <w:rsid w:val="00733361"/>
    <w:rsid w:val="00733500"/>
    <w:rsid w:val="007337B3"/>
    <w:rsid w:val="00733881"/>
    <w:rsid w:val="00733EFB"/>
    <w:rsid w:val="0073489F"/>
    <w:rsid w:val="0073492E"/>
    <w:rsid w:val="00734BAC"/>
    <w:rsid w:val="00734C39"/>
    <w:rsid w:val="00735D7C"/>
    <w:rsid w:val="00735DED"/>
    <w:rsid w:val="00736098"/>
    <w:rsid w:val="007362C9"/>
    <w:rsid w:val="007365A1"/>
    <w:rsid w:val="007368AD"/>
    <w:rsid w:val="00736ACB"/>
    <w:rsid w:val="00736DDE"/>
    <w:rsid w:val="007371C9"/>
    <w:rsid w:val="007372EA"/>
    <w:rsid w:val="00737578"/>
    <w:rsid w:val="0073776E"/>
    <w:rsid w:val="00737F54"/>
    <w:rsid w:val="0074133D"/>
    <w:rsid w:val="00741DFA"/>
    <w:rsid w:val="00741E2D"/>
    <w:rsid w:val="00742319"/>
    <w:rsid w:val="00742705"/>
    <w:rsid w:val="0074293C"/>
    <w:rsid w:val="00743293"/>
    <w:rsid w:val="007438D5"/>
    <w:rsid w:val="00743EF3"/>
    <w:rsid w:val="00744598"/>
    <w:rsid w:val="00744C14"/>
    <w:rsid w:val="00744DD7"/>
    <w:rsid w:val="00744EB5"/>
    <w:rsid w:val="007451E1"/>
    <w:rsid w:val="00745207"/>
    <w:rsid w:val="0074523A"/>
    <w:rsid w:val="00745314"/>
    <w:rsid w:val="00746675"/>
    <w:rsid w:val="007469BF"/>
    <w:rsid w:val="007474FB"/>
    <w:rsid w:val="00747BE7"/>
    <w:rsid w:val="00750BEF"/>
    <w:rsid w:val="00750ECC"/>
    <w:rsid w:val="0075126D"/>
    <w:rsid w:val="0075196D"/>
    <w:rsid w:val="00751E21"/>
    <w:rsid w:val="007524C2"/>
    <w:rsid w:val="00752E2C"/>
    <w:rsid w:val="007530BA"/>
    <w:rsid w:val="0075350B"/>
    <w:rsid w:val="0075398F"/>
    <w:rsid w:val="00753EAD"/>
    <w:rsid w:val="00754766"/>
    <w:rsid w:val="007550E3"/>
    <w:rsid w:val="0075558C"/>
    <w:rsid w:val="007555D9"/>
    <w:rsid w:val="00755708"/>
    <w:rsid w:val="0075660C"/>
    <w:rsid w:val="00756887"/>
    <w:rsid w:val="00756914"/>
    <w:rsid w:val="007578F6"/>
    <w:rsid w:val="00757B05"/>
    <w:rsid w:val="00757E99"/>
    <w:rsid w:val="00760586"/>
    <w:rsid w:val="00760DA3"/>
    <w:rsid w:val="007612C9"/>
    <w:rsid w:val="007618FD"/>
    <w:rsid w:val="00761A3B"/>
    <w:rsid w:val="00761EFA"/>
    <w:rsid w:val="007621C4"/>
    <w:rsid w:val="00763371"/>
    <w:rsid w:val="00763451"/>
    <w:rsid w:val="007637FC"/>
    <w:rsid w:val="00763F1A"/>
    <w:rsid w:val="00764275"/>
    <w:rsid w:val="0076474F"/>
    <w:rsid w:val="00764873"/>
    <w:rsid w:val="00764C4E"/>
    <w:rsid w:val="00765330"/>
    <w:rsid w:val="0076574D"/>
    <w:rsid w:val="00765A7C"/>
    <w:rsid w:val="00765B4F"/>
    <w:rsid w:val="007661EF"/>
    <w:rsid w:val="00766FF8"/>
    <w:rsid w:val="0076700B"/>
    <w:rsid w:val="0076740E"/>
    <w:rsid w:val="00767DD1"/>
    <w:rsid w:val="00770B86"/>
    <w:rsid w:val="00770E5D"/>
    <w:rsid w:val="00771350"/>
    <w:rsid w:val="00772D1C"/>
    <w:rsid w:val="00773EAA"/>
    <w:rsid w:val="00773FA0"/>
    <w:rsid w:val="00774592"/>
    <w:rsid w:val="007748BA"/>
    <w:rsid w:val="00774BAA"/>
    <w:rsid w:val="00775208"/>
    <w:rsid w:val="007758D2"/>
    <w:rsid w:val="00775949"/>
    <w:rsid w:val="00775AA8"/>
    <w:rsid w:val="00775E7C"/>
    <w:rsid w:val="00776080"/>
    <w:rsid w:val="00776600"/>
    <w:rsid w:val="0077671B"/>
    <w:rsid w:val="00776B20"/>
    <w:rsid w:val="007778DD"/>
    <w:rsid w:val="007807BF"/>
    <w:rsid w:val="00780C8A"/>
    <w:rsid w:val="007810CC"/>
    <w:rsid w:val="00781A2E"/>
    <w:rsid w:val="00781CE0"/>
    <w:rsid w:val="00782182"/>
    <w:rsid w:val="00782395"/>
    <w:rsid w:val="0078277A"/>
    <w:rsid w:val="00782AA4"/>
    <w:rsid w:val="00782CD2"/>
    <w:rsid w:val="0078308A"/>
    <w:rsid w:val="007830E4"/>
    <w:rsid w:val="0078371F"/>
    <w:rsid w:val="00783B6B"/>
    <w:rsid w:val="00783D19"/>
    <w:rsid w:val="007849BC"/>
    <w:rsid w:val="00784DFE"/>
    <w:rsid w:val="00785569"/>
    <w:rsid w:val="00786391"/>
    <w:rsid w:val="00786751"/>
    <w:rsid w:val="00787FBC"/>
    <w:rsid w:val="00790737"/>
    <w:rsid w:val="00790AA3"/>
    <w:rsid w:val="00790B6C"/>
    <w:rsid w:val="00791306"/>
    <w:rsid w:val="00791E93"/>
    <w:rsid w:val="00791F15"/>
    <w:rsid w:val="00792519"/>
    <w:rsid w:val="00792A44"/>
    <w:rsid w:val="00792C82"/>
    <w:rsid w:val="007930F0"/>
    <w:rsid w:val="0079341E"/>
    <w:rsid w:val="007936EC"/>
    <w:rsid w:val="007946DF"/>
    <w:rsid w:val="007947A1"/>
    <w:rsid w:val="00794CEA"/>
    <w:rsid w:val="00794D89"/>
    <w:rsid w:val="007950EA"/>
    <w:rsid w:val="00795814"/>
    <w:rsid w:val="00795D03"/>
    <w:rsid w:val="00795DB5"/>
    <w:rsid w:val="00796693"/>
    <w:rsid w:val="0079784B"/>
    <w:rsid w:val="007A0152"/>
    <w:rsid w:val="007A0BAB"/>
    <w:rsid w:val="007A0E5C"/>
    <w:rsid w:val="007A117D"/>
    <w:rsid w:val="007A1693"/>
    <w:rsid w:val="007A1E89"/>
    <w:rsid w:val="007A2C64"/>
    <w:rsid w:val="007A2DB6"/>
    <w:rsid w:val="007A3772"/>
    <w:rsid w:val="007A3FB3"/>
    <w:rsid w:val="007A40C0"/>
    <w:rsid w:val="007A40C6"/>
    <w:rsid w:val="007A7C4A"/>
    <w:rsid w:val="007B1747"/>
    <w:rsid w:val="007B1C89"/>
    <w:rsid w:val="007B2CE4"/>
    <w:rsid w:val="007B37BF"/>
    <w:rsid w:val="007B3852"/>
    <w:rsid w:val="007B39D0"/>
    <w:rsid w:val="007B3D8F"/>
    <w:rsid w:val="007B44BC"/>
    <w:rsid w:val="007B5354"/>
    <w:rsid w:val="007B54B8"/>
    <w:rsid w:val="007B57D3"/>
    <w:rsid w:val="007B5B8F"/>
    <w:rsid w:val="007B5C3A"/>
    <w:rsid w:val="007B6534"/>
    <w:rsid w:val="007B65E3"/>
    <w:rsid w:val="007B66FE"/>
    <w:rsid w:val="007B737C"/>
    <w:rsid w:val="007B7845"/>
    <w:rsid w:val="007B7926"/>
    <w:rsid w:val="007B7E53"/>
    <w:rsid w:val="007C0681"/>
    <w:rsid w:val="007C20AB"/>
    <w:rsid w:val="007C24B1"/>
    <w:rsid w:val="007C2634"/>
    <w:rsid w:val="007C2AE9"/>
    <w:rsid w:val="007C2DED"/>
    <w:rsid w:val="007C2FB2"/>
    <w:rsid w:val="007C31EE"/>
    <w:rsid w:val="007C34DF"/>
    <w:rsid w:val="007C398F"/>
    <w:rsid w:val="007C450A"/>
    <w:rsid w:val="007C454A"/>
    <w:rsid w:val="007C45B0"/>
    <w:rsid w:val="007C4856"/>
    <w:rsid w:val="007C4B87"/>
    <w:rsid w:val="007C5655"/>
    <w:rsid w:val="007C5EAF"/>
    <w:rsid w:val="007C61E8"/>
    <w:rsid w:val="007C6833"/>
    <w:rsid w:val="007C698A"/>
    <w:rsid w:val="007C7138"/>
    <w:rsid w:val="007C7181"/>
    <w:rsid w:val="007C7591"/>
    <w:rsid w:val="007C7B76"/>
    <w:rsid w:val="007C7CA0"/>
    <w:rsid w:val="007C7F96"/>
    <w:rsid w:val="007D0230"/>
    <w:rsid w:val="007D0C36"/>
    <w:rsid w:val="007D10D2"/>
    <w:rsid w:val="007D1177"/>
    <w:rsid w:val="007D135E"/>
    <w:rsid w:val="007D1A2D"/>
    <w:rsid w:val="007D231F"/>
    <w:rsid w:val="007D26A1"/>
    <w:rsid w:val="007D325C"/>
    <w:rsid w:val="007D3306"/>
    <w:rsid w:val="007D3323"/>
    <w:rsid w:val="007D3A16"/>
    <w:rsid w:val="007D3CFF"/>
    <w:rsid w:val="007D3F2D"/>
    <w:rsid w:val="007D4106"/>
    <w:rsid w:val="007D52B2"/>
    <w:rsid w:val="007D538B"/>
    <w:rsid w:val="007D5B32"/>
    <w:rsid w:val="007D5B3F"/>
    <w:rsid w:val="007D5CD5"/>
    <w:rsid w:val="007D5EB0"/>
    <w:rsid w:val="007D63C3"/>
    <w:rsid w:val="007D64A3"/>
    <w:rsid w:val="007D6B35"/>
    <w:rsid w:val="007D704F"/>
    <w:rsid w:val="007D7846"/>
    <w:rsid w:val="007D7D4E"/>
    <w:rsid w:val="007D7ECF"/>
    <w:rsid w:val="007E0097"/>
    <w:rsid w:val="007E0112"/>
    <w:rsid w:val="007E0BF8"/>
    <w:rsid w:val="007E17E4"/>
    <w:rsid w:val="007E26D4"/>
    <w:rsid w:val="007E2BAA"/>
    <w:rsid w:val="007E3A4A"/>
    <w:rsid w:val="007E45F2"/>
    <w:rsid w:val="007E602C"/>
    <w:rsid w:val="007E6470"/>
    <w:rsid w:val="007E6643"/>
    <w:rsid w:val="007E68BF"/>
    <w:rsid w:val="007E735F"/>
    <w:rsid w:val="007E736C"/>
    <w:rsid w:val="007E7F03"/>
    <w:rsid w:val="007F03F1"/>
    <w:rsid w:val="007F08A3"/>
    <w:rsid w:val="007F08BE"/>
    <w:rsid w:val="007F0F7B"/>
    <w:rsid w:val="007F1421"/>
    <w:rsid w:val="007F143C"/>
    <w:rsid w:val="007F14E3"/>
    <w:rsid w:val="007F1D1F"/>
    <w:rsid w:val="007F1F0E"/>
    <w:rsid w:val="007F235C"/>
    <w:rsid w:val="007F2595"/>
    <w:rsid w:val="007F262B"/>
    <w:rsid w:val="007F4364"/>
    <w:rsid w:val="007F44B8"/>
    <w:rsid w:val="007F46E3"/>
    <w:rsid w:val="007F48C9"/>
    <w:rsid w:val="007F490D"/>
    <w:rsid w:val="007F4B8E"/>
    <w:rsid w:val="007F5346"/>
    <w:rsid w:val="007F5808"/>
    <w:rsid w:val="007F58EA"/>
    <w:rsid w:val="007F5EE6"/>
    <w:rsid w:val="007F6053"/>
    <w:rsid w:val="007F6AE9"/>
    <w:rsid w:val="007F718D"/>
    <w:rsid w:val="007F7A99"/>
    <w:rsid w:val="007F7D23"/>
    <w:rsid w:val="007F7DF1"/>
    <w:rsid w:val="00800AD5"/>
    <w:rsid w:val="00802075"/>
    <w:rsid w:val="0080227E"/>
    <w:rsid w:val="008023B0"/>
    <w:rsid w:val="008024A1"/>
    <w:rsid w:val="008024BD"/>
    <w:rsid w:val="008027AC"/>
    <w:rsid w:val="00802804"/>
    <w:rsid w:val="00802E7D"/>
    <w:rsid w:val="00804445"/>
    <w:rsid w:val="008046DD"/>
    <w:rsid w:val="00804E3A"/>
    <w:rsid w:val="0080619C"/>
    <w:rsid w:val="008061F5"/>
    <w:rsid w:val="008062C7"/>
    <w:rsid w:val="008065A6"/>
    <w:rsid w:val="0080787D"/>
    <w:rsid w:val="00810C2F"/>
    <w:rsid w:val="0081118F"/>
    <w:rsid w:val="00811A5D"/>
    <w:rsid w:val="00811FAD"/>
    <w:rsid w:val="00813AD2"/>
    <w:rsid w:val="00813CAB"/>
    <w:rsid w:val="008141C4"/>
    <w:rsid w:val="00815959"/>
    <w:rsid w:val="008159C1"/>
    <w:rsid w:val="00815E21"/>
    <w:rsid w:val="00815EA8"/>
    <w:rsid w:val="00816F1C"/>
    <w:rsid w:val="008172F6"/>
    <w:rsid w:val="00817A46"/>
    <w:rsid w:val="00817DAF"/>
    <w:rsid w:val="00820500"/>
    <w:rsid w:val="008205CA"/>
    <w:rsid w:val="00820969"/>
    <w:rsid w:val="00820FAF"/>
    <w:rsid w:val="00821078"/>
    <w:rsid w:val="00821682"/>
    <w:rsid w:val="0082205B"/>
    <w:rsid w:val="00822138"/>
    <w:rsid w:val="00822624"/>
    <w:rsid w:val="00823525"/>
    <w:rsid w:val="00823DEA"/>
    <w:rsid w:val="00823FA8"/>
    <w:rsid w:val="008240F2"/>
    <w:rsid w:val="00824934"/>
    <w:rsid w:val="00824A48"/>
    <w:rsid w:val="00824DEC"/>
    <w:rsid w:val="008255A4"/>
    <w:rsid w:val="008261C5"/>
    <w:rsid w:val="00826236"/>
    <w:rsid w:val="008263AD"/>
    <w:rsid w:val="008269EC"/>
    <w:rsid w:val="00826A1A"/>
    <w:rsid w:val="00826D54"/>
    <w:rsid w:val="008279D5"/>
    <w:rsid w:val="00827C3C"/>
    <w:rsid w:val="00831450"/>
    <w:rsid w:val="00831855"/>
    <w:rsid w:val="00831D52"/>
    <w:rsid w:val="00832077"/>
    <w:rsid w:val="00832BE9"/>
    <w:rsid w:val="00832D5B"/>
    <w:rsid w:val="00832E5A"/>
    <w:rsid w:val="00832F34"/>
    <w:rsid w:val="00833322"/>
    <w:rsid w:val="00833537"/>
    <w:rsid w:val="00833610"/>
    <w:rsid w:val="00833A7C"/>
    <w:rsid w:val="00833AFB"/>
    <w:rsid w:val="00833D7F"/>
    <w:rsid w:val="0083417C"/>
    <w:rsid w:val="00834CA6"/>
    <w:rsid w:val="00834CBF"/>
    <w:rsid w:val="00835917"/>
    <w:rsid w:val="00836F19"/>
    <w:rsid w:val="00836F89"/>
    <w:rsid w:val="0083735A"/>
    <w:rsid w:val="00837A9A"/>
    <w:rsid w:val="00840242"/>
    <w:rsid w:val="00840317"/>
    <w:rsid w:val="00841232"/>
    <w:rsid w:val="00841859"/>
    <w:rsid w:val="008419EA"/>
    <w:rsid w:val="00841DF3"/>
    <w:rsid w:val="0084225D"/>
    <w:rsid w:val="00843054"/>
    <w:rsid w:val="008436B6"/>
    <w:rsid w:val="008436D8"/>
    <w:rsid w:val="00843883"/>
    <w:rsid w:val="00843CB6"/>
    <w:rsid w:val="00845459"/>
    <w:rsid w:val="00845513"/>
    <w:rsid w:val="008456ED"/>
    <w:rsid w:val="0084602D"/>
    <w:rsid w:val="00846297"/>
    <w:rsid w:val="00846459"/>
    <w:rsid w:val="008466AF"/>
    <w:rsid w:val="00846781"/>
    <w:rsid w:val="0084730F"/>
    <w:rsid w:val="00847DD6"/>
    <w:rsid w:val="0085009F"/>
    <w:rsid w:val="008502AA"/>
    <w:rsid w:val="00850B21"/>
    <w:rsid w:val="00851068"/>
    <w:rsid w:val="00851BDD"/>
    <w:rsid w:val="00852266"/>
    <w:rsid w:val="008524AF"/>
    <w:rsid w:val="008524FA"/>
    <w:rsid w:val="00852D6B"/>
    <w:rsid w:val="00853175"/>
    <w:rsid w:val="008536C7"/>
    <w:rsid w:val="00853A1C"/>
    <w:rsid w:val="00853B32"/>
    <w:rsid w:val="00853C12"/>
    <w:rsid w:val="008542A1"/>
    <w:rsid w:val="008542E0"/>
    <w:rsid w:val="0085438F"/>
    <w:rsid w:val="008548BD"/>
    <w:rsid w:val="00854FE6"/>
    <w:rsid w:val="008552C8"/>
    <w:rsid w:val="0085667B"/>
    <w:rsid w:val="00856CA6"/>
    <w:rsid w:val="00856DD6"/>
    <w:rsid w:val="00856FE0"/>
    <w:rsid w:val="00857860"/>
    <w:rsid w:val="008578AC"/>
    <w:rsid w:val="00857DDB"/>
    <w:rsid w:val="00857EE8"/>
    <w:rsid w:val="008601FA"/>
    <w:rsid w:val="00860E86"/>
    <w:rsid w:val="00861CAB"/>
    <w:rsid w:val="00861CE1"/>
    <w:rsid w:val="00862E9A"/>
    <w:rsid w:val="00863435"/>
    <w:rsid w:val="0086410A"/>
    <w:rsid w:val="0086417B"/>
    <w:rsid w:val="00864D40"/>
    <w:rsid w:val="00864EC6"/>
    <w:rsid w:val="00865547"/>
    <w:rsid w:val="00865DE2"/>
    <w:rsid w:val="008664F0"/>
    <w:rsid w:val="008670EB"/>
    <w:rsid w:val="008678AF"/>
    <w:rsid w:val="008679DB"/>
    <w:rsid w:val="0087002E"/>
    <w:rsid w:val="00870432"/>
    <w:rsid w:val="00870D1D"/>
    <w:rsid w:val="0087141F"/>
    <w:rsid w:val="008714B3"/>
    <w:rsid w:val="008716CB"/>
    <w:rsid w:val="00871EFA"/>
    <w:rsid w:val="008721AA"/>
    <w:rsid w:val="0087224C"/>
    <w:rsid w:val="008726C4"/>
    <w:rsid w:val="00872786"/>
    <w:rsid w:val="00872827"/>
    <w:rsid w:val="00872B92"/>
    <w:rsid w:val="008731B3"/>
    <w:rsid w:val="0087349A"/>
    <w:rsid w:val="00873D6F"/>
    <w:rsid w:val="00873DBF"/>
    <w:rsid w:val="00873FA6"/>
    <w:rsid w:val="00875023"/>
    <w:rsid w:val="008758C2"/>
    <w:rsid w:val="00875C5C"/>
    <w:rsid w:val="00875E01"/>
    <w:rsid w:val="00876401"/>
    <w:rsid w:val="00876BFA"/>
    <w:rsid w:val="00876C06"/>
    <w:rsid w:val="0087756D"/>
    <w:rsid w:val="00877E78"/>
    <w:rsid w:val="0088010C"/>
    <w:rsid w:val="00880439"/>
    <w:rsid w:val="008809AC"/>
    <w:rsid w:val="00880F81"/>
    <w:rsid w:val="008815B5"/>
    <w:rsid w:val="0088178A"/>
    <w:rsid w:val="008819AC"/>
    <w:rsid w:val="008825B7"/>
    <w:rsid w:val="00882C9A"/>
    <w:rsid w:val="00883787"/>
    <w:rsid w:val="008838E0"/>
    <w:rsid w:val="00883EFD"/>
    <w:rsid w:val="00884346"/>
    <w:rsid w:val="008846F7"/>
    <w:rsid w:val="0088488F"/>
    <w:rsid w:val="00885425"/>
    <w:rsid w:val="00885E01"/>
    <w:rsid w:val="008864B0"/>
    <w:rsid w:val="008865B6"/>
    <w:rsid w:val="008865C3"/>
    <w:rsid w:val="008866DF"/>
    <w:rsid w:val="00886A27"/>
    <w:rsid w:val="00886E20"/>
    <w:rsid w:val="00886F86"/>
    <w:rsid w:val="008873FC"/>
    <w:rsid w:val="008908C9"/>
    <w:rsid w:val="00890AB0"/>
    <w:rsid w:val="00891378"/>
    <w:rsid w:val="00892583"/>
    <w:rsid w:val="00892D71"/>
    <w:rsid w:val="00893221"/>
    <w:rsid w:val="00893355"/>
    <w:rsid w:val="00894038"/>
    <w:rsid w:val="0089430E"/>
    <w:rsid w:val="00894A46"/>
    <w:rsid w:val="00895DF4"/>
    <w:rsid w:val="008960E7"/>
    <w:rsid w:val="008963EC"/>
    <w:rsid w:val="0089741A"/>
    <w:rsid w:val="008977E9"/>
    <w:rsid w:val="00897AB7"/>
    <w:rsid w:val="008A1784"/>
    <w:rsid w:val="008A1C87"/>
    <w:rsid w:val="008A235B"/>
    <w:rsid w:val="008A2AA2"/>
    <w:rsid w:val="008A2F1D"/>
    <w:rsid w:val="008A30D2"/>
    <w:rsid w:val="008A361F"/>
    <w:rsid w:val="008A3F72"/>
    <w:rsid w:val="008A4463"/>
    <w:rsid w:val="008A4580"/>
    <w:rsid w:val="008A498E"/>
    <w:rsid w:val="008A4C2D"/>
    <w:rsid w:val="008A4E30"/>
    <w:rsid w:val="008A5B56"/>
    <w:rsid w:val="008A601C"/>
    <w:rsid w:val="008A6168"/>
    <w:rsid w:val="008A6486"/>
    <w:rsid w:val="008A69EF"/>
    <w:rsid w:val="008A6A11"/>
    <w:rsid w:val="008A6D19"/>
    <w:rsid w:val="008A7311"/>
    <w:rsid w:val="008A7EDB"/>
    <w:rsid w:val="008A7F2B"/>
    <w:rsid w:val="008B025B"/>
    <w:rsid w:val="008B0379"/>
    <w:rsid w:val="008B1519"/>
    <w:rsid w:val="008B1A4D"/>
    <w:rsid w:val="008B1B6B"/>
    <w:rsid w:val="008B261C"/>
    <w:rsid w:val="008B2835"/>
    <w:rsid w:val="008B28C7"/>
    <w:rsid w:val="008B3289"/>
    <w:rsid w:val="008B38EB"/>
    <w:rsid w:val="008B3AED"/>
    <w:rsid w:val="008B4232"/>
    <w:rsid w:val="008B4EA9"/>
    <w:rsid w:val="008B5291"/>
    <w:rsid w:val="008B53D4"/>
    <w:rsid w:val="008B5D5F"/>
    <w:rsid w:val="008B6694"/>
    <w:rsid w:val="008B683F"/>
    <w:rsid w:val="008B6A8E"/>
    <w:rsid w:val="008B6FC8"/>
    <w:rsid w:val="008B7E84"/>
    <w:rsid w:val="008C025B"/>
    <w:rsid w:val="008C05C2"/>
    <w:rsid w:val="008C068A"/>
    <w:rsid w:val="008C0746"/>
    <w:rsid w:val="008C11FB"/>
    <w:rsid w:val="008C1A2A"/>
    <w:rsid w:val="008C21D2"/>
    <w:rsid w:val="008C39CF"/>
    <w:rsid w:val="008C3C4F"/>
    <w:rsid w:val="008C469E"/>
    <w:rsid w:val="008C486B"/>
    <w:rsid w:val="008C4E7C"/>
    <w:rsid w:val="008C508C"/>
    <w:rsid w:val="008C5545"/>
    <w:rsid w:val="008C59DE"/>
    <w:rsid w:val="008C5D79"/>
    <w:rsid w:val="008C5E5A"/>
    <w:rsid w:val="008C6321"/>
    <w:rsid w:val="008C637C"/>
    <w:rsid w:val="008C64CD"/>
    <w:rsid w:val="008C6525"/>
    <w:rsid w:val="008C72BD"/>
    <w:rsid w:val="008C7F95"/>
    <w:rsid w:val="008D020D"/>
    <w:rsid w:val="008D048B"/>
    <w:rsid w:val="008D1DC3"/>
    <w:rsid w:val="008D21A6"/>
    <w:rsid w:val="008D23D7"/>
    <w:rsid w:val="008D3064"/>
    <w:rsid w:val="008D3150"/>
    <w:rsid w:val="008D3682"/>
    <w:rsid w:val="008D3721"/>
    <w:rsid w:val="008D401F"/>
    <w:rsid w:val="008D43CF"/>
    <w:rsid w:val="008D455E"/>
    <w:rsid w:val="008D57AD"/>
    <w:rsid w:val="008D589C"/>
    <w:rsid w:val="008D5A21"/>
    <w:rsid w:val="008D6BC8"/>
    <w:rsid w:val="008D6F37"/>
    <w:rsid w:val="008D6FF1"/>
    <w:rsid w:val="008D75E2"/>
    <w:rsid w:val="008D7977"/>
    <w:rsid w:val="008D7989"/>
    <w:rsid w:val="008D7C51"/>
    <w:rsid w:val="008E040F"/>
    <w:rsid w:val="008E07F2"/>
    <w:rsid w:val="008E09FE"/>
    <w:rsid w:val="008E10EB"/>
    <w:rsid w:val="008E1323"/>
    <w:rsid w:val="008E1360"/>
    <w:rsid w:val="008E13E4"/>
    <w:rsid w:val="008E14A4"/>
    <w:rsid w:val="008E1670"/>
    <w:rsid w:val="008E188D"/>
    <w:rsid w:val="008E1ADC"/>
    <w:rsid w:val="008E1BDA"/>
    <w:rsid w:val="008E1EB0"/>
    <w:rsid w:val="008E260B"/>
    <w:rsid w:val="008E27F6"/>
    <w:rsid w:val="008E287D"/>
    <w:rsid w:val="008E2CC3"/>
    <w:rsid w:val="008E2ECA"/>
    <w:rsid w:val="008E3612"/>
    <w:rsid w:val="008E4E62"/>
    <w:rsid w:val="008E504A"/>
    <w:rsid w:val="008E68AE"/>
    <w:rsid w:val="008E6A97"/>
    <w:rsid w:val="008E6CC6"/>
    <w:rsid w:val="008E7085"/>
    <w:rsid w:val="008F0AA3"/>
    <w:rsid w:val="008F0D09"/>
    <w:rsid w:val="008F0D39"/>
    <w:rsid w:val="008F0D84"/>
    <w:rsid w:val="008F1759"/>
    <w:rsid w:val="008F21BA"/>
    <w:rsid w:val="008F2310"/>
    <w:rsid w:val="008F2475"/>
    <w:rsid w:val="008F288A"/>
    <w:rsid w:val="008F2A6C"/>
    <w:rsid w:val="008F338F"/>
    <w:rsid w:val="008F3765"/>
    <w:rsid w:val="008F37D0"/>
    <w:rsid w:val="008F3D00"/>
    <w:rsid w:val="008F3F41"/>
    <w:rsid w:val="008F445D"/>
    <w:rsid w:val="008F4EF6"/>
    <w:rsid w:val="008F60C3"/>
    <w:rsid w:val="008F70A8"/>
    <w:rsid w:val="008F751B"/>
    <w:rsid w:val="008F7B8B"/>
    <w:rsid w:val="009005BE"/>
    <w:rsid w:val="00900910"/>
    <w:rsid w:val="00900D68"/>
    <w:rsid w:val="00900F4A"/>
    <w:rsid w:val="00901177"/>
    <w:rsid w:val="009011AC"/>
    <w:rsid w:val="009014F9"/>
    <w:rsid w:val="00901558"/>
    <w:rsid w:val="00901970"/>
    <w:rsid w:val="00902485"/>
    <w:rsid w:val="00902915"/>
    <w:rsid w:val="00902ABC"/>
    <w:rsid w:val="00902C08"/>
    <w:rsid w:val="00904653"/>
    <w:rsid w:val="009049C1"/>
    <w:rsid w:val="009052AB"/>
    <w:rsid w:val="009053FA"/>
    <w:rsid w:val="00905F88"/>
    <w:rsid w:val="00906258"/>
    <w:rsid w:val="0090629A"/>
    <w:rsid w:val="0090680D"/>
    <w:rsid w:val="00906947"/>
    <w:rsid w:val="00906A8A"/>
    <w:rsid w:val="00906AA4"/>
    <w:rsid w:val="00906C47"/>
    <w:rsid w:val="00907216"/>
    <w:rsid w:val="00907823"/>
    <w:rsid w:val="00911155"/>
    <w:rsid w:val="0091131C"/>
    <w:rsid w:val="00911C99"/>
    <w:rsid w:val="009120DE"/>
    <w:rsid w:val="009124F9"/>
    <w:rsid w:val="009128C3"/>
    <w:rsid w:val="00912963"/>
    <w:rsid w:val="009138A2"/>
    <w:rsid w:val="00913C02"/>
    <w:rsid w:val="00913EC2"/>
    <w:rsid w:val="0091449A"/>
    <w:rsid w:val="00914F2A"/>
    <w:rsid w:val="00915150"/>
    <w:rsid w:val="00915637"/>
    <w:rsid w:val="009157EF"/>
    <w:rsid w:val="0091611C"/>
    <w:rsid w:val="0091650F"/>
    <w:rsid w:val="009167C3"/>
    <w:rsid w:val="009174F2"/>
    <w:rsid w:val="00917626"/>
    <w:rsid w:val="009179AE"/>
    <w:rsid w:val="00917B91"/>
    <w:rsid w:val="00920850"/>
    <w:rsid w:val="00920A4C"/>
    <w:rsid w:val="00920E8D"/>
    <w:rsid w:val="00921549"/>
    <w:rsid w:val="009218F4"/>
    <w:rsid w:val="00921979"/>
    <w:rsid w:val="00922559"/>
    <w:rsid w:val="00922B5E"/>
    <w:rsid w:val="00922F6B"/>
    <w:rsid w:val="0092300E"/>
    <w:rsid w:val="00923382"/>
    <w:rsid w:val="00923620"/>
    <w:rsid w:val="00923909"/>
    <w:rsid w:val="00924518"/>
    <w:rsid w:val="00924A3C"/>
    <w:rsid w:val="00924C64"/>
    <w:rsid w:val="00925296"/>
    <w:rsid w:val="00925323"/>
    <w:rsid w:val="009253B7"/>
    <w:rsid w:val="009254D6"/>
    <w:rsid w:val="009259DF"/>
    <w:rsid w:val="00925B5F"/>
    <w:rsid w:val="0092669B"/>
    <w:rsid w:val="00926AE3"/>
    <w:rsid w:val="00926B5D"/>
    <w:rsid w:val="00926BE5"/>
    <w:rsid w:val="0092782F"/>
    <w:rsid w:val="00927CAB"/>
    <w:rsid w:val="00927CCA"/>
    <w:rsid w:val="0093008C"/>
    <w:rsid w:val="0093073B"/>
    <w:rsid w:val="00930952"/>
    <w:rsid w:val="009315C1"/>
    <w:rsid w:val="0093163E"/>
    <w:rsid w:val="00931DD8"/>
    <w:rsid w:val="00931EAC"/>
    <w:rsid w:val="00932A1A"/>
    <w:rsid w:val="00932D06"/>
    <w:rsid w:val="00932E85"/>
    <w:rsid w:val="00933D1D"/>
    <w:rsid w:val="009341C8"/>
    <w:rsid w:val="00934957"/>
    <w:rsid w:val="00934964"/>
    <w:rsid w:val="009349D5"/>
    <w:rsid w:val="00934FDF"/>
    <w:rsid w:val="00935AFB"/>
    <w:rsid w:val="00935BF6"/>
    <w:rsid w:val="00935ECA"/>
    <w:rsid w:val="00936436"/>
    <w:rsid w:val="009364DE"/>
    <w:rsid w:val="00937B7E"/>
    <w:rsid w:val="00937D80"/>
    <w:rsid w:val="00937E8E"/>
    <w:rsid w:val="0094021F"/>
    <w:rsid w:val="009402D9"/>
    <w:rsid w:val="00940CE3"/>
    <w:rsid w:val="00941F2D"/>
    <w:rsid w:val="00942652"/>
    <w:rsid w:val="00942E69"/>
    <w:rsid w:val="00943121"/>
    <w:rsid w:val="00943467"/>
    <w:rsid w:val="009443F2"/>
    <w:rsid w:val="009447B4"/>
    <w:rsid w:val="009453E6"/>
    <w:rsid w:val="00945ED0"/>
    <w:rsid w:val="00946A4E"/>
    <w:rsid w:val="0094721A"/>
    <w:rsid w:val="00947354"/>
    <w:rsid w:val="00950CEC"/>
    <w:rsid w:val="00950D86"/>
    <w:rsid w:val="00950E09"/>
    <w:rsid w:val="00951538"/>
    <w:rsid w:val="00951F0F"/>
    <w:rsid w:val="00952033"/>
    <w:rsid w:val="009529FD"/>
    <w:rsid w:val="00952CFC"/>
    <w:rsid w:val="00952DF4"/>
    <w:rsid w:val="00953371"/>
    <w:rsid w:val="009538DC"/>
    <w:rsid w:val="00953CA6"/>
    <w:rsid w:val="00954D57"/>
    <w:rsid w:val="0095527C"/>
    <w:rsid w:val="009556A6"/>
    <w:rsid w:val="0095651A"/>
    <w:rsid w:val="00956F1B"/>
    <w:rsid w:val="009571C0"/>
    <w:rsid w:val="009576A4"/>
    <w:rsid w:val="0095798A"/>
    <w:rsid w:val="00957E39"/>
    <w:rsid w:val="00957F16"/>
    <w:rsid w:val="00960165"/>
    <w:rsid w:val="00960494"/>
    <w:rsid w:val="00960537"/>
    <w:rsid w:val="00961026"/>
    <w:rsid w:val="009620C5"/>
    <w:rsid w:val="009623EF"/>
    <w:rsid w:val="00962BDA"/>
    <w:rsid w:val="00962BF2"/>
    <w:rsid w:val="00963489"/>
    <w:rsid w:val="00963D64"/>
    <w:rsid w:val="00964A79"/>
    <w:rsid w:val="00964AA1"/>
    <w:rsid w:val="0096566A"/>
    <w:rsid w:val="009658FF"/>
    <w:rsid w:val="00965B5C"/>
    <w:rsid w:val="00965FBD"/>
    <w:rsid w:val="009661E7"/>
    <w:rsid w:val="00966BAC"/>
    <w:rsid w:val="0096793A"/>
    <w:rsid w:val="00967B22"/>
    <w:rsid w:val="00967C94"/>
    <w:rsid w:val="009702FB"/>
    <w:rsid w:val="009707C3"/>
    <w:rsid w:val="00970B2A"/>
    <w:rsid w:val="00970FD8"/>
    <w:rsid w:val="00971930"/>
    <w:rsid w:val="00971980"/>
    <w:rsid w:val="00971A33"/>
    <w:rsid w:val="00971BF5"/>
    <w:rsid w:val="009721DB"/>
    <w:rsid w:val="0097223D"/>
    <w:rsid w:val="0097233A"/>
    <w:rsid w:val="009725CA"/>
    <w:rsid w:val="009725CC"/>
    <w:rsid w:val="0097328C"/>
    <w:rsid w:val="009732C0"/>
    <w:rsid w:val="00973D18"/>
    <w:rsid w:val="00973DF4"/>
    <w:rsid w:val="00973EC5"/>
    <w:rsid w:val="00974846"/>
    <w:rsid w:val="009751AB"/>
    <w:rsid w:val="00975886"/>
    <w:rsid w:val="00975F0D"/>
    <w:rsid w:val="00975F92"/>
    <w:rsid w:val="009761EF"/>
    <w:rsid w:val="00976565"/>
    <w:rsid w:val="00976777"/>
    <w:rsid w:val="00976BDC"/>
    <w:rsid w:val="00977498"/>
    <w:rsid w:val="0098006D"/>
    <w:rsid w:val="0098043D"/>
    <w:rsid w:val="009808AB"/>
    <w:rsid w:val="00980928"/>
    <w:rsid w:val="00980B80"/>
    <w:rsid w:val="009810C0"/>
    <w:rsid w:val="0098164A"/>
    <w:rsid w:val="00982C7B"/>
    <w:rsid w:val="00982F61"/>
    <w:rsid w:val="0098398E"/>
    <w:rsid w:val="0098404F"/>
    <w:rsid w:val="00984376"/>
    <w:rsid w:val="00984B38"/>
    <w:rsid w:val="00984CCD"/>
    <w:rsid w:val="009851DE"/>
    <w:rsid w:val="00986133"/>
    <w:rsid w:val="00986242"/>
    <w:rsid w:val="00986A8F"/>
    <w:rsid w:val="00986BDD"/>
    <w:rsid w:val="00987919"/>
    <w:rsid w:val="00987B18"/>
    <w:rsid w:val="00987DEB"/>
    <w:rsid w:val="00990ABE"/>
    <w:rsid w:val="00990EC8"/>
    <w:rsid w:val="0099121B"/>
    <w:rsid w:val="009912DF"/>
    <w:rsid w:val="0099174F"/>
    <w:rsid w:val="00991CAF"/>
    <w:rsid w:val="00992789"/>
    <w:rsid w:val="00992ABE"/>
    <w:rsid w:val="009934BC"/>
    <w:rsid w:val="009939A1"/>
    <w:rsid w:val="00993A28"/>
    <w:rsid w:val="00993C3A"/>
    <w:rsid w:val="00993DC5"/>
    <w:rsid w:val="00994434"/>
    <w:rsid w:val="00994DAB"/>
    <w:rsid w:val="009952BA"/>
    <w:rsid w:val="00995F40"/>
    <w:rsid w:val="00996917"/>
    <w:rsid w:val="009969E7"/>
    <w:rsid w:val="009972EA"/>
    <w:rsid w:val="0099739C"/>
    <w:rsid w:val="00997DD4"/>
    <w:rsid w:val="00997FA3"/>
    <w:rsid w:val="009A02F9"/>
    <w:rsid w:val="009A080D"/>
    <w:rsid w:val="009A108C"/>
    <w:rsid w:val="009A1168"/>
    <w:rsid w:val="009A13AB"/>
    <w:rsid w:val="009A151E"/>
    <w:rsid w:val="009A2385"/>
    <w:rsid w:val="009A25B4"/>
    <w:rsid w:val="009A2ABE"/>
    <w:rsid w:val="009A30FA"/>
    <w:rsid w:val="009A4382"/>
    <w:rsid w:val="009A4856"/>
    <w:rsid w:val="009A4DC8"/>
    <w:rsid w:val="009A4EBB"/>
    <w:rsid w:val="009A5B54"/>
    <w:rsid w:val="009A5C40"/>
    <w:rsid w:val="009A60F0"/>
    <w:rsid w:val="009A6171"/>
    <w:rsid w:val="009A65C7"/>
    <w:rsid w:val="009A6A2F"/>
    <w:rsid w:val="009A6C21"/>
    <w:rsid w:val="009A6CCB"/>
    <w:rsid w:val="009A732F"/>
    <w:rsid w:val="009A7915"/>
    <w:rsid w:val="009A7925"/>
    <w:rsid w:val="009A79FE"/>
    <w:rsid w:val="009B024D"/>
    <w:rsid w:val="009B0339"/>
    <w:rsid w:val="009B0ABE"/>
    <w:rsid w:val="009B0E25"/>
    <w:rsid w:val="009B1336"/>
    <w:rsid w:val="009B1352"/>
    <w:rsid w:val="009B239C"/>
    <w:rsid w:val="009B2B2B"/>
    <w:rsid w:val="009B3138"/>
    <w:rsid w:val="009B32E1"/>
    <w:rsid w:val="009B3DAB"/>
    <w:rsid w:val="009B3E81"/>
    <w:rsid w:val="009B3E92"/>
    <w:rsid w:val="009B4460"/>
    <w:rsid w:val="009B4FE7"/>
    <w:rsid w:val="009B538F"/>
    <w:rsid w:val="009B5830"/>
    <w:rsid w:val="009B5BDB"/>
    <w:rsid w:val="009B5FBC"/>
    <w:rsid w:val="009B6627"/>
    <w:rsid w:val="009B67CF"/>
    <w:rsid w:val="009B68BE"/>
    <w:rsid w:val="009B7E18"/>
    <w:rsid w:val="009C103C"/>
    <w:rsid w:val="009C1822"/>
    <w:rsid w:val="009C3283"/>
    <w:rsid w:val="009C32ED"/>
    <w:rsid w:val="009C3A6C"/>
    <w:rsid w:val="009C42A4"/>
    <w:rsid w:val="009C515A"/>
    <w:rsid w:val="009C5C67"/>
    <w:rsid w:val="009C7032"/>
    <w:rsid w:val="009C7153"/>
    <w:rsid w:val="009C755C"/>
    <w:rsid w:val="009C780F"/>
    <w:rsid w:val="009D032E"/>
    <w:rsid w:val="009D0503"/>
    <w:rsid w:val="009D0582"/>
    <w:rsid w:val="009D1222"/>
    <w:rsid w:val="009D152C"/>
    <w:rsid w:val="009D1994"/>
    <w:rsid w:val="009D1A1B"/>
    <w:rsid w:val="009D1E70"/>
    <w:rsid w:val="009D1EF5"/>
    <w:rsid w:val="009D1FB9"/>
    <w:rsid w:val="009D21DA"/>
    <w:rsid w:val="009D2408"/>
    <w:rsid w:val="009D2AA9"/>
    <w:rsid w:val="009D2B4D"/>
    <w:rsid w:val="009D2CC0"/>
    <w:rsid w:val="009D2E0A"/>
    <w:rsid w:val="009D391C"/>
    <w:rsid w:val="009D399B"/>
    <w:rsid w:val="009D3C9A"/>
    <w:rsid w:val="009D3F57"/>
    <w:rsid w:val="009D3FED"/>
    <w:rsid w:val="009D405E"/>
    <w:rsid w:val="009D4893"/>
    <w:rsid w:val="009D4BB5"/>
    <w:rsid w:val="009D513F"/>
    <w:rsid w:val="009D55E5"/>
    <w:rsid w:val="009D5709"/>
    <w:rsid w:val="009D5A46"/>
    <w:rsid w:val="009D5B6C"/>
    <w:rsid w:val="009D5E57"/>
    <w:rsid w:val="009D621E"/>
    <w:rsid w:val="009D6264"/>
    <w:rsid w:val="009D675F"/>
    <w:rsid w:val="009D7BC5"/>
    <w:rsid w:val="009D7D0A"/>
    <w:rsid w:val="009E097B"/>
    <w:rsid w:val="009E108B"/>
    <w:rsid w:val="009E10A6"/>
    <w:rsid w:val="009E1759"/>
    <w:rsid w:val="009E19D8"/>
    <w:rsid w:val="009E1B87"/>
    <w:rsid w:val="009E2574"/>
    <w:rsid w:val="009E2BF4"/>
    <w:rsid w:val="009E3166"/>
    <w:rsid w:val="009E352B"/>
    <w:rsid w:val="009E4915"/>
    <w:rsid w:val="009E496E"/>
    <w:rsid w:val="009E498A"/>
    <w:rsid w:val="009E4BD8"/>
    <w:rsid w:val="009E4F4C"/>
    <w:rsid w:val="009E6A0D"/>
    <w:rsid w:val="009E6F4D"/>
    <w:rsid w:val="009E73C8"/>
    <w:rsid w:val="009E7629"/>
    <w:rsid w:val="009E7B79"/>
    <w:rsid w:val="009E7C44"/>
    <w:rsid w:val="009F01B4"/>
    <w:rsid w:val="009F0342"/>
    <w:rsid w:val="009F0532"/>
    <w:rsid w:val="009F0569"/>
    <w:rsid w:val="009F10E6"/>
    <w:rsid w:val="009F2473"/>
    <w:rsid w:val="009F3385"/>
    <w:rsid w:val="009F42A8"/>
    <w:rsid w:val="009F44DD"/>
    <w:rsid w:val="009F48A7"/>
    <w:rsid w:val="009F4972"/>
    <w:rsid w:val="009F53EC"/>
    <w:rsid w:val="009F6E13"/>
    <w:rsid w:val="009F7B86"/>
    <w:rsid w:val="00A00A59"/>
    <w:rsid w:val="00A016F3"/>
    <w:rsid w:val="00A01C60"/>
    <w:rsid w:val="00A01DC8"/>
    <w:rsid w:val="00A0283F"/>
    <w:rsid w:val="00A02B38"/>
    <w:rsid w:val="00A02BAB"/>
    <w:rsid w:val="00A0334A"/>
    <w:rsid w:val="00A0348D"/>
    <w:rsid w:val="00A037E2"/>
    <w:rsid w:val="00A038D6"/>
    <w:rsid w:val="00A03AC6"/>
    <w:rsid w:val="00A0475C"/>
    <w:rsid w:val="00A04ABF"/>
    <w:rsid w:val="00A04F15"/>
    <w:rsid w:val="00A04F57"/>
    <w:rsid w:val="00A05E45"/>
    <w:rsid w:val="00A06687"/>
    <w:rsid w:val="00A07157"/>
    <w:rsid w:val="00A07670"/>
    <w:rsid w:val="00A07D4F"/>
    <w:rsid w:val="00A07FD6"/>
    <w:rsid w:val="00A10468"/>
    <w:rsid w:val="00A1055D"/>
    <w:rsid w:val="00A10612"/>
    <w:rsid w:val="00A10F0C"/>
    <w:rsid w:val="00A11527"/>
    <w:rsid w:val="00A116F8"/>
    <w:rsid w:val="00A11AE4"/>
    <w:rsid w:val="00A122EC"/>
    <w:rsid w:val="00A129A2"/>
    <w:rsid w:val="00A12B8A"/>
    <w:rsid w:val="00A12F56"/>
    <w:rsid w:val="00A1309E"/>
    <w:rsid w:val="00A13AE1"/>
    <w:rsid w:val="00A13AEB"/>
    <w:rsid w:val="00A13EC9"/>
    <w:rsid w:val="00A1543E"/>
    <w:rsid w:val="00A154AE"/>
    <w:rsid w:val="00A15F0C"/>
    <w:rsid w:val="00A16179"/>
    <w:rsid w:val="00A165FF"/>
    <w:rsid w:val="00A17E7B"/>
    <w:rsid w:val="00A21177"/>
    <w:rsid w:val="00A215CF"/>
    <w:rsid w:val="00A21A73"/>
    <w:rsid w:val="00A2232E"/>
    <w:rsid w:val="00A22447"/>
    <w:rsid w:val="00A22734"/>
    <w:rsid w:val="00A22DF5"/>
    <w:rsid w:val="00A22EDA"/>
    <w:rsid w:val="00A22FAB"/>
    <w:rsid w:val="00A2327E"/>
    <w:rsid w:val="00A23416"/>
    <w:rsid w:val="00A2361C"/>
    <w:rsid w:val="00A2370A"/>
    <w:rsid w:val="00A2374E"/>
    <w:rsid w:val="00A23DD5"/>
    <w:rsid w:val="00A2412C"/>
    <w:rsid w:val="00A2417D"/>
    <w:rsid w:val="00A24A1E"/>
    <w:rsid w:val="00A24B08"/>
    <w:rsid w:val="00A251D3"/>
    <w:rsid w:val="00A25353"/>
    <w:rsid w:val="00A26064"/>
    <w:rsid w:val="00A260CB"/>
    <w:rsid w:val="00A2671A"/>
    <w:rsid w:val="00A27603"/>
    <w:rsid w:val="00A27FD5"/>
    <w:rsid w:val="00A30433"/>
    <w:rsid w:val="00A30706"/>
    <w:rsid w:val="00A3130E"/>
    <w:rsid w:val="00A32F3C"/>
    <w:rsid w:val="00A3388D"/>
    <w:rsid w:val="00A33D1E"/>
    <w:rsid w:val="00A3401C"/>
    <w:rsid w:val="00A3439A"/>
    <w:rsid w:val="00A34568"/>
    <w:rsid w:val="00A34ABE"/>
    <w:rsid w:val="00A34E48"/>
    <w:rsid w:val="00A34F5F"/>
    <w:rsid w:val="00A34FE0"/>
    <w:rsid w:val="00A34FF0"/>
    <w:rsid w:val="00A35522"/>
    <w:rsid w:val="00A358B4"/>
    <w:rsid w:val="00A37032"/>
    <w:rsid w:val="00A37398"/>
    <w:rsid w:val="00A3791F"/>
    <w:rsid w:val="00A37AAA"/>
    <w:rsid w:val="00A37BA3"/>
    <w:rsid w:val="00A40143"/>
    <w:rsid w:val="00A406FB"/>
    <w:rsid w:val="00A40800"/>
    <w:rsid w:val="00A40DCD"/>
    <w:rsid w:val="00A41690"/>
    <w:rsid w:val="00A41749"/>
    <w:rsid w:val="00A41D32"/>
    <w:rsid w:val="00A41F7D"/>
    <w:rsid w:val="00A4208E"/>
    <w:rsid w:val="00A4321B"/>
    <w:rsid w:val="00A43861"/>
    <w:rsid w:val="00A43D70"/>
    <w:rsid w:val="00A4433C"/>
    <w:rsid w:val="00A44619"/>
    <w:rsid w:val="00A44953"/>
    <w:rsid w:val="00A449E9"/>
    <w:rsid w:val="00A44BD2"/>
    <w:rsid w:val="00A463D9"/>
    <w:rsid w:val="00A469AB"/>
    <w:rsid w:val="00A46A68"/>
    <w:rsid w:val="00A46B47"/>
    <w:rsid w:val="00A4731C"/>
    <w:rsid w:val="00A479C2"/>
    <w:rsid w:val="00A47CAF"/>
    <w:rsid w:val="00A47DB5"/>
    <w:rsid w:val="00A5060E"/>
    <w:rsid w:val="00A50EE9"/>
    <w:rsid w:val="00A517D7"/>
    <w:rsid w:val="00A5188E"/>
    <w:rsid w:val="00A51A6E"/>
    <w:rsid w:val="00A5265F"/>
    <w:rsid w:val="00A52C61"/>
    <w:rsid w:val="00A533A3"/>
    <w:rsid w:val="00A53EA7"/>
    <w:rsid w:val="00A54141"/>
    <w:rsid w:val="00A54475"/>
    <w:rsid w:val="00A54B4E"/>
    <w:rsid w:val="00A54B7D"/>
    <w:rsid w:val="00A5565C"/>
    <w:rsid w:val="00A56B44"/>
    <w:rsid w:val="00A56F55"/>
    <w:rsid w:val="00A578FE"/>
    <w:rsid w:val="00A602CE"/>
    <w:rsid w:val="00A60413"/>
    <w:rsid w:val="00A60680"/>
    <w:rsid w:val="00A60CE1"/>
    <w:rsid w:val="00A61CFC"/>
    <w:rsid w:val="00A630AB"/>
    <w:rsid w:val="00A63758"/>
    <w:rsid w:val="00A6471A"/>
    <w:rsid w:val="00A64F28"/>
    <w:rsid w:val="00A65874"/>
    <w:rsid w:val="00A6612A"/>
    <w:rsid w:val="00A66CE9"/>
    <w:rsid w:val="00A66D4A"/>
    <w:rsid w:val="00A67D65"/>
    <w:rsid w:val="00A70440"/>
    <w:rsid w:val="00A70738"/>
    <w:rsid w:val="00A714AB"/>
    <w:rsid w:val="00A71505"/>
    <w:rsid w:val="00A719DF"/>
    <w:rsid w:val="00A72939"/>
    <w:rsid w:val="00A72E44"/>
    <w:rsid w:val="00A72ED5"/>
    <w:rsid w:val="00A7364D"/>
    <w:rsid w:val="00A738F3"/>
    <w:rsid w:val="00A7400E"/>
    <w:rsid w:val="00A74239"/>
    <w:rsid w:val="00A744BF"/>
    <w:rsid w:val="00A74682"/>
    <w:rsid w:val="00A74875"/>
    <w:rsid w:val="00A75938"/>
    <w:rsid w:val="00A75A8F"/>
    <w:rsid w:val="00A75B76"/>
    <w:rsid w:val="00A75F82"/>
    <w:rsid w:val="00A76363"/>
    <w:rsid w:val="00A76BE6"/>
    <w:rsid w:val="00A773D8"/>
    <w:rsid w:val="00A7755D"/>
    <w:rsid w:val="00A776E4"/>
    <w:rsid w:val="00A779CE"/>
    <w:rsid w:val="00A80009"/>
    <w:rsid w:val="00A80431"/>
    <w:rsid w:val="00A807BF"/>
    <w:rsid w:val="00A80888"/>
    <w:rsid w:val="00A80B5D"/>
    <w:rsid w:val="00A80E40"/>
    <w:rsid w:val="00A80E5E"/>
    <w:rsid w:val="00A81589"/>
    <w:rsid w:val="00A81CE6"/>
    <w:rsid w:val="00A81EEA"/>
    <w:rsid w:val="00A824CE"/>
    <w:rsid w:val="00A82701"/>
    <w:rsid w:val="00A8280E"/>
    <w:rsid w:val="00A8479C"/>
    <w:rsid w:val="00A84BA5"/>
    <w:rsid w:val="00A84E90"/>
    <w:rsid w:val="00A85673"/>
    <w:rsid w:val="00A857E1"/>
    <w:rsid w:val="00A85B91"/>
    <w:rsid w:val="00A8633B"/>
    <w:rsid w:val="00A86F48"/>
    <w:rsid w:val="00A86FB9"/>
    <w:rsid w:val="00A87439"/>
    <w:rsid w:val="00A874B2"/>
    <w:rsid w:val="00A8755F"/>
    <w:rsid w:val="00A8769F"/>
    <w:rsid w:val="00A879B7"/>
    <w:rsid w:val="00A9097A"/>
    <w:rsid w:val="00A91083"/>
    <w:rsid w:val="00A9181C"/>
    <w:rsid w:val="00A9202F"/>
    <w:rsid w:val="00A92C4B"/>
    <w:rsid w:val="00A92E98"/>
    <w:rsid w:val="00A930C2"/>
    <w:rsid w:val="00A9343C"/>
    <w:rsid w:val="00A935AF"/>
    <w:rsid w:val="00A937D1"/>
    <w:rsid w:val="00A937EE"/>
    <w:rsid w:val="00A952D3"/>
    <w:rsid w:val="00A958CD"/>
    <w:rsid w:val="00A95E76"/>
    <w:rsid w:val="00A9625F"/>
    <w:rsid w:val="00A97E11"/>
    <w:rsid w:val="00A97E82"/>
    <w:rsid w:val="00AA01FB"/>
    <w:rsid w:val="00AA0337"/>
    <w:rsid w:val="00AA0468"/>
    <w:rsid w:val="00AA0891"/>
    <w:rsid w:val="00AA0DF4"/>
    <w:rsid w:val="00AA0F60"/>
    <w:rsid w:val="00AA14C9"/>
    <w:rsid w:val="00AA1CE0"/>
    <w:rsid w:val="00AA24D4"/>
    <w:rsid w:val="00AA39B7"/>
    <w:rsid w:val="00AA5132"/>
    <w:rsid w:val="00AA5596"/>
    <w:rsid w:val="00AA62DA"/>
    <w:rsid w:val="00AA6357"/>
    <w:rsid w:val="00AA67BD"/>
    <w:rsid w:val="00AA7439"/>
    <w:rsid w:val="00AA7A00"/>
    <w:rsid w:val="00AA7D1B"/>
    <w:rsid w:val="00AB0ADC"/>
    <w:rsid w:val="00AB132A"/>
    <w:rsid w:val="00AB1358"/>
    <w:rsid w:val="00AB1531"/>
    <w:rsid w:val="00AB1986"/>
    <w:rsid w:val="00AB22F7"/>
    <w:rsid w:val="00AB2962"/>
    <w:rsid w:val="00AB2A92"/>
    <w:rsid w:val="00AB2BA9"/>
    <w:rsid w:val="00AB2BFA"/>
    <w:rsid w:val="00AB2F55"/>
    <w:rsid w:val="00AB3075"/>
    <w:rsid w:val="00AB3859"/>
    <w:rsid w:val="00AB3891"/>
    <w:rsid w:val="00AB43E2"/>
    <w:rsid w:val="00AB4B75"/>
    <w:rsid w:val="00AB4D1A"/>
    <w:rsid w:val="00AB5EE5"/>
    <w:rsid w:val="00AB5F86"/>
    <w:rsid w:val="00AB6E12"/>
    <w:rsid w:val="00AC0243"/>
    <w:rsid w:val="00AC058C"/>
    <w:rsid w:val="00AC0F17"/>
    <w:rsid w:val="00AC1AD6"/>
    <w:rsid w:val="00AC2137"/>
    <w:rsid w:val="00AC2500"/>
    <w:rsid w:val="00AC26DE"/>
    <w:rsid w:val="00AC492A"/>
    <w:rsid w:val="00AC4F3F"/>
    <w:rsid w:val="00AC5A27"/>
    <w:rsid w:val="00AC6138"/>
    <w:rsid w:val="00AC6754"/>
    <w:rsid w:val="00AD03F1"/>
    <w:rsid w:val="00AD073D"/>
    <w:rsid w:val="00AD0764"/>
    <w:rsid w:val="00AD09BE"/>
    <w:rsid w:val="00AD0A33"/>
    <w:rsid w:val="00AD0C0D"/>
    <w:rsid w:val="00AD1550"/>
    <w:rsid w:val="00AD184A"/>
    <w:rsid w:val="00AD2554"/>
    <w:rsid w:val="00AD2595"/>
    <w:rsid w:val="00AD37EA"/>
    <w:rsid w:val="00AD392E"/>
    <w:rsid w:val="00AD39CE"/>
    <w:rsid w:val="00AD3A59"/>
    <w:rsid w:val="00AD3F82"/>
    <w:rsid w:val="00AD41BE"/>
    <w:rsid w:val="00AD42B1"/>
    <w:rsid w:val="00AD4A5A"/>
    <w:rsid w:val="00AD4CFE"/>
    <w:rsid w:val="00AD540B"/>
    <w:rsid w:val="00AD591F"/>
    <w:rsid w:val="00AD5D0C"/>
    <w:rsid w:val="00AD6181"/>
    <w:rsid w:val="00AD7387"/>
    <w:rsid w:val="00AD7CC3"/>
    <w:rsid w:val="00AE03B4"/>
    <w:rsid w:val="00AE03C4"/>
    <w:rsid w:val="00AE0982"/>
    <w:rsid w:val="00AE0FB8"/>
    <w:rsid w:val="00AE125E"/>
    <w:rsid w:val="00AE1266"/>
    <w:rsid w:val="00AE187A"/>
    <w:rsid w:val="00AE1F59"/>
    <w:rsid w:val="00AE21EF"/>
    <w:rsid w:val="00AE21FD"/>
    <w:rsid w:val="00AE2931"/>
    <w:rsid w:val="00AE325D"/>
    <w:rsid w:val="00AE3E29"/>
    <w:rsid w:val="00AE469E"/>
    <w:rsid w:val="00AE535A"/>
    <w:rsid w:val="00AE5AF2"/>
    <w:rsid w:val="00AE5F5A"/>
    <w:rsid w:val="00AE6A3B"/>
    <w:rsid w:val="00AE7396"/>
    <w:rsid w:val="00AE7DED"/>
    <w:rsid w:val="00AE7F60"/>
    <w:rsid w:val="00AF0696"/>
    <w:rsid w:val="00AF06C1"/>
    <w:rsid w:val="00AF1119"/>
    <w:rsid w:val="00AF13D1"/>
    <w:rsid w:val="00AF17A9"/>
    <w:rsid w:val="00AF20A0"/>
    <w:rsid w:val="00AF21FB"/>
    <w:rsid w:val="00AF2921"/>
    <w:rsid w:val="00AF2E07"/>
    <w:rsid w:val="00AF2F43"/>
    <w:rsid w:val="00AF3266"/>
    <w:rsid w:val="00AF46EA"/>
    <w:rsid w:val="00AF4FAE"/>
    <w:rsid w:val="00AF5349"/>
    <w:rsid w:val="00AF558A"/>
    <w:rsid w:val="00AF5900"/>
    <w:rsid w:val="00AF6235"/>
    <w:rsid w:val="00AF63E2"/>
    <w:rsid w:val="00AF6678"/>
    <w:rsid w:val="00AF6AA1"/>
    <w:rsid w:val="00AF76E7"/>
    <w:rsid w:val="00B00A20"/>
    <w:rsid w:val="00B01370"/>
    <w:rsid w:val="00B01C74"/>
    <w:rsid w:val="00B021DA"/>
    <w:rsid w:val="00B0352B"/>
    <w:rsid w:val="00B03684"/>
    <w:rsid w:val="00B03CCE"/>
    <w:rsid w:val="00B04826"/>
    <w:rsid w:val="00B054E3"/>
    <w:rsid w:val="00B059A6"/>
    <w:rsid w:val="00B05D4B"/>
    <w:rsid w:val="00B06270"/>
    <w:rsid w:val="00B069FD"/>
    <w:rsid w:val="00B06ECA"/>
    <w:rsid w:val="00B070E2"/>
    <w:rsid w:val="00B07524"/>
    <w:rsid w:val="00B07A16"/>
    <w:rsid w:val="00B102BE"/>
    <w:rsid w:val="00B10417"/>
    <w:rsid w:val="00B10DEC"/>
    <w:rsid w:val="00B1101D"/>
    <w:rsid w:val="00B113E7"/>
    <w:rsid w:val="00B116B2"/>
    <w:rsid w:val="00B11BB7"/>
    <w:rsid w:val="00B11DD4"/>
    <w:rsid w:val="00B11EE3"/>
    <w:rsid w:val="00B121F4"/>
    <w:rsid w:val="00B12537"/>
    <w:rsid w:val="00B125F4"/>
    <w:rsid w:val="00B1275C"/>
    <w:rsid w:val="00B1365E"/>
    <w:rsid w:val="00B13E6B"/>
    <w:rsid w:val="00B13F63"/>
    <w:rsid w:val="00B14A65"/>
    <w:rsid w:val="00B1515D"/>
    <w:rsid w:val="00B151A5"/>
    <w:rsid w:val="00B15506"/>
    <w:rsid w:val="00B15651"/>
    <w:rsid w:val="00B15750"/>
    <w:rsid w:val="00B15862"/>
    <w:rsid w:val="00B1599A"/>
    <w:rsid w:val="00B160E3"/>
    <w:rsid w:val="00B16431"/>
    <w:rsid w:val="00B1668A"/>
    <w:rsid w:val="00B16C6C"/>
    <w:rsid w:val="00B16E60"/>
    <w:rsid w:val="00B175AA"/>
    <w:rsid w:val="00B17B9D"/>
    <w:rsid w:val="00B17BFD"/>
    <w:rsid w:val="00B17EC8"/>
    <w:rsid w:val="00B2001B"/>
    <w:rsid w:val="00B21467"/>
    <w:rsid w:val="00B21E89"/>
    <w:rsid w:val="00B22007"/>
    <w:rsid w:val="00B221CA"/>
    <w:rsid w:val="00B22A55"/>
    <w:rsid w:val="00B233E9"/>
    <w:rsid w:val="00B240FF"/>
    <w:rsid w:val="00B241F8"/>
    <w:rsid w:val="00B250BC"/>
    <w:rsid w:val="00B25728"/>
    <w:rsid w:val="00B2602A"/>
    <w:rsid w:val="00B264BF"/>
    <w:rsid w:val="00B2742A"/>
    <w:rsid w:val="00B27499"/>
    <w:rsid w:val="00B27A53"/>
    <w:rsid w:val="00B30763"/>
    <w:rsid w:val="00B307E6"/>
    <w:rsid w:val="00B30CA0"/>
    <w:rsid w:val="00B30D95"/>
    <w:rsid w:val="00B31530"/>
    <w:rsid w:val="00B31754"/>
    <w:rsid w:val="00B31D9B"/>
    <w:rsid w:val="00B31ED8"/>
    <w:rsid w:val="00B3226C"/>
    <w:rsid w:val="00B323AF"/>
    <w:rsid w:val="00B3272F"/>
    <w:rsid w:val="00B331DF"/>
    <w:rsid w:val="00B334B4"/>
    <w:rsid w:val="00B33CC8"/>
    <w:rsid w:val="00B353D1"/>
    <w:rsid w:val="00B35B15"/>
    <w:rsid w:val="00B35B7C"/>
    <w:rsid w:val="00B36CEE"/>
    <w:rsid w:val="00B376AD"/>
    <w:rsid w:val="00B37E91"/>
    <w:rsid w:val="00B400CE"/>
    <w:rsid w:val="00B401DB"/>
    <w:rsid w:val="00B404D0"/>
    <w:rsid w:val="00B4055B"/>
    <w:rsid w:val="00B420AE"/>
    <w:rsid w:val="00B42678"/>
    <w:rsid w:val="00B42D5F"/>
    <w:rsid w:val="00B4348B"/>
    <w:rsid w:val="00B4373A"/>
    <w:rsid w:val="00B43B45"/>
    <w:rsid w:val="00B44317"/>
    <w:rsid w:val="00B44B90"/>
    <w:rsid w:val="00B4501C"/>
    <w:rsid w:val="00B4526C"/>
    <w:rsid w:val="00B45767"/>
    <w:rsid w:val="00B46AAF"/>
    <w:rsid w:val="00B47222"/>
    <w:rsid w:val="00B47441"/>
    <w:rsid w:val="00B47FAE"/>
    <w:rsid w:val="00B50A9B"/>
    <w:rsid w:val="00B50ADF"/>
    <w:rsid w:val="00B51572"/>
    <w:rsid w:val="00B51E71"/>
    <w:rsid w:val="00B52C40"/>
    <w:rsid w:val="00B5303D"/>
    <w:rsid w:val="00B531E3"/>
    <w:rsid w:val="00B535CC"/>
    <w:rsid w:val="00B53887"/>
    <w:rsid w:val="00B53A7E"/>
    <w:rsid w:val="00B53C15"/>
    <w:rsid w:val="00B53D77"/>
    <w:rsid w:val="00B53E04"/>
    <w:rsid w:val="00B547ED"/>
    <w:rsid w:val="00B55209"/>
    <w:rsid w:val="00B5539F"/>
    <w:rsid w:val="00B5626A"/>
    <w:rsid w:val="00B564C7"/>
    <w:rsid w:val="00B5663F"/>
    <w:rsid w:val="00B57C34"/>
    <w:rsid w:val="00B57D5C"/>
    <w:rsid w:val="00B57DC6"/>
    <w:rsid w:val="00B60226"/>
    <w:rsid w:val="00B614D9"/>
    <w:rsid w:val="00B62325"/>
    <w:rsid w:val="00B62934"/>
    <w:rsid w:val="00B62992"/>
    <w:rsid w:val="00B62CA8"/>
    <w:rsid w:val="00B634A6"/>
    <w:rsid w:val="00B63FF7"/>
    <w:rsid w:val="00B64086"/>
    <w:rsid w:val="00B641FC"/>
    <w:rsid w:val="00B643AF"/>
    <w:rsid w:val="00B64A79"/>
    <w:rsid w:val="00B65A62"/>
    <w:rsid w:val="00B66F41"/>
    <w:rsid w:val="00B67317"/>
    <w:rsid w:val="00B67FA0"/>
    <w:rsid w:val="00B70A79"/>
    <w:rsid w:val="00B71A3C"/>
    <w:rsid w:val="00B71FE1"/>
    <w:rsid w:val="00B72027"/>
    <w:rsid w:val="00B72267"/>
    <w:rsid w:val="00B72BF8"/>
    <w:rsid w:val="00B72D4C"/>
    <w:rsid w:val="00B72EB4"/>
    <w:rsid w:val="00B739FD"/>
    <w:rsid w:val="00B73FDF"/>
    <w:rsid w:val="00B74E82"/>
    <w:rsid w:val="00B74FBD"/>
    <w:rsid w:val="00B75317"/>
    <w:rsid w:val="00B7547A"/>
    <w:rsid w:val="00B75545"/>
    <w:rsid w:val="00B75762"/>
    <w:rsid w:val="00B75C57"/>
    <w:rsid w:val="00B75D83"/>
    <w:rsid w:val="00B75EA0"/>
    <w:rsid w:val="00B762FB"/>
    <w:rsid w:val="00B763E6"/>
    <w:rsid w:val="00B76686"/>
    <w:rsid w:val="00B76AF1"/>
    <w:rsid w:val="00B76C95"/>
    <w:rsid w:val="00B76E7C"/>
    <w:rsid w:val="00B77415"/>
    <w:rsid w:val="00B776F9"/>
    <w:rsid w:val="00B77A8F"/>
    <w:rsid w:val="00B77BCE"/>
    <w:rsid w:val="00B77E3A"/>
    <w:rsid w:val="00B77FE6"/>
    <w:rsid w:val="00B8028E"/>
    <w:rsid w:val="00B82743"/>
    <w:rsid w:val="00B828C0"/>
    <w:rsid w:val="00B82A9E"/>
    <w:rsid w:val="00B82E54"/>
    <w:rsid w:val="00B83B17"/>
    <w:rsid w:val="00B83FE8"/>
    <w:rsid w:val="00B84440"/>
    <w:rsid w:val="00B84906"/>
    <w:rsid w:val="00B853EC"/>
    <w:rsid w:val="00B8576E"/>
    <w:rsid w:val="00B85837"/>
    <w:rsid w:val="00B85E2D"/>
    <w:rsid w:val="00B8621D"/>
    <w:rsid w:val="00B86465"/>
    <w:rsid w:val="00B86BF1"/>
    <w:rsid w:val="00B90095"/>
    <w:rsid w:val="00B910CF"/>
    <w:rsid w:val="00B917F1"/>
    <w:rsid w:val="00B93D1C"/>
    <w:rsid w:val="00B93E25"/>
    <w:rsid w:val="00B94536"/>
    <w:rsid w:val="00B94637"/>
    <w:rsid w:val="00B94829"/>
    <w:rsid w:val="00B94962"/>
    <w:rsid w:val="00B94E82"/>
    <w:rsid w:val="00B955BD"/>
    <w:rsid w:val="00B955DD"/>
    <w:rsid w:val="00B95AF7"/>
    <w:rsid w:val="00B95D54"/>
    <w:rsid w:val="00B965D8"/>
    <w:rsid w:val="00BA06ED"/>
    <w:rsid w:val="00BA0B2E"/>
    <w:rsid w:val="00BA167E"/>
    <w:rsid w:val="00BA2349"/>
    <w:rsid w:val="00BA2B45"/>
    <w:rsid w:val="00BA3168"/>
    <w:rsid w:val="00BA3C06"/>
    <w:rsid w:val="00BA417D"/>
    <w:rsid w:val="00BA48A3"/>
    <w:rsid w:val="00BA49D7"/>
    <w:rsid w:val="00BA4E58"/>
    <w:rsid w:val="00BA539A"/>
    <w:rsid w:val="00BA53DD"/>
    <w:rsid w:val="00BA5CC9"/>
    <w:rsid w:val="00BA6073"/>
    <w:rsid w:val="00BA68B4"/>
    <w:rsid w:val="00BA73B0"/>
    <w:rsid w:val="00BB03BF"/>
    <w:rsid w:val="00BB0A99"/>
    <w:rsid w:val="00BB1AB8"/>
    <w:rsid w:val="00BB2604"/>
    <w:rsid w:val="00BB2D38"/>
    <w:rsid w:val="00BB2E0F"/>
    <w:rsid w:val="00BB2E97"/>
    <w:rsid w:val="00BB3B45"/>
    <w:rsid w:val="00BB466B"/>
    <w:rsid w:val="00BB5BD9"/>
    <w:rsid w:val="00BB7EDA"/>
    <w:rsid w:val="00BC0EB0"/>
    <w:rsid w:val="00BC12C2"/>
    <w:rsid w:val="00BC1643"/>
    <w:rsid w:val="00BC1AC8"/>
    <w:rsid w:val="00BC1C1B"/>
    <w:rsid w:val="00BC1C68"/>
    <w:rsid w:val="00BC23B6"/>
    <w:rsid w:val="00BC2517"/>
    <w:rsid w:val="00BC25C1"/>
    <w:rsid w:val="00BC261D"/>
    <w:rsid w:val="00BC2AF5"/>
    <w:rsid w:val="00BC2B6F"/>
    <w:rsid w:val="00BC2FF3"/>
    <w:rsid w:val="00BC339B"/>
    <w:rsid w:val="00BC3883"/>
    <w:rsid w:val="00BC434C"/>
    <w:rsid w:val="00BC4610"/>
    <w:rsid w:val="00BC53FA"/>
    <w:rsid w:val="00BC569B"/>
    <w:rsid w:val="00BC6B9F"/>
    <w:rsid w:val="00BC7803"/>
    <w:rsid w:val="00BC7D8C"/>
    <w:rsid w:val="00BC7F85"/>
    <w:rsid w:val="00BD05AC"/>
    <w:rsid w:val="00BD15B5"/>
    <w:rsid w:val="00BD2259"/>
    <w:rsid w:val="00BD2BC3"/>
    <w:rsid w:val="00BD2EAA"/>
    <w:rsid w:val="00BD3395"/>
    <w:rsid w:val="00BD3522"/>
    <w:rsid w:val="00BD371B"/>
    <w:rsid w:val="00BD3BFB"/>
    <w:rsid w:val="00BD43E6"/>
    <w:rsid w:val="00BD4CDB"/>
    <w:rsid w:val="00BD52D4"/>
    <w:rsid w:val="00BD53CF"/>
    <w:rsid w:val="00BD541F"/>
    <w:rsid w:val="00BD5F4F"/>
    <w:rsid w:val="00BD6F66"/>
    <w:rsid w:val="00BD7207"/>
    <w:rsid w:val="00BD7B9A"/>
    <w:rsid w:val="00BE0496"/>
    <w:rsid w:val="00BE0970"/>
    <w:rsid w:val="00BE0B18"/>
    <w:rsid w:val="00BE0CD7"/>
    <w:rsid w:val="00BE0ECB"/>
    <w:rsid w:val="00BE1111"/>
    <w:rsid w:val="00BE11E1"/>
    <w:rsid w:val="00BE2447"/>
    <w:rsid w:val="00BE33F5"/>
    <w:rsid w:val="00BE3EC2"/>
    <w:rsid w:val="00BE42CC"/>
    <w:rsid w:val="00BE444F"/>
    <w:rsid w:val="00BE4D83"/>
    <w:rsid w:val="00BE5211"/>
    <w:rsid w:val="00BE5CBC"/>
    <w:rsid w:val="00BE5F49"/>
    <w:rsid w:val="00BE60A6"/>
    <w:rsid w:val="00BE67A9"/>
    <w:rsid w:val="00BF0390"/>
    <w:rsid w:val="00BF0638"/>
    <w:rsid w:val="00BF06E9"/>
    <w:rsid w:val="00BF1EEB"/>
    <w:rsid w:val="00BF2899"/>
    <w:rsid w:val="00BF28E7"/>
    <w:rsid w:val="00BF3152"/>
    <w:rsid w:val="00BF364C"/>
    <w:rsid w:val="00BF3B0A"/>
    <w:rsid w:val="00BF3C20"/>
    <w:rsid w:val="00BF45D9"/>
    <w:rsid w:val="00BF47A8"/>
    <w:rsid w:val="00BF50E7"/>
    <w:rsid w:val="00BF5F3D"/>
    <w:rsid w:val="00BF698A"/>
    <w:rsid w:val="00BF733E"/>
    <w:rsid w:val="00BF7BD3"/>
    <w:rsid w:val="00C007FE"/>
    <w:rsid w:val="00C00B61"/>
    <w:rsid w:val="00C011FD"/>
    <w:rsid w:val="00C021CE"/>
    <w:rsid w:val="00C02468"/>
    <w:rsid w:val="00C031F6"/>
    <w:rsid w:val="00C03775"/>
    <w:rsid w:val="00C04C33"/>
    <w:rsid w:val="00C05253"/>
    <w:rsid w:val="00C0537E"/>
    <w:rsid w:val="00C05BDE"/>
    <w:rsid w:val="00C05FE3"/>
    <w:rsid w:val="00C0620B"/>
    <w:rsid w:val="00C06692"/>
    <w:rsid w:val="00C066C4"/>
    <w:rsid w:val="00C067FC"/>
    <w:rsid w:val="00C07193"/>
    <w:rsid w:val="00C0799A"/>
    <w:rsid w:val="00C104CF"/>
    <w:rsid w:val="00C10C00"/>
    <w:rsid w:val="00C10CEE"/>
    <w:rsid w:val="00C1197F"/>
    <w:rsid w:val="00C11D0D"/>
    <w:rsid w:val="00C133C9"/>
    <w:rsid w:val="00C134C8"/>
    <w:rsid w:val="00C14344"/>
    <w:rsid w:val="00C14498"/>
    <w:rsid w:val="00C1465C"/>
    <w:rsid w:val="00C14AC5"/>
    <w:rsid w:val="00C14D1A"/>
    <w:rsid w:val="00C14D83"/>
    <w:rsid w:val="00C14F47"/>
    <w:rsid w:val="00C15720"/>
    <w:rsid w:val="00C15D52"/>
    <w:rsid w:val="00C15E73"/>
    <w:rsid w:val="00C1632D"/>
    <w:rsid w:val="00C16370"/>
    <w:rsid w:val="00C165A1"/>
    <w:rsid w:val="00C16BA1"/>
    <w:rsid w:val="00C171C3"/>
    <w:rsid w:val="00C17609"/>
    <w:rsid w:val="00C177B2"/>
    <w:rsid w:val="00C17F22"/>
    <w:rsid w:val="00C2010D"/>
    <w:rsid w:val="00C202BD"/>
    <w:rsid w:val="00C2064D"/>
    <w:rsid w:val="00C20A58"/>
    <w:rsid w:val="00C20BF2"/>
    <w:rsid w:val="00C20C34"/>
    <w:rsid w:val="00C21408"/>
    <w:rsid w:val="00C21BBF"/>
    <w:rsid w:val="00C21D6F"/>
    <w:rsid w:val="00C21F29"/>
    <w:rsid w:val="00C22092"/>
    <w:rsid w:val="00C226BE"/>
    <w:rsid w:val="00C22722"/>
    <w:rsid w:val="00C232CF"/>
    <w:rsid w:val="00C23502"/>
    <w:rsid w:val="00C2359E"/>
    <w:rsid w:val="00C23A13"/>
    <w:rsid w:val="00C23D59"/>
    <w:rsid w:val="00C24041"/>
    <w:rsid w:val="00C240C2"/>
    <w:rsid w:val="00C24840"/>
    <w:rsid w:val="00C248E1"/>
    <w:rsid w:val="00C249BE"/>
    <w:rsid w:val="00C253F6"/>
    <w:rsid w:val="00C25467"/>
    <w:rsid w:val="00C2558F"/>
    <w:rsid w:val="00C262AA"/>
    <w:rsid w:val="00C26B76"/>
    <w:rsid w:val="00C27CA2"/>
    <w:rsid w:val="00C27F1B"/>
    <w:rsid w:val="00C305BE"/>
    <w:rsid w:val="00C31025"/>
    <w:rsid w:val="00C3128B"/>
    <w:rsid w:val="00C317E9"/>
    <w:rsid w:val="00C31942"/>
    <w:rsid w:val="00C31BB5"/>
    <w:rsid w:val="00C327AD"/>
    <w:rsid w:val="00C32BB5"/>
    <w:rsid w:val="00C32C26"/>
    <w:rsid w:val="00C32DE3"/>
    <w:rsid w:val="00C34621"/>
    <w:rsid w:val="00C34B43"/>
    <w:rsid w:val="00C34FDF"/>
    <w:rsid w:val="00C351A1"/>
    <w:rsid w:val="00C35923"/>
    <w:rsid w:val="00C360FF"/>
    <w:rsid w:val="00C36380"/>
    <w:rsid w:val="00C36441"/>
    <w:rsid w:val="00C36547"/>
    <w:rsid w:val="00C3675E"/>
    <w:rsid w:val="00C36DDD"/>
    <w:rsid w:val="00C374A4"/>
    <w:rsid w:val="00C37C5B"/>
    <w:rsid w:val="00C37E44"/>
    <w:rsid w:val="00C37EC8"/>
    <w:rsid w:val="00C400B7"/>
    <w:rsid w:val="00C404FB"/>
    <w:rsid w:val="00C4063A"/>
    <w:rsid w:val="00C41150"/>
    <w:rsid w:val="00C413D6"/>
    <w:rsid w:val="00C418A2"/>
    <w:rsid w:val="00C42D5F"/>
    <w:rsid w:val="00C4322F"/>
    <w:rsid w:val="00C43264"/>
    <w:rsid w:val="00C43C81"/>
    <w:rsid w:val="00C450AB"/>
    <w:rsid w:val="00C453D6"/>
    <w:rsid w:val="00C455C0"/>
    <w:rsid w:val="00C456E5"/>
    <w:rsid w:val="00C45762"/>
    <w:rsid w:val="00C45F5C"/>
    <w:rsid w:val="00C47199"/>
    <w:rsid w:val="00C47CA7"/>
    <w:rsid w:val="00C47D8A"/>
    <w:rsid w:val="00C47EB3"/>
    <w:rsid w:val="00C509C3"/>
    <w:rsid w:val="00C50A17"/>
    <w:rsid w:val="00C50B4F"/>
    <w:rsid w:val="00C5187C"/>
    <w:rsid w:val="00C51BA4"/>
    <w:rsid w:val="00C51F05"/>
    <w:rsid w:val="00C52D6C"/>
    <w:rsid w:val="00C52F5E"/>
    <w:rsid w:val="00C536EC"/>
    <w:rsid w:val="00C54980"/>
    <w:rsid w:val="00C54C09"/>
    <w:rsid w:val="00C55060"/>
    <w:rsid w:val="00C55078"/>
    <w:rsid w:val="00C550A2"/>
    <w:rsid w:val="00C55423"/>
    <w:rsid w:val="00C56BC0"/>
    <w:rsid w:val="00C56C0F"/>
    <w:rsid w:val="00C56FB0"/>
    <w:rsid w:val="00C60833"/>
    <w:rsid w:val="00C60F16"/>
    <w:rsid w:val="00C6136A"/>
    <w:rsid w:val="00C614FE"/>
    <w:rsid w:val="00C62073"/>
    <w:rsid w:val="00C62350"/>
    <w:rsid w:val="00C62D8A"/>
    <w:rsid w:val="00C62F8C"/>
    <w:rsid w:val="00C6300C"/>
    <w:rsid w:val="00C63272"/>
    <w:rsid w:val="00C64137"/>
    <w:rsid w:val="00C64CF7"/>
    <w:rsid w:val="00C65186"/>
    <w:rsid w:val="00C65613"/>
    <w:rsid w:val="00C65950"/>
    <w:rsid w:val="00C65FEA"/>
    <w:rsid w:val="00C67213"/>
    <w:rsid w:val="00C67B4D"/>
    <w:rsid w:val="00C67DE8"/>
    <w:rsid w:val="00C7027C"/>
    <w:rsid w:val="00C70EAE"/>
    <w:rsid w:val="00C70FB2"/>
    <w:rsid w:val="00C71501"/>
    <w:rsid w:val="00C716B4"/>
    <w:rsid w:val="00C716CA"/>
    <w:rsid w:val="00C71A1D"/>
    <w:rsid w:val="00C720E2"/>
    <w:rsid w:val="00C72CFB"/>
    <w:rsid w:val="00C72D98"/>
    <w:rsid w:val="00C72EA7"/>
    <w:rsid w:val="00C7339C"/>
    <w:rsid w:val="00C740E1"/>
    <w:rsid w:val="00C74757"/>
    <w:rsid w:val="00C74BD5"/>
    <w:rsid w:val="00C7620D"/>
    <w:rsid w:val="00C76B99"/>
    <w:rsid w:val="00C77311"/>
    <w:rsid w:val="00C77994"/>
    <w:rsid w:val="00C8046C"/>
    <w:rsid w:val="00C80837"/>
    <w:rsid w:val="00C80B63"/>
    <w:rsid w:val="00C80CFC"/>
    <w:rsid w:val="00C80D75"/>
    <w:rsid w:val="00C81848"/>
    <w:rsid w:val="00C81E8B"/>
    <w:rsid w:val="00C82656"/>
    <w:rsid w:val="00C8273F"/>
    <w:rsid w:val="00C82D13"/>
    <w:rsid w:val="00C834D2"/>
    <w:rsid w:val="00C837A4"/>
    <w:rsid w:val="00C8391D"/>
    <w:rsid w:val="00C83A53"/>
    <w:rsid w:val="00C83B65"/>
    <w:rsid w:val="00C83D75"/>
    <w:rsid w:val="00C845EF"/>
    <w:rsid w:val="00C84962"/>
    <w:rsid w:val="00C84F70"/>
    <w:rsid w:val="00C85BFA"/>
    <w:rsid w:val="00C85C61"/>
    <w:rsid w:val="00C85EBC"/>
    <w:rsid w:val="00C85F62"/>
    <w:rsid w:val="00C8675D"/>
    <w:rsid w:val="00C878F6"/>
    <w:rsid w:val="00C90012"/>
    <w:rsid w:val="00C90B31"/>
    <w:rsid w:val="00C9123A"/>
    <w:rsid w:val="00C914C6"/>
    <w:rsid w:val="00C9163E"/>
    <w:rsid w:val="00C91872"/>
    <w:rsid w:val="00C92472"/>
    <w:rsid w:val="00C92669"/>
    <w:rsid w:val="00C92A2F"/>
    <w:rsid w:val="00C92FCC"/>
    <w:rsid w:val="00C93046"/>
    <w:rsid w:val="00C9387E"/>
    <w:rsid w:val="00C9395C"/>
    <w:rsid w:val="00C93CAE"/>
    <w:rsid w:val="00C9507A"/>
    <w:rsid w:val="00C95581"/>
    <w:rsid w:val="00C9580E"/>
    <w:rsid w:val="00C961E5"/>
    <w:rsid w:val="00C96258"/>
    <w:rsid w:val="00C96C22"/>
    <w:rsid w:val="00C96D65"/>
    <w:rsid w:val="00CA0D4A"/>
    <w:rsid w:val="00CA0D78"/>
    <w:rsid w:val="00CA1390"/>
    <w:rsid w:val="00CA1AEF"/>
    <w:rsid w:val="00CA1D08"/>
    <w:rsid w:val="00CA1E06"/>
    <w:rsid w:val="00CA2196"/>
    <w:rsid w:val="00CA2C35"/>
    <w:rsid w:val="00CA318F"/>
    <w:rsid w:val="00CA4193"/>
    <w:rsid w:val="00CA4D1E"/>
    <w:rsid w:val="00CA54BF"/>
    <w:rsid w:val="00CA5501"/>
    <w:rsid w:val="00CA58F2"/>
    <w:rsid w:val="00CA622A"/>
    <w:rsid w:val="00CA62D6"/>
    <w:rsid w:val="00CA63DB"/>
    <w:rsid w:val="00CA6811"/>
    <w:rsid w:val="00CA7449"/>
    <w:rsid w:val="00CA7D9E"/>
    <w:rsid w:val="00CB13C2"/>
    <w:rsid w:val="00CB167A"/>
    <w:rsid w:val="00CB16DB"/>
    <w:rsid w:val="00CB183D"/>
    <w:rsid w:val="00CB190F"/>
    <w:rsid w:val="00CB1A66"/>
    <w:rsid w:val="00CB22CF"/>
    <w:rsid w:val="00CB28DD"/>
    <w:rsid w:val="00CB2CDB"/>
    <w:rsid w:val="00CB3837"/>
    <w:rsid w:val="00CB3B1B"/>
    <w:rsid w:val="00CB52B2"/>
    <w:rsid w:val="00CB53EA"/>
    <w:rsid w:val="00CB6D61"/>
    <w:rsid w:val="00CB70B2"/>
    <w:rsid w:val="00CB77EA"/>
    <w:rsid w:val="00CB7887"/>
    <w:rsid w:val="00CC122E"/>
    <w:rsid w:val="00CC14D8"/>
    <w:rsid w:val="00CC1A63"/>
    <w:rsid w:val="00CC2222"/>
    <w:rsid w:val="00CC2846"/>
    <w:rsid w:val="00CC34E9"/>
    <w:rsid w:val="00CC42C4"/>
    <w:rsid w:val="00CC4C46"/>
    <w:rsid w:val="00CC5865"/>
    <w:rsid w:val="00CC5D4B"/>
    <w:rsid w:val="00CC774F"/>
    <w:rsid w:val="00CC77DA"/>
    <w:rsid w:val="00CC7918"/>
    <w:rsid w:val="00CC791E"/>
    <w:rsid w:val="00CD00E5"/>
    <w:rsid w:val="00CD11A2"/>
    <w:rsid w:val="00CD16B4"/>
    <w:rsid w:val="00CD29FF"/>
    <w:rsid w:val="00CD45D6"/>
    <w:rsid w:val="00CD49D8"/>
    <w:rsid w:val="00CD4A15"/>
    <w:rsid w:val="00CD4A62"/>
    <w:rsid w:val="00CD50B5"/>
    <w:rsid w:val="00CD5628"/>
    <w:rsid w:val="00CD5654"/>
    <w:rsid w:val="00CD5D09"/>
    <w:rsid w:val="00CD73A9"/>
    <w:rsid w:val="00CD76E5"/>
    <w:rsid w:val="00CD7C1C"/>
    <w:rsid w:val="00CE0423"/>
    <w:rsid w:val="00CE0DB2"/>
    <w:rsid w:val="00CE0E32"/>
    <w:rsid w:val="00CE10BF"/>
    <w:rsid w:val="00CE158B"/>
    <w:rsid w:val="00CE19DD"/>
    <w:rsid w:val="00CE227C"/>
    <w:rsid w:val="00CE282C"/>
    <w:rsid w:val="00CE2B98"/>
    <w:rsid w:val="00CE307D"/>
    <w:rsid w:val="00CE329E"/>
    <w:rsid w:val="00CE36F8"/>
    <w:rsid w:val="00CE45B6"/>
    <w:rsid w:val="00CE45F7"/>
    <w:rsid w:val="00CE48DD"/>
    <w:rsid w:val="00CE4EED"/>
    <w:rsid w:val="00CE5551"/>
    <w:rsid w:val="00CE5561"/>
    <w:rsid w:val="00CE59E4"/>
    <w:rsid w:val="00CE5B8D"/>
    <w:rsid w:val="00CE606F"/>
    <w:rsid w:val="00CE6A90"/>
    <w:rsid w:val="00CE71DA"/>
    <w:rsid w:val="00CE73DC"/>
    <w:rsid w:val="00CE76D9"/>
    <w:rsid w:val="00CE7742"/>
    <w:rsid w:val="00CE7BDB"/>
    <w:rsid w:val="00CE7F22"/>
    <w:rsid w:val="00CF0148"/>
    <w:rsid w:val="00CF07FC"/>
    <w:rsid w:val="00CF09CE"/>
    <w:rsid w:val="00CF1895"/>
    <w:rsid w:val="00CF1A78"/>
    <w:rsid w:val="00CF1AD7"/>
    <w:rsid w:val="00CF224E"/>
    <w:rsid w:val="00CF2480"/>
    <w:rsid w:val="00CF2E09"/>
    <w:rsid w:val="00CF2F1F"/>
    <w:rsid w:val="00CF3C9B"/>
    <w:rsid w:val="00CF402C"/>
    <w:rsid w:val="00CF4BB9"/>
    <w:rsid w:val="00CF4F97"/>
    <w:rsid w:val="00CF5204"/>
    <w:rsid w:val="00CF5439"/>
    <w:rsid w:val="00CF72CA"/>
    <w:rsid w:val="00CF74E1"/>
    <w:rsid w:val="00CF7877"/>
    <w:rsid w:val="00D0003B"/>
    <w:rsid w:val="00D00313"/>
    <w:rsid w:val="00D0038E"/>
    <w:rsid w:val="00D0067C"/>
    <w:rsid w:val="00D00750"/>
    <w:rsid w:val="00D00B4D"/>
    <w:rsid w:val="00D02190"/>
    <w:rsid w:val="00D02346"/>
    <w:rsid w:val="00D02777"/>
    <w:rsid w:val="00D02D27"/>
    <w:rsid w:val="00D03276"/>
    <w:rsid w:val="00D03DA5"/>
    <w:rsid w:val="00D03ED5"/>
    <w:rsid w:val="00D05C41"/>
    <w:rsid w:val="00D068BD"/>
    <w:rsid w:val="00D069C3"/>
    <w:rsid w:val="00D06F12"/>
    <w:rsid w:val="00D07ABA"/>
    <w:rsid w:val="00D07D7B"/>
    <w:rsid w:val="00D10AAB"/>
    <w:rsid w:val="00D10CA7"/>
    <w:rsid w:val="00D11494"/>
    <w:rsid w:val="00D118A4"/>
    <w:rsid w:val="00D11A6A"/>
    <w:rsid w:val="00D12009"/>
    <w:rsid w:val="00D127C9"/>
    <w:rsid w:val="00D13394"/>
    <w:rsid w:val="00D138A6"/>
    <w:rsid w:val="00D1492F"/>
    <w:rsid w:val="00D149E2"/>
    <w:rsid w:val="00D151E9"/>
    <w:rsid w:val="00D15647"/>
    <w:rsid w:val="00D158EA"/>
    <w:rsid w:val="00D15A02"/>
    <w:rsid w:val="00D15FBC"/>
    <w:rsid w:val="00D165B0"/>
    <w:rsid w:val="00D16DE5"/>
    <w:rsid w:val="00D16E86"/>
    <w:rsid w:val="00D17179"/>
    <w:rsid w:val="00D178E5"/>
    <w:rsid w:val="00D17B50"/>
    <w:rsid w:val="00D202EA"/>
    <w:rsid w:val="00D20876"/>
    <w:rsid w:val="00D21D4C"/>
    <w:rsid w:val="00D21EF3"/>
    <w:rsid w:val="00D22822"/>
    <w:rsid w:val="00D22B64"/>
    <w:rsid w:val="00D22F62"/>
    <w:rsid w:val="00D24F8B"/>
    <w:rsid w:val="00D274F3"/>
    <w:rsid w:val="00D2786A"/>
    <w:rsid w:val="00D27F35"/>
    <w:rsid w:val="00D3019C"/>
    <w:rsid w:val="00D30EE5"/>
    <w:rsid w:val="00D31B8E"/>
    <w:rsid w:val="00D31C26"/>
    <w:rsid w:val="00D321C8"/>
    <w:rsid w:val="00D32E8E"/>
    <w:rsid w:val="00D3480B"/>
    <w:rsid w:val="00D34C24"/>
    <w:rsid w:val="00D35BFB"/>
    <w:rsid w:val="00D35FCB"/>
    <w:rsid w:val="00D374C6"/>
    <w:rsid w:val="00D37711"/>
    <w:rsid w:val="00D37B50"/>
    <w:rsid w:val="00D40948"/>
    <w:rsid w:val="00D40EEB"/>
    <w:rsid w:val="00D410AE"/>
    <w:rsid w:val="00D412CD"/>
    <w:rsid w:val="00D423B2"/>
    <w:rsid w:val="00D42482"/>
    <w:rsid w:val="00D4248A"/>
    <w:rsid w:val="00D428F0"/>
    <w:rsid w:val="00D42D1B"/>
    <w:rsid w:val="00D431C4"/>
    <w:rsid w:val="00D4330B"/>
    <w:rsid w:val="00D433D7"/>
    <w:rsid w:val="00D436DF"/>
    <w:rsid w:val="00D43D52"/>
    <w:rsid w:val="00D45109"/>
    <w:rsid w:val="00D451F8"/>
    <w:rsid w:val="00D4524B"/>
    <w:rsid w:val="00D46628"/>
    <w:rsid w:val="00D466DE"/>
    <w:rsid w:val="00D46700"/>
    <w:rsid w:val="00D46790"/>
    <w:rsid w:val="00D46969"/>
    <w:rsid w:val="00D46C6D"/>
    <w:rsid w:val="00D47BF1"/>
    <w:rsid w:val="00D501F7"/>
    <w:rsid w:val="00D505A4"/>
    <w:rsid w:val="00D51A38"/>
    <w:rsid w:val="00D51D1C"/>
    <w:rsid w:val="00D52F8C"/>
    <w:rsid w:val="00D532D2"/>
    <w:rsid w:val="00D5334B"/>
    <w:rsid w:val="00D53359"/>
    <w:rsid w:val="00D53771"/>
    <w:rsid w:val="00D53F8C"/>
    <w:rsid w:val="00D54377"/>
    <w:rsid w:val="00D5443F"/>
    <w:rsid w:val="00D5444D"/>
    <w:rsid w:val="00D54BF8"/>
    <w:rsid w:val="00D54C97"/>
    <w:rsid w:val="00D5520A"/>
    <w:rsid w:val="00D55242"/>
    <w:rsid w:val="00D55FD5"/>
    <w:rsid w:val="00D562E9"/>
    <w:rsid w:val="00D569CF"/>
    <w:rsid w:val="00D56EA7"/>
    <w:rsid w:val="00D57495"/>
    <w:rsid w:val="00D57F37"/>
    <w:rsid w:val="00D60C05"/>
    <w:rsid w:val="00D60D25"/>
    <w:rsid w:val="00D60D3F"/>
    <w:rsid w:val="00D60DCA"/>
    <w:rsid w:val="00D60DD3"/>
    <w:rsid w:val="00D6125D"/>
    <w:rsid w:val="00D61447"/>
    <w:rsid w:val="00D616F0"/>
    <w:rsid w:val="00D621BE"/>
    <w:rsid w:val="00D62B45"/>
    <w:rsid w:val="00D635F1"/>
    <w:rsid w:val="00D643B7"/>
    <w:rsid w:val="00D64820"/>
    <w:rsid w:val="00D64DED"/>
    <w:rsid w:val="00D64E97"/>
    <w:rsid w:val="00D64F6D"/>
    <w:rsid w:val="00D654A9"/>
    <w:rsid w:val="00D658FD"/>
    <w:rsid w:val="00D65958"/>
    <w:rsid w:val="00D65C37"/>
    <w:rsid w:val="00D65DD1"/>
    <w:rsid w:val="00D662B9"/>
    <w:rsid w:val="00D6680F"/>
    <w:rsid w:val="00D66887"/>
    <w:rsid w:val="00D66CA1"/>
    <w:rsid w:val="00D67DC2"/>
    <w:rsid w:val="00D7000C"/>
    <w:rsid w:val="00D7040D"/>
    <w:rsid w:val="00D710C3"/>
    <w:rsid w:val="00D710EB"/>
    <w:rsid w:val="00D7110E"/>
    <w:rsid w:val="00D72167"/>
    <w:rsid w:val="00D7491C"/>
    <w:rsid w:val="00D75759"/>
    <w:rsid w:val="00D763C8"/>
    <w:rsid w:val="00D76476"/>
    <w:rsid w:val="00D76C7C"/>
    <w:rsid w:val="00D76DB2"/>
    <w:rsid w:val="00D76E6B"/>
    <w:rsid w:val="00D770BE"/>
    <w:rsid w:val="00D77454"/>
    <w:rsid w:val="00D774F6"/>
    <w:rsid w:val="00D77BA4"/>
    <w:rsid w:val="00D77CC3"/>
    <w:rsid w:val="00D8043A"/>
    <w:rsid w:val="00D80D84"/>
    <w:rsid w:val="00D813A7"/>
    <w:rsid w:val="00D81712"/>
    <w:rsid w:val="00D81B0C"/>
    <w:rsid w:val="00D81CAA"/>
    <w:rsid w:val="00D81FC8"/>
    <w:rsid w:val="00D82499"/>
    <w:rsid w:val="00D82E30"/>
    <w:rsid w:val="00D82E50"/>
    <w:rsid w:val="00D836B6"/>
    <w:rsid w:val="00D83762"/>
    <w:rsid w:val="00D83B30"/>
    <w:rsid w:val="00D842AA"/>
    <w:rsid w:val="00D84F8C"/>
    <w:rsid w:val="00D84FF3"/>
    <w:rsid w:val="00D8560D"/>
    <w:rsid w:val="00D85C79"/>
    <w:rsid w:val="00D85CE2"/>
    <w:rsid w:val="00D864E5"/>
    <w:rsid w:val="00D86C8F"/>
    <w:rsid w:val="00D86DE0"/>
    <w:rsid w:val="00D875A2"/>
    <w:rsid w:val="00D90684"/>
    <w:rsid w:val="00D911B9"/>
    <w:rsid w:val="00D91269"/>
    <w:rsid w:val="00D91AFF"/>
    <w:rsid w:val="00D91C27"/>
    <w:rsid w:val="00D91D3C"/>
    <w:rsid w:val="00D92090"/>
    <w:rsid w:val="00D92843"/>
    <w:rsid w:val="00D92C86"/>
    <w:rsid w:val="00D92F1A"/>
    <w:rsid w:val="00D94688"/>
    <w:rsid w:val="00D94ABD"/>
    <w:rsid w:val="00D951FA"/>
    <w:rsid w:val="00D95C0C"/>
    <w:rsid w:val="00D961EF"/>
    <w:rsid w:val="00D9671E"/>
    <w:rsid w:val="00D969CE"/>
    <w:rsid w:val="00D96A8A"/>
    <w:rsid w:val="00D97548"/>
    <w:rsid w:val="00D97770"/>
    <w:rsid w:val="00D978E4"/>
    <w:rsid w:val="00DA0176"/>
    <w:rsid w:val="00DA03E4"/>
    <w:rsid w:val="00DA0459"/>
    <w:rsid w:val="00DA05B4"/>
    <w:rsid w:val="00DA095C"/>
    <w:rsid w:val="00DA096B"/>
    <w:rsid w:val="00DA0C31"/>
    <w:rsid w:val="00DA0CC1"/>
    <w:rsid w:val="00DA0D84"/>
    <w:rsid w:val="00DA0F6B"/>
    <w:rsid w:val="00DA2612"/>
    <w:rsid w:val="00DA2950"/>
    <w:rsid w:val="00DA35B3"/>
    <w:rsid w:val="00DA371E"/>
    <w:rsid w:val="00DA3983"/>
    <w:rsid w:val="00DA3A26"/>
    <w:rsid w:val="00DA3E80"/>
    <w:rsid w:val="00DA40BD"/>
    <w:rsid w:val="00DA4356"/>
    <w:rsid w:val="00DA4DBB"/>
    <w:rsid w:val="00DA5C58"/>
    <w:rsid w:val="00DA6B1A"/>
    <w:rsid w:val="00DA70A5"/>
    <w:rsid w:val="00DA7B5A"/>
    <w:rsid w:val="00DB036A"/>
    <w:rsid w:val="00DB0423"/>
    <w:rsid w:val="00DB078D"/>
    <w:rsid w:val="00DB0C8A"/>
    <w:rsid w:val="00DB294E"/>
    <w:rsid w:val="00DB3671"/>
    <w:rsid w:val="00DB3CF8"/>
    <w:rsid w:val="00DB3D5A"/>
    <w:rsid w:val="00DB4049"/>
    <w:rsid w:val="00DB4248"/>
    <w:rsid w:val="00DB479E"/>
    <w:rsid w:val="00DB47D8"/>
    <w:rsid w:val="00DB4B98"/>
    <w:rsid w:val="00DB5B82"/>
    <w:rsid w:val="00DB6399"/>
    <w:rsid w:val="00DB6D3A"/>
    <w:rsid w:val="00DB6E9B"/>
    <w:rsid w:val="00DB7170"/>
    <w:rsid w:val="00DB71F9"/>
    <w:rsid w:val="00DB791C"/>
    <w:rsid w:val="00DB7B2E"/>
    <w:rsid w:val="00DC0417"/>
    <w:rsid w:val="00DC0E54"/>
    <w:rsid w:val="00DC0E65"/>
    <w:rsid w:val="00DC0F51"/>
    <w:rsid w:val="00DC0F78"/>
    <w:rsid w:val="00DC1A5A"/>
    <w:rsid w:val="00DC1AB9"/>
    <w:rsid w:val="00DC23A9"/>
    <w:rsid w:val="00DC23AA"/>
    <w:rsid w:val="00DC2755"/>
    <w:rsid w:val="00DC2C93"/>
    <w:rsid w:val="00DC2D35"/>
    <w:rsid w:val="00DC364E"/>
    <w:rsid w:val="00DC3650"/>
    <w:rsid w:val="00DC3F46"/>
    <w:rsid w:val="00DC445C"/>
    <w:rsid w:val="00DC45E1"/>
    <w:rsid w:val="00DC484F"/>
    <w:rsid w:val="00DC4A68"/>
    <w:rsid w:val="00DC4E59"/>
    <w:rsid w:val="00DC5160"/>
    <w:rsid w:val="00DC52AB"/>
    <w:rsid w:val="00DC553B"/>
    <w:rsid w:val="00DC5925"/>
    <w:rsid w:val="00DC5F73"/>
    <w:rsid w:val="00DC60FA"/>
    <w:rsid w:val="00DC666C"/>
    <w:rsid w:val="00DC6E62"/>
    <w:rsid w:val="00DC6F78"/>
    <w:rsid w:val="00DC75C1"/>
    <w:rsid w:val="00DC76D8"/>
    <w:rsid w:val="00DC7DD0"/>
    <w:rsid w:val="00DC7EA7"/>
    <w:rsid w:val="00DC7F5D"/>
    <w:rsid w:val="00DD00B7"/>
    <w:rsid w:val="00DD0286"/>
    <w:rsid w:val="00DD0C06"/>
    <w:rsid w:val="00DD0D9B"/>
    <w:rsid w:val="00DD10E2"/>
    <w:rsid w:val="00DD19C7"/>
    <w:rsid w:val="00DD1A8B"/>
    <w:rsid w:val="00DD24F1"/>
    <w:rsid w:val="00DD30DB"/>
    <w:rsid w:val="00DD41D1"/>
    <w:rsid w:val="00DD49EE"/>
    <w:rsid w:val="00DD4B3F"/>
    <w:rsid w:val="00DD573C"/>
    <w:rsid w:val="00DD5A18"/>
    <w:rsid w:val="00DD5E67"/>
    <w:rsid w:val="00DD6173"/>
    <w:rsid w:val="00DD644D"/>
    <w:rsid w:val="00DD7191"/>
    <w:rsid w:val="00DE0321"/>
    <w:rsid w:val="00DE1294"/>
    <w:rsid w:val="00DE1372"/>
    <w:rsid w:val="00DE1830"/>
    <w:rsid w:val="00DE1E9F"/>
    <w:rsid w:val="00DE2328"/>
    <w:rsid w:val="00DE239F"/>
    <w:rsid w:val="00DE23AF"/>
    <w:rsid w:val="00DE2511"/>
    <w:rsid w:val="00DE2529"/>
    <w:rsid w:val="00DE2677"/>
    <w:rsid w:val="00DE2894"/>
    <w:rsid w:val="00DE2E6A"/>
    <w:rsid w:val="00DE2FEE"/>
    <w:rsid w:val="00DE3FC5"/>
    <w:rsid w:val="00DE5031"/>
    <w:rsid w:val="00DE572C"/>
    <w:rsid w:val="00DE590C"/>
    <w:rsid w:val="00DE5932"/>
    <w:rsid w:val="00DE649A"/>
    <w:rsid w:val="00DE64EF"/>
    <w:rsid w:val="00DE6DD8"/>
    <w:rsid w:val="00DE7167"/>
    <w:rsid w:val="00DE7198"/>
    <w:rsid w:val="00DE7AD3"/>
    <w:rsid w:val="00DE7AF6"/>
    <w:rsid w:val="00DF0825"/>
    <w:rsid w:val="00DF0AA6"/>
    <w:rsid w:val="00DF145B"/>
    <w:rsid w:val="00DF1F52"/>
    <w:rsid w:val="00DF27BB"/>
    <w:rsid w:val="00DF2DFF"/>
    <w:rsid w:val="00DF31E5"/>
    <w:rsid w:val="00DF3852"/>
    <w:rsid w:val="00DF3B9A"/>
    <w:rsid w:val="00DF4D84"/>
    <w:rsid w:val="00DF4F3F"/>
    <w:rsid w:val="00DF55BB"/>
    <w:rsid w:val="00DF5642"/>
    <w:rsid w:val="00DF63D1"/>
    <w:rsid w:val="00DF66D1"/>
    <w:rsid w:val="00DF6B2E"/>
    <w:rsid w:val="00DF6D58"/>
    <w:rsid w:val="00DF6D8A"/>
    <w:rsid w:val="00DF73BE"/>
    <w:rsid w:val="00E00390"/>
    <w:rsid w:val="00E005E1"/>
    <w:rsid w:val="00E00730"/>
    <w:rsid w:val="00E0151E"/>
    <w:rsid w:val="00E02AA6"/>
    <w:rsid w:val="00E0300F"/>
    <w:rsid w:val="00E031D5"/>
    <w:rsid w:val="00E032A8"/>
    <w:rsid w:val="00E03909"/>
    <w:rsid w:val="00E03CCA"/>
    <w:rsid w:val="00E04022"/>
    <w:rsid w:val="00E0405B"/>
    <w:rsid w:val="00E040A4"/>
    <w:rsid w:val="00E045B8"/>
    <w:rsid w:val="00E04A9B"/>
    <w:rsid w:val="00E05968"/>
    <w:rsid w:val="00E06897"/>
    <w:rsid w:val="00E073DA"/>
    <w:rsid w:val="00E074CE"/>
    <w:rsid w:val="00E07C0C"/>
    <w:rsid w:val="00E1034D"/>
    <w:rsid w:val="00E109DE"/>
    <w:rsid w:val="00E10A4D"/>
    <w:rsid w:val="00E11089"/>
    <w:rsid w:val="00E116F6"/>
    <w:rsid w:val="00E1238D"/>
    <w:rsid w:val="00E12DBE"/>
    <w:rsid w:val="00E13AD6"/>
    <w:rsid w:val="00E13B95"/>
    <w:rsid w:val="00E13D13"/>
    <w:rsid w:val="00E13DF5"/>
    <w:rsid w:val="00E14096"/>
    <w:rsid w:val="00E14117"/>
    <w:rsid w:val="00E14193"/>
    <w:rsid w:val="00E153FB"/>
    <w:rsid w:val="00E158F7"/>
    <w:rsid w:val="00E15E71"/>
    <w:rsid w:val="00E166EC"/>
    <w:rsid w:val="00E16FD7"/>
    <w:rsid w:val="00E17342"/>
    <w:rsid w:val="00E17598"/>
    <w:rsid w:val="00E17953"/>
    <w:rsid w:val="00E2112C"/>
    <w:rsid w:val="00E217B9"/>
    <w:rsid w:val="00E21D53"/>
    <w:rsid w:val="00E22C39"/>
    <w:rsid w:val="00E23DD5"/>
    <w:rsid w:val="00E24354"/>
    <w:rsid w:val="00E244DF"/>
    <w:rsid w:val="00E252E6"/>
    <w:rsid w:val="00E259DD"/>
    <w:rsid w:val="00E25E1B"/>
    <w:rsid w:val="00E260A6"/>
    <w:rsid w:val="00E2624F"/>
    <w:rsid w:val="00E270A3"/>
    <w:rsid w:val="00E272AA"/>
    <w:rsid w:val="00E2789E"/>
    <w:rsid w:val="00E27A1D"/>
    <w:rsid w:val="00E27ACF"/>
    <w:rsid w:val="00E300DA"/>
    <w:rsid w:val="00E30BCF"/>
    <w:rsid w:val="00E30C0E"/>
    <w:rsid w:val="00E30C2B"/>
    <w:rsid w:val="00E32ADB"/>
    <w:rsid w:val="00E32ECC"/>
    <w:rsid w:val="00E3388E"/>
    <w:rsid w:val="00E33A8F"/>
    <w:rsid w:val="00E33EA5"/>
    <w:rsid w:val="00E3487D"/>
    <w:rsid w:val="00E34A70"/>
    <w:rsid w:val="00E34F35"/>
    <w:rsid w:val="00E35195"/>
    <w:rsid w:val="00E3590F"/>
    <w:rsid w:val="00E36816"/>
    <w:rsid w:val="00E36BB3"/>
    <w:rsid w:val="00E372BD"/>
    <w:rsid w:val="00E3737F"/>
    <w:rsid w:val="00E3772D"/>
    <w:rsid w:val="00E37B8C"/>
    <w:rsid w:val="00E37D7B"/>
    <w:rsid w:val="00E37E4C"/>
    <w:rsid w:val="00E404BA"/>
    <w:rsid w:val="00E40BF0"/>
    <w:rsid w:val="00E40CCD"/>
    <w:rsid w:val="00E414D6"/>
    <w:rsid w:val="00E415CF"/>
    <w:rsid w:val="00E41644"/>
    <w:rsid w:val="00E41AC2"/>
    <w:rsid w:val="00E429FF"/>
    <w:rsid w:val="00E42A55"/>
    <w:rsid w:val="00E42AC8"/>
    <w:rsid w:val="00E42DB1"/>
    <w:rsid w:val="00E42E7F"/>
    <w:rsid w:val="00E43A9F"/>
    <w:rsid w:val="00E43D73"/>
    <w:rsid w:val="00E447D9"/>
    <w:rsid w:val="00E454B5"/>
    <w:rsid w:val="00E45AE8"/>
    <w:rsid w:val="00E47AED"/>
    <w:rsid w:val="00E47D24"/>
    <w:rsid w:val="00E50090"/>
    <w:rsid w:val="00E51459"/>
    <w:rsid w:val="00E51939"/>
    <w:rsid w:val="00E5215D"/>
    <w:rsid w:val="00E5287A"/>
    <w:rsid w:val="00E52B5F"/>
    <w:rsid w:val="00E52B6A"/>
    <w:rsid w:val="00E52F0E"/>
    <w:rsid w:val="00E53352"/>
    <w:rsid w:val="00E54D51"/>
    <w:rsid w:val="00E55148"/>
    <w:rsid w:val="00E55798"/>
    <w:rsid w:val="00E56939"/>
    <w:rsid w:val="00E56AB6"/>
    <w:rsid w:val="00E56CB6"/>
    <w:rsid w:val="00E56DCB"/>
    <w:rsid w:val="00E56F55"/>
    <w:rsid w:val="00E56FB5"/>
    <w:rsid w:val="00E60940"/>
    <w:rsid w:val="00E6108E"/>
    <w:rsid w:val="00E611F4"/>
    <w:rsid w:val="00E619F2"/>
    <w:rsid w:val="00E61A1C"/>
    <w:rsid w:val="00E61DFE"/>
    <w:rsid w:val="00E62499"/>
    <w:rsid w:val="00E62D8D"/>
    <w:rsid w:val="00E64306"/>
    <w:rsid w:val="00E6460B"/>
    <w:rsid w:val="00E652D1"/>
    <w:rsid w:val="00E653E5"/>
    <w:rsid w:val="00E65E79"/>
    <w:rsid w:val="00E669FA"/>
    <w:rsid w:val="00E673F3"/>
    <w:rsid w:val="00E6785E"/>
    <w:rsid w:val="00E67C90"/>
    <w:rsid w:val="00E7051A"/>
    <w:rsid w:val="00E708CD"/>
    <w:rsid w:val="00E7195D"/>
    <w:rsid w:val="00E722C1"/>
    <w:rsid w:val="00E72397"/>
    <w:rsid w:val="00E727A7"/>
    <w:rsid w:val="00E727BA"/>
    <w:rsid w:val="00E72E77"/>
    <w:rsid w:val="00E7384B"/>
    <w:rsid w:val="00E73E9E"/>
    <w:rsid w:val="00E7452B"/>
    <w:rsid w:val="00E74B86"/>
    <w:rsid w:val="00E758DD"/>
    <w:rsid w:val="00E766C9"/>
    <w:rsid w:val="00E7684E"/>
    <w:rsid w:val="00E76C43"/>
    <w:rsid w:val="00E775F9"/>
    <w:rsid w:val="00E7761F"/>
    <w:rsid w:val="00E80308"/>
    <w:rsid w:val="00E8033F"/>
    <w:rsid w:val="00E8127C"/>
    <w:rsid w:val="00E81C47"/>
    <w:rsid w:val="00E827E5"/>
    <w:rsid w:val="00E82B27"/>
    <w:rsid w:val="00E83AB4"/>
    <w:rsid w:val="00E83DC2"/>
    <w:rsid w:val="00E84146"/>
    <w:rsid w:val="00E84559"/>
    <w:rsid w:val="00E84952"/>
    <w:rsid w:val="00E84987"/>
    <w:rsid w:val="00E84A1C"/>
    <w:rsid w:val="00E84CDB"/>
    <w:rsid w:val="00E85859"/>
    <w:rsid w:val="00E85A1E"/>
    <w:rsid w:val="00E86060"/>
    <w:rsid w:val="00E864E8"/>
    <w:rsid w:val="00E86F42"/>
    <w:rsid w:val="00E8705C"/>
    <w:rsid w:val="00E87069"/>
    <w:rsid w:val="00E87079"/>
    <w:rsid w:val="00E870C2"/>
    <w:rsid w:val="00E87424"/>
    <w:rsid w:val="00E87B4B"/>
    <w:rsid w:val="00E87B78"/>
    <w:rsid w:val="00E90492"/>
    <w:rsid w:val="00E9115E"/>
    <w:rsid w:val="00E91276"/>
    <w:rsid w:val="00E91931"/>
    <w:rsid w:val="00E91D59"/>
    <w:rsid w:val="00E92356"/>
    <w:rsid w:val="00E92375"/>
    <w:rsid w:val="00E93698"/>
    <w:rsid w:val="00E936C3"/>
    <w:rsid w:val="00E938F5"/>
    <w:rsid w:val="00E938F6"/>
    <w:rsid w:val="00E93E55"/>
    <w:rsid w:val="00E93F83"/>
    <w:rsid w:val="00E94094"/>
    <w:rsid w:val="00E94298"/>
    <w:rsid w:val="00E943D3"/>
    <w:rsid w:val="00E94550"/>
    <w:rsid w:val="00E94709"/>
    <w:rsid w:val="00E94762"/>
    <w:rsid w:val="00E94886"/>
    <w:rsid w:val="00E9505F"/>
    <w:rsid w:val="00E9586D"/>
    <w:rsid w:val="00E95914"/>
    <w:rsid w:val="00E959D5"/>
    <w:rsid w:val="00E95D12"/>
    <w:rsid w:val="00E95E0C"/>
    <w:rsid w:val="00E96419"/>
    <w:rsid w:val="00E9714B"/>
    <w:rsid w:val="00E971A3"/>
    <w:rsid w:val="00E971AD"/>
    <w:rsid w:val="00E97FDB"/>
    <w:rsid w:val="00EA026F"/>
    <w:rsid w:val="00EA0AF2"/>
    <w:rsid w:val="00EA0BF1"/>
    <w:rsid w:val="00EA0C83"/>
    <w:rsid w:val="00EA1465"/>
    <w:rsid w:val="00EA1CDE"/>
    <w:rsid w:val="00EA300C"/>
    <w:rsid w:val="00EA38B1"/>
    <w:rsid w:val="00EA3E99"/>
    <w:rsid w:val="00EA3FA3"/>
    <w:rsid w:val="00EA4A7E"/>
    <w:rsid w:val="00EA5199"/>
    <w:rsid w:val="00EA5479"/>
    <w:rsid w:val="00EA5B1E"/>
    <w:rsid w:val="00EA5C2C"/>
    <w:rsid w:val="00EA5DB4"/>
    <w:rsid w:val="00EA61A3"/>
    <w:rsid w:val="00EA6F07"/>
    <w:rsid w:val="00EB09F3"/>
    <w:rsid w:val="00EB209F"/>
    <w:rsid w:val="00EB2117"/>
    <w:rsid w:val="00EB23D7"/>
    <w:rsid w:val="00EB2578"/>
    <w:rsid w:val="00EB3288"/>
    <w:rsid w:val="00EB3666"/>
    <w:rsid w:val="00EB3E0B"/>
    <w:rsid w:val="00EB441D"/>
    <w:rsid w:val="00EB4773"/>
    <w:rsid w:val="00EB4F30"/>
    <w:rsid w:val="00EB5124"/>
    <w:rsid w:val="00EB5454"/>
    <w:rsid w:val="00EB550A"/>
    <w:rsid w:val="00EB57A2"/>
    <w:rsid w:val="00EB5D7C"/>
    <w:rsid w:val="00EB6407"/>
    <w:rsid w:val="00EB64EA"/>
    <w:rsid w:val="00EB6C98"/>
    <w:rsid w:val="00EB72BF"/>
    <w:rsid w:val="00EB7A0E"/>
    <w:rsid w:val="00EC01ED"/>
    <w:rsid w:val="00EC061A"/>
    <w:rsid w:val="00EC0653"/>
    <w:rsid w:val="00EC0D67"/>
    <w:rsid w:val="00EC0FCD"/>
    <w:rsid w:val="00EC1B68"/>
    <w:rsid w:val="00EC1FCD"/>
    <w:rsid w:val="00EC22D7"/>
    <w:rsid w:val="00EC2552"/>
    <w:rsid w:val="00EC29B0"/>
    <w:rsid w:val="00EC2FE9"/>
    <w:rsid w:val="00EC32AA"/>
    <w:rsid w:val="00EC32E1"/>
    <w:rsid w:val="00EC362E"/>
    <w:rsid w:val="00EC36A5"/>
    <w:rsid w:val="00EC3B83"/>
    <w:rsid w:val="00EC3D01"/>
    <w:rsid w:val="00EC3E7D"/>
    <w:rsid w:val="00EC3E99"/>
    <w:rsid w:val="00EC42BD"/>
    <w:rsid w:val="00EC4583"/>
    <w:rsid w:val="00EC45AD"/>
    <w:rsid w:val="00EC4779"/>
    <w:rsid w:val="00EC5A4F"/>
    <w:rsid w:val="00EC60E8"/>
    <w:rsid w:val="00EC6640"/>
    <w:rsid w:val="00EC6659"/>
    <w:rsid w:val="00EC7095"/>
    <w:rsid w:val="00EC7804"/>
    <w:rsid w:val="00EC79D5"/>
    <w:rsid w:val="00EC7A25"/>
    <w:rsid w:val="00EC7B12"/>
    <w:rsid w:val="00ED0411"/>
    <w:rsid w:val="00ED0423"/>
    <w:rsid w:val="00ED1413"/>
    <w:rsid w:val="00ED18B0"/>
    <w:rsid w:val="00ED2A94"/>
    <w:rsid w:val="00ED35B0"/>
    <w:rsid w:val="00ED4491"/>
    <w:rsid w:val="00ED4861"/>
    <w:rsid w:val="00ED4F89"/>
    <w:rsid w:val="00ED4FA7"/>
    <w:rsid w:val="00ED518C"/>
    <w:rsid w:val="00ED52EB"/>
    <w:rsid w:val="00ED6229"/>
    <w:rsid w:val="00ED6E20"/>
    <w:rsid w:val="00ED7565"/>
    <w:rsid w:val="00ED783F"/>
    <w:rsid w:val="00ED7A05"/>
    <w:rsid w:val="00ED7DAF"/>
    <w:rsid w:val="00EE1102"/>
    <w:rsid w:val="00EE1901"/>
    <w:rsid w:val="00EE1E2D"/>
    <w:rsid w:val="00EE23E3"/>
    <w:rsid w:val="00EE334C"/>
    <w:rsid w:val="00EE3D87"/>
    <w:rsid w:val="00EE45EC"/>
    <w:rsid w:val="00EE4810"/>
    <w:rsid w:val="00EE4AFB"/>
    <w:rsid w:val="00EE4B50"/>
    <w:rsid w:val="00EE4C1E"/>
    <w:rsid w:val="00EE5411"/>
    <w:rsid w:val="00EE62BB"/>
    <w:rsid w:val="00EE699F"/>
    <w:rsid w:val="00EE7BA7"/>
    <w:rsid w:val="00EE7C41"/>
    <w:rsid w:val="00EF04D0"/>
    <w:rsid w:val="00EF07C8"/>
    <w:rsid w:val="00EF11A4"/>
    <w:rsid w:val="00EF2865"/>
    <w:rsid w:val="00EF2BF7"/>
    <w:rsid w:val="00EF2C5C"/>
    <w:rsid w:val="00EF2FEC"/>
    <w:rsid w:val="00EF3D82"/>
    <w:rsid w:val="00EF3FC1"/>
    <w:rsid w:val="00EF4621"/>
    <w:rsid w:val="00EF4B03"/>
    <w:rsid w:val="00EF505B"/>
    <w:rsid w:val="00EF50B3"/>
    <w:rsid w:val="00EF5456"/>
    <w:rsid w:val="00EF5595"/>
    <w:rsid w:val="00EF5724"/>
    <w:rsid w:val="00EF586F"/>
    <w:rsid w:val="00EF58F9"/>
    <w:rsid w:val="00EF63F3"/>
    <w:rsid w:val="00EF6BBB"/>
    <w:rsid w:val="00EF7141"/>
    <w:rsid w:val="00EF76E1"/>
    <w:rsid w:val="00EF7B15"/>
    <w:rsid w:val="00EF7D15"/>
    <w:rsid w:val="00F00045"/>
    <w:rsid w:val="00F00931"/>
    <w:rsid w:val="00F00CAC"/>
    <w:rsid w:val="00F00D18"/>
    <w:rsid w:val="00F014D6"/>
    <w:rsid w:val="00F02153"/>
    <w:rsid w:val="00F021C2"/>
    <w:rsid w:val="00F03EEE"/>
    <w:rsid w:val="00F04B7B"/>
    <w:rsid w:val="00F04C99"/>
    <w:rsid w:val="00F04F61"/>
    <w:rsid w:val="00F058DF"/>
    <w:rsid w:val="00F05A56"/>
    <w:rsid w:val="00F06433"/>
    <w:rsid w:val="00F0718F"/>
    <w:rsid w:val="00F07206"/>
    <w:rsid w:val="00F07BA5"/>
    <w:rsid w:val="00F07BD1"/>
    <w:rsid w:val="00F07DF1"/>
    <w:rsid w:val="00F10940"/>
    <w:rsid w:val="00F11490"/>
    <w:rsid w:val="00F116A3"/>
    <w:rsid w:val="00F11B02"/>
    <w:rsid w:val="00F132AD"/>
    <w:rsid w:val="00F132D9"/>
    <w:rsid w:val="00F14118"/>
    <w:rsid w:val="00F14BB8"/>
    <w:rsid w:val="00F14D04"/>
    <w:rsid w:val="00F15675"/>
    <w:rsid w:val="00F1591D"/>
    <w:rsid w:val="00F1628A"/>
    <w:rsid w:val="00F16334"/>
    <w:rsid w:val="00F17014"/>
    <w:rsid w:val="00F170AD"/>
    <w:rsid w:val="00F171C1"/>
    <w:rsid w:val="00F17355"/>
    <w:rsid w:val="00F1779C"/>
    <w:rsid w:val="00F177CA"/>
    <w:rsid w:val="00F17D24"/>
    <w:rsid w:val="00F208FB"/>
    <w:rsid w:val="00F20FBB"/>
    <w:rsid w:val="00F21250"/>
    <w:rsid w:val="00F21520"/>
    <w:rsid w:val="00F21549"/>
    <w:rsid w:val="00F21AFB"/>
    <w:rsid w:val="00F21BA3"/>
    <w:rsid w:val="00F21BCF"/>
    <w:rsid w:val="00F221D7"/>
    <w:rsid w:val="00F22C6C"/>
    <w:rsid w:val="00F22FAC"/>
    <w:rsid w:val="00F23916"/>
    <w:rsid w:val="00F2398D"/>
    <w:rsid w:val="00F23A71"/>
    <w:rsid w:val="00F242D4"/>
    <w:rsid w:val="00F24344"/>
    <w:rsid w:val="00F24771"/>
    <w:rsid w:val="00F24998"/>
    <w:rsid w:val="00F249CD"/>
    <w:rsid w:val="00F2544B"/>
    <w:rsid w:val="00F2587D"/>
    <w:rsid w:val="00F25DB6"/>
    <w:rsid w:val="00F2638C"/>
    <w:rsid w:val="00F268E5"/>
    <w:rsid w:val="00F26EBB"/>
    <w:rsid w:val="00F2745E"/>
    <w:rsid w:val="00F30164"/>
    <w:rsid w:val="00F30E1D"/>
    <w:rsid w:val="00F31614"/>
    <w:rsid w:val="00F31B0C"/>
    <w:rsid w:val="00F3279F"/>
    <w:rsid w:val="00F330A3"/>
    <w:rsid w:val="00F334BC"/>
    <w:rsid w:val="00F33C7B"/>
    <w:rsid w:val="00F33EB1"/>
    <w:rsid w:val="00F34888"/>
    <w:rsid w:val="00F34E0B"/>
    <w:rsid w:val="00F34F90"/>
    <w:rsid w:val="00F35B49"/>
    <w:rsid w:val="00F361D0"/>
    <w:rsid w:val="00F362B4"/>
    <w:rsid w:val="00F37E6A"/>
    <w:rsid w:val="00F40128"/>
    <w:rsid w:val="00F401C0"/>
    <w:rsid w:val="00F40731"/>
    <w:rsid w:val="00F4128F"/>
    <w:rsid w:val="00F420D7"/>
    <w:rsid w:val="00F427F8"/>
    <w:rsid w:val="00F4352E"/>
    <w:rsid w:val="00F4396E"/>
    <w:rsid w:val="00F43D5E"/>
    <w:rsid w:val="00F44920"/>
    <w:rsid w:val="00F44D7E"/>
    <w:rsid w:val="00F44F92"/>
    <w:rsid w:val="00F4527E"/>
    <w:rsid w:val="00F45DF4"/>
    <w:rsid w:val="00F45FA2"/>
    <w:rsid w:val="00F45FE4"/>
    <w:rsid w:val="00F46DCF"/>
    <w:rsid w:val="00F473D0"/>
    <w:rsid w:val="00F50003"/>
    <w:rsid w:val="00F501FB"/>
    <w:rsid w:val="00F504DC"/>
    <w:rsid w:val="00F507CE"/>
    <w:rsid w:val="00F51067"/>
    <w:rsid w:val="00F514BB"/>
    <w:rsid w:val="00F51EBC"/>
    <w:rsid w:val="00F51F08"/>
    <w:rsid w:val="00F5286E"/>
    <w:rsid w:val="00F53767"/>
    <w:rsid w:val="00F537B6"/>
    <w:rsid w:val="00F53C68"/>
    <w:rsid w:val="00F544FE"/>
    <w:rsid w:val="00F546E3"/>
    <w:rsid w:val="00F5493B"/>
    <w:rsid w:val="00F54C9F"/>
    <w:rsid w:val="00F5621E"/>
    <w:rsid w:val="00F56B88"/>
    <w:rsid w:val="00F61535"/>
    <w:rsid w:val="00F61D2A"/>
    <w:rsid w:val="00F621F6"/>
    <w:rsid w:val="00F62BA8"/>
    <w:rsid w:val="00F634A3"/>
    <w:rsid w:val="00F63F3D"/>
    <w:rsid w:val="00F64519"/>
    <w:rsid w:val="00F64C5D"/>
    <w:rsid w:val="00F64FB1"/>
    <w:rsid w:val="00F65349"/>
    <w:rsid w:val="00F65EF8"/>
    <w:rsid w:val="00F66693"/>
    <w:rsid w:val="00F667AA"/>
    <w:rsid w:val="00F66C32"/>
    <w:rsid w:val="00F677F2"/>
    <w:rsid w:val="00F704F4"/>
    <w:rsid w:val="00F710F9"/>
    <w:rsid w:val="00F71263"/>
    <w:rsid w:val="00F7219E"/>
    <w:rsid w:val="00F7291F"/>
    <w:rsid w:val="00F72D0B"/>
    <w:rsid w:val="00F735BC"/>
    <w:rsid w:val="00F7371B"/>
    <w:rsid w:val="00F73E43"/>
    <w:rsid w:val="00F742C3"/>
    <w:rsid w:val="00F7459C"/>
    <w:rsid w:val="00F745B7"/>
    <w:rsid w:val="00F74868"/>
    <w:rsid w:val="00F74E97"/>
    <w:rsid w:val="00F75421"/>
    <w:rsid w:val="00F75823"/>
    <w:rsid w:val="00F75B4C"/>
    <w:rsid w:val="00F75DA2"/>
    <w:rsid w:val="00F75E1F"/>
    <w:rsid w:val="00F75E51"/>
    <w:rsid w:val="00F75EB9"/>
    <w:rsid w:val="00F76061"/>
    <w:rsid w:val="00F7620F"/>
    <w:rsid w:val="00F76394"/>
    <w:rsid w:val="00F7680E"/>
    <w:rsid w:val="00F769AA"/>
    <w:rsid w:val="00F76B0F"/>
    <w:rsid w:val="00F76ED4"/>
    <w:rsid w:val="00F77529"/>
    <w:rsid w:val="00F77847"/>
    <w:rsid w:val="00F77E78"/>
    <w:rsid w:val="00F77ECE"/>
    <w:rsid w:val="00F8131E"/>
    <w:rsid w:val="00F81AF4"/>
    <w:rsid w:val="00F81D55"/>
    <w:rsid w:val="00F82AA0"/>
    <w:rsid w:val="00F82AC5"/>
    <w:rsid w:val="00F82C66"/>
    <w:rsid w:val="00F8376B"/>
    <w:rsid w:val="00F83A5F"/>
    <w:rsid w:val="00F8462C"/>
    <w:rsid w:val="00F8509E"/>
    <w:rsid w:val="00F850EC"/>
    <w:rsid w:val="00F854AA"/>
    <w:rsid w:val="00F857C0"/>
    <w:rsid w:val="00F87836"/>
    <w:rsid w:val="00F87929"/>
    <w:rsid w:val="00F87A22"/>
    <w:rsid w:val="00F87F40"/>
    <w:rsid w:val="00F90E34"/>
    <w:rsid w:val="00F912CD"/>
    <w:rsid w:val="00F918EE"/>
    <w:rsid w:val="00F91AEA"/>
    <w:rsid w:val="00F91EC6"/>
    <w:rsid w:val="00F91F99"/>
    <w:rsid w:val="00F920CD"/>
    <w:rsid w:val="00F9224E"/>
    <w:rsid w:val="00F9269B"/>
    <w:rsid w:val="00F92710"/>
    <w:rsid w:val="00F92758"/>
    <w:rsid w:val="00F92F50"/>
    <w:rsid w:val="00F94391"/>
    <w:rsid w:val="00F94C96"/>
    <w:rsid w:val="00F957EF"/>
    <w:rsid w:val="00F9581E"/>
    <w:rsid w:val="00F95B15"/>
    <w:rsid w:val="00F95C6C"/>
    <w:rsid w:val="00F960F3"/>
    <w:rsid w:val="00F96F24"/>
    <w:rsid w:val="00F971CD"/>
    <w:rsid w:val="00F9753B"/>
    <w:rsid w:val="00F97617"/>
    <w:rsid w:val="00F976D4"/>
    <w:rsid w:val="00F97DB5"/>
    <w:rsid w:val="00FA0AE4"/>
    <w:rsid w:val="00FA1257"/>
    <w:rsid w:val="00FA2D91"/>
    <w:rsid w:val="00FA3813"/>
    <w:rsid w:val="00FA3E4A"/>
    <w:rsid w:val="00FA487D"/>
    <w:rsid w:val="00FA4BF8"/>
    <w:rsid w:val="00FA5697"/>
    <w:rsid w:val="00FA6051"/>
    <w:rsid w:val="00FA63F4"/>
    <w:rsid w:val="00FA69FB"/>
    <w:rsid w:val="00FA718A"/>
    <w:rsid w:val="00FA72FD"/>
    <w:rsid w:val="00FA7624"/>
    <w:rsid w:val="00FA778D"/>
    <w:rsid w:val="00FA792B"/>
    <w:rsid w:val="00FB0137"/>
    <w:rsid w:val="00FB07BA"/>
    <w:rsid w:val="00FB0994"/>
    <w:rsid w:val="00FB12D5"/>
    <w:rsid w:val="00FB19D2"/>
    <w:rsid w:val="00FB1F61"/>
    <w:rsid w:val="00FB21FE"/>
    <w:rsid w:val="00FB2489"/>
    <w:rsid w:val="00FB2A8B"/>
    <w:rsid w:val="00FB2B47"/>
    <w:rsid w:val="00FB2C51"/>
    <w:rsid w:val="00FB315F"/>
    <w:rsid w:val="00FB3403"/>
    <w:rsid w:val="00FB3DFC"/>
    <w:rsid w:val="00FB3EF0"/>
    <w:rsid w:val="00FB4DBA"/>
    <w:rsid w:val="00FB667E"/>
    <w:rsid w:val="00FB7C13"/>
    <w:rsid w:val="00FC05A7"/>
    <w:rsid w:val="00FC1107"/>
    <w:rsid w:val="00FC1125"/>
    <w:rsid w:val="00FC1196"/>
    <w:rsid w:val="00FC1407"/>
    <w:rsid w:val="00FC1F41"/>
    <w:rsid w:val="00FC30CB"/>
    <w:rsid w:val="00FC3262"/>
    <w:rsid w:val="00FC3375"/>
    <w:rsid w:val="00FC34BC"/>
    <w:rsid w:val="00FC3F15"/>
    <w:rsid w:val="00FC4944"/>
    <w:rsid w:val="00FC4C4A"/>
    <w:rsid w:val="00FC5F60"/>
    <w:rsid w:val="00FC60E2"/>
    <w:rsid w:val="00FC7494"/>
    <w:rsid w:val="00FC772F"/>
    <w:rsid w:val="00FD05BE"/>
    <w:rsid w:val="00FD0CBC"/>
    <w:rsid w:val="00FD0EE2"/>
    <w:rsid w:val="00FD0F67"/>
    <w:rsid w:val="00FD1348"/>
    <w:rsid w:val="00FD21DD"/>
    <w:rsid w:val="00FD24D4"/>
    <w:rsid w:val="00FD25C1"/>
    <w:rsid w:val="00FD2C8B"/>
    <w:rsid w:val="00FD2E5A"/>
    <w:rsid w:val="00FD333F"/>
    <w:rsid w:val="00FD3AB8"/>
    <w:rsid w:val="00FD42E7"/>
    <w:rsid w:val="00FD43B9"/>
    <w:rsid w:val="00FD4AC7"/>
    <w:rsid w:val="00FD563A"/>
    <w:rsid w:val="00FD56DF"/>
    <w:rsid w:val="00FD57F5"/>
    <w:rsid w:val="00FD66E4"/>
    <w:rsid w:val="00FD7F21"/>
    <w:rsid w:val="00FD7F94"/>
    <w:rsid w:val="00FE060A"/>
    <w:rsid w:val="00FE0F91"/>
    <w:rsid w:val="00FE1BF7"/>
    <w:rsid w:val="00FE1CCB"/>
    <w:rsid w:val="00FE23CC"/>
    <w:rsid w:val="00FE246F"/>
    <w:rsid w:val="00FE27C7"/>
    <w:rsid w:val="00FE2AA9"/>
    <w:rsid w:val="00FE2B96"/>
    <w:rsid w:val="00FE2F30"/>
    <w:rsid w:val="00FE3126"/>
    <w:rsid w:val="00FE31EB"/>
    <w:rsid w:val="00FE3312"/>
    <w:rsid w:val="00FE3985"/>
    <w:rsid w:val="00FE3F2E"/>
    <w:rsid w:val="00FE4C26"/>
    <w:rsid w:val="00FE552D"/>
    <w:rsid w:val="00FE5D23"/>
    <w:rsid w:val="00FE6114"/>
    <w:rsid w:val="00FE61E9"/>
    <w:rsid w:val="00FE65F4"/>
    <w:rsid w:val="00FE7CA2"/>
    <w:rsid w:val="00FF0C2C"/>
    <w:rsid w:val="00FF195C"/>
    <w:rsid w:val="00FF2646"/>
    <w:rsid w:val="00FF2759"/>
    <w:rsid w:val="00FF294F"/>
    <w:rsid w:val="00FF4286"/>
    <w:rsid w:val="00FF4827"/>
    <w:rsid w:val="00FF5A09"/>
    <w:rsid w:val="00FF6695"/>
    <w:rsid w:val="00FF6704"/>
    <w:rsid w:val="00FF6F92"/>
    <w:rsid w:val="00FF7020"/>
    <w:rsid w:val="00FF7411"/>
    <w:rsid w:val="00FF7A6F"/>
    <w:rsid w:val="00FF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7C3E0"/>
  <w15:docId w15:val="{EFDB7521-1554-4E36-B6B5-2DD8E1E5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D165B0"/>
    <w:pPr>
      <w:autoSpaceDE w:val="0"/>
      <w:autoSpaceDN w:val="0"/>
      <w:adjustRightInd w:val="0"/>
      <w:spacing w:line="48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link w:val="Heading2Char"/>
    <w:autoRedefine/>
    <w:uiPriority w:val="9"/>
    <w:qFormat/>
    <w:rsid w:val="00FC5F60"/>
    <w:pPr>
      <w:keepNext/>
      <w:spacing w:before="240" w:after="60" w:line="480" w:lineRule="auto"/>
      <w:jc w:val="center"/>
      <w:outlineLvl w:val="1"/>
    </w:pPr>
    <w:rPr>
      <w:rFonts w:ascii="Times New Roman" w:hAnsi="Times New Roman" w:cs="Times New Roman"/>
      <w:b/>
      <w:bCs/>
      <w:iCs/>
    </w:rPr>
  </w:style>
  <w:style w:type="paragraph" w:styleId="Heading3">
    <w:name w:val="heading 3"/>
    <w:basedOn w:val="Normal"/>
    <w:next w:val="Normal"/>
    <w:link w:val="Heading3Char"/>
    <w:autoRedefine/>
    <w:uiPriority w:val="9"/>
    <w:qFormat/>
    <w:rsid w:val="00645700"/>
    <w:pPr>
      <w:keepNext/>
      <w:numPr>
        <w:ilvl w:val="2"/>
        <w:numId w:val="2"/>
      </w:numPr>
      <w:spacing w:before="240" w:after="60" w:line="480" w:lineRule="auto"/>
      <w:outlineLvl w:val="2"/>
    </w:pPr>
    <w:rPr>
      <w:rFonts w:ascii="Times New Roman" w:hAnsi="Times New Roman" w:cs="Times New Roman"/>
      <w:b/>
      <w:bCs/>
      <w:iCs/>
    </w:rPr>
  </w:style>
  <w:style w:type="paragraph" w:styleId="Heading4">
    <w:name w:val="heading 4"/>
    <w:basedOn w:val="Normal"/>
    <w:next w:val="Normal"/>
    <w:link w:val="Heading4Char"/>
    <w:uiPriority w:val="9"/>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autoRedefine/>
    <w:uiPriority w:val="11"/>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aliases w:val="Table of Tables"/>
    <w:basedOn w:val="Normal"/>
    <w:next w:val="Normal"/>
    <w:autoRedefine/>
    <w:uiPriority w:val="99"/>
    <w:qFormat/>
    <w:rsid w:val="00B07A16"/>
    <w:pPr>
      <w:tabs>
        <w:tab w:val="right" w:leader="dot" w:pos="8630"/>
      </w:tabs>
      <w:ind w:left="480" w:hanging="480"/>
    </w:pPr>
    <w:rPr>
      <w:rFonts w:ascii="Times New Roman" w:hAnsi="Times New Roman"/>
      <w:b/>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D165B0"/>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B25728"/>
    <w:pPr>
      <w:spacing w:line="480" w:lineRule="auto"/>
      <w:ind w:left="720" w:hanging="36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9364DE"/>
    <w:pPr>
      <w:keepNext/>
      <w:spacing w:before="120" w:after="120" w:line="360" w:lineRule="auto"/>
    </w:pPr>
    <w:rPr>
      <w:rFonts w:ascii="Times New Roman" w:hAnsi="Times New Roman"/>
      <w:b/>
      <w:bCs/>
      <w:iCs/>
      <w:color w:val="000000" w:themeColor="text1"/>
      <w:szCs w:val="22"/>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uiPriority w:val="9"/>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80DDF"/>
    <w:pPr>
      <w:numPr>
        <w:ilvl w:val="12"/>
      </w:numPr>
      <w:jc w:val="left"/>
    </w:pPr>
    <w:rPr>
      <w:bCs w:val="0"/>
    </w:rPr>
  </w:style>
  <w:style w:type="paragraph" w:styleId="FootnoteText">
    <w:name w:val="footnote text"/>
    <w:basedOn w:val="Normal"/>
    <w:link w:val="FootnoteTextChar"/>
    <w:uiPriority w:val="99"/>
    <w:semiHidden/>
    <w:unhideWhenUsed/>
    <w:rsid w:val="005D089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5D0896"/>
    <w:rPr>
      <w:rFonts w:asciiTheme="minorHAnsi" w:eastAsiaTheme="minorHAnsi" w:hAnsiTheme="minorHAnsi" w:cstheme="minorBidi"/>
      <w:kern w:val="2"/>
      <w:sz w:val="20"/>
      <w:szCs w:val="20"/>
      <w14:ligatures w14:val="standardContextual"/>
    </w:rPr>
  </w:style>
  <w:style w:type="character" w:styleId="FootnoteReference">
    <w:name w:val="footnote reference"/>
    <w:basedOn w:val="DefaultParagraphFont"/>
    <w:uiPriority w:val="99"/>
    <w:semiHidden/>
    <w:unhideWhenUsed/>
    <w:rsid w:val="005D0896"/>
    <w:rPr>
      <w:vertAlign w:val="superscript"/>
    </w:rPr>
  </w:style>
  <w:style w:type="character" w:styleId="CommentReference">
    <w:name w:val="annotation reference"/>
    <w:basedOn w:val="DefaultParagraphFont"/>
    <w:uiPriority w:val="99"/>
    <w:semiHidden/>
    <w:unhideWhenUsed/>
    <w:rsid w:val="006B7112"/>
    <w:rPr>
      <w:sz w:val="16"/>
      <w:szCs w:val="16"/>
    </w:rPr>
  </w:style>
  <w:style w:type="paragraph" w:styleId="CommentText">
    <w:name w:val="annotation text"/>
    <w:basedOn w:val="Normal"/>
    <w:link w:val="CommentTextChar"/>
    <w:uiPriority w:val="99"/>
    <w:unhideWhenUsed/>
    <w:rsid w:val="006B7112"/>
    <w:rPr>
      <w:sz w:val="20"/>
      <w:szCs w:val="20"/>
    </w:rPr>
  </w:style>
  <w:style w:type="character" w:customStyle="1" w:styleId="CommentTextChar">
    <w:name w:val="Comment Text Char"/>
    <w:basedOn w:val="DefaultParagraphFont"/>
    <w:link w:val="CommentText"/>
    <w:uiPriority w:val="99"/>
    <w:rsid w:val="006B71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B7112"/>
    <w:rPr>
      <w:b/>
      <w:bCs/>
    </w:rPr>
  </w:style>
  <w:style w:type="character" w:customStyle="1" w:styleId="CommentSubjectChar">
    <w:name w:val="Comment Subject Char"/>
    <w:basedOn w:val="CommentTextChar"/>
    <w:link w:val="CommentSubject"/>
    <w:uiPriority w:val="99"/>
    <w:semiHidden/>
    <w:rsid w:val="006B7112"/>
    <w:rPr>
      <w:rFonts w:ascii="Arial" w:hAnsi="Arial"/>
      <w:b/>
      <w:bCs/>
      <w:sz w:val="20"/>
      <w:szCs w:val="20"/>
    </w:rPr>
  </w:style>
  <w:style w:type="character" w:styleId="UnresolvedMention">
    <w:name w:val="Unresolved Mention"/>
    <w:basedOn w:val="DefaultParagraphFont"/>
    <w:uiPriority w:val="99"/>
    <w:semiHidden/>
    <w:unhideWhenUsed/>
    <w:rsid w:val="00D76C7C"/>
    <w:rPr>
      <w:color w:val="605E5C"/>
      <w:shd w:val="clear" w:color="auto" w:fill="E1DFDD"/>
    </w:rPr>
  </w:style>
  <w:style w:type="paragraph" w:styleId="NormalWeb">
    <w:name w:val="Normal (Web)"/>
    <w:basedOn w:val="Normal"/>
    <w:uiPriority w:val="99"/>
    <w:unhideWhenUsed/>
    <w:rsid w:val="005A3B92"/>
    <w:pPr>
      <w:spacing w:before="100" w:beforeAutospacing="1" w:after="100" w:afterAutospacing="1"/>
    </w:pPr>
    <w:rPr>
      <w:rFonts w:ascii="Times New Roman" w:hAnsi="Times New Roman" w:cs="Times New Roman"/>
    </w:rPr>
  </w:style>
  <w:style w:type="character" w:customStyle="1" w:styleId="HeaderChar">
    <w:name w:val="Header Char"/>
    <w:basedOn w:val="DefaultParagraphFont"/>
    <w:link w:val="Header"/>
    <w:uiPriority w:val="99"/>
    <w:rsid w:val="005A3B92"/>
    <w:rPr>
      <w:rFonts w:ascii="Arial" w:hAnsi="Arial"/>
    </w:rPr>
  </w:style>
  <w:style w:type="paragraph" w:styleId="Revision">
    <w:name w:val="Revision"/>
    <w:hidden/>
    <w:uiPriority w:val="99"/>
    <w:semiHidden/>
    <w:rsid w:val="005A3B92"/>
    <w:rPr>
      <w:rFonts w:asciiTheme="minorHAnsi" w:eastAsiaTheme="minorHAnsi" w:hAnsiTheme="minorHAnsi" w:cstheme="minorBidi"/>
      <w:kern w:val="2"/>
      <w14:ligatures w14:val="standardContextual"/>
    </w:rPr>
  </w:style>
  <w:style w:type="paragraph" w:styleId="BalloonText">
    <w:name w:val="Balloon Text"/>
    <w:basedOn w:val="Normal"/>
    <w:link w:val="BalloonTextChar"/>
    <w:uiPriority w:val="99"/>
    <w:semiHidden/>
    <w:unhideWhenUsed/>
    <w:rsid w:val="005A3B92"/>
    <w:rPr>
      <w:rFonts w:ascii="Segoe UI" w:eastAsiaTheme="minorHAnsi" w:hAnsi="Segoe UI" w:cs="Segoe UI"/>
      <w:kern w:val="2"/>
      <w:sz w:val="18"/>
      <w:szCs w:val="18"/>
      <w14:ligatures w14:val="standardContextual"/>
    </w:rPr>
  </w:style>
  <w:style w:type="character" w:customStyle="1" w:styleId="BalloonTextChar">
    <w:name w:val="Balloon Text Char"/>
    <w:basedOn w:val="DefaultParagraphFont"/>
    <w:link w:val="BalloonText"/>
    <w:uiPriority w:val="99"/>
    <w:semiHidden/>
    <w:rsid w:val="005A3B92"/>
    <w:rPr>
      <w:rFonts w:ascii="Segoe UI" w:eastAsiaTheme="minorHAnsi" w:hAnsi="Segoe UI" w:cs="Segoe UI"/>
      <w:kern w:val="2"/>
      <w:sz w:val="18"/>
      <w:szCs w:val="18"/>
      <w14:ligatures w14:val="standardContextual"/>
    </w:rPr>
  </w:style>
  <w:style w:type="paragraph" w:styleId="Bibliography">
    <w:name w:val="Bibliography"/>
    <w:basedOn w:val="Normal"/>
    <w:next w:val="Normal"/>
    <w:uiPriority w:val="37"/>
    <w:unhideWhenUsed/>
    <w:rsid w:val="005A3B92"/>
    <w:rPr>
      <w:rFonts w:asciiTheme="minorHAnsi" w:eastAsiaTheme="minorHAnsi" w:hAnsiTheme="minorHAnsi" w:cstheme="minorBidi"/>
      <w:kern w:val="2"/>
      <w14:ligatures w14:val="standardContextual"/>
    </w:rPr>
  </w:style>
  <w:style w:type="character" w:customStyle="1" w:styleId="Heading2Char">
    <w:name w:val="Heading 2 Char"/>
    <w:basedOn w:val="DefaultParagraphFont"/>
    <w:link w:val="Heading2"/>
    <w:uiPriority w:val="9"/>
    <w:rsid w:val="00FC5F60"/>
    <w:rPr>
      <w:rFonts w:cs="Times New Roman"/>
      <w:b/>
      <w:bCs/>
      <w:iCs/>
    </w:rPr>
  </w:style>
  <w:style w:type="character" w:styleId="PlaceholderText">
    <w:name w:val="Placeholder Text"/>
    <w:basedOn w:val="DefaultParagraphFont"/>
    <w:uiPriority w:val="99"/>
    <w:semiHidden/>
    <w:rsid w:val="00C7027C"/>
    <w:rPr>
      <w:color w:val="666666"/>
    </w:rPr>
  </w:style>
  <w:style w:type="table" w:styleId="GridTable4-Accent1">
    <w:name w:val="Grid Table 4 Accent 1"/>
    <w:basedOn w:val="TableNormal"/>
    <w:uiPriority w:val="49"/>
    <w:rsid w:val="006C2864"/>
    <w:rPr>
      <w:rFonts w:asciiTheme="minorHAnsi" w:eastAsiaTheme="minorHAnsi" w:hAnsiTheme="minorHAnsi" w:cstheme="minorBidi"/>
      <w:kern w:val="2"/>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C286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e1">
    <w:name w:val="Style1"/>
    <w:basedOn w:val="ListParagraph"/>
    <w:qFormat/>
    <w:rsid w:val="008C6321"/>
    <w:pPr>
      <w:ind w:left="1440"/>
    </w:pPr>
    <w:rPr>
      <w:rFonts w:ascii="Times New Roman" w:hAnsi="Times New Roman"/>
    </w:rPr>
  </w:style>
  <w:style w:type="paragraph" w:customStyle="1" w:styleId="Style2">
    <w:name w:val="Style2"/>
    <w:basedOn w:val="ListParagraph"/>
    <w:autoRedefine/>
    <w:qFormat/>
    <w:rsid w:val="008C6321"/>
    <w:pPr>
      <w:numPr>
        <w:numId w:val="7"/>
      </w:numPr>
    </w:pPr>
    <w:rPr>
      <w:rFonts w:ascii="Times New Roman" w:hAnsi="Times New Roman"/>
    </w:rPr>
  </w:style>
  <w:style w:type="paragraph" w:customStyle="1" w:styleId="Style3">
    <w:name w:val="Style3"/>
    <w:basedOn w:val="Caption"/>
    <w:qFormat/>
    <w:rsid w:val="002278B6"/>
  </w:style>
  <w:style w:type="paragraph" w:customStyle="1" w:styleId="TableofFigs">
    <w:name w:val="Table of Figs"/>
    <w:basedOn w:val="TableofFigures"/>
    <w:autoRedefine/>
    <w:qFormat/>
    <w:rsid w:val="0027664D"/>
    <w:pPr>
      <w:spacing w:line="480" w:lineRule="auto"/>
    </w:pPr>
  </w:style>
  <w:style w:type="paragraph" w:styleId="HTMLPreformatted">
    <w:name w:val="HTML Preformatted"/>
    <w:basedOn w:val="Normal"/>
    <w:link w:val="HTMLPreformattedChar"/>
    <w:uiPriority w:val="99"/>
    <w:semiHidden/>
    <w:unhideWhenUsed/>
    <w:rsid w:val="00DE2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E2E6A"/>
    <w:rPr>
      <w:rFonts w:ascii="Courier New" w:hAnsi="Courier New" w:cs="Courier New"/>
      <w:sz w:val="20"/>
      <w:szCs w:val="20"/>
    </w:rPr>
  </w:style>
  <w:style w:type="paragraph" w:customStyle="1" w:styleId="References">
    <w:name w:val="References"/>
    <w:basedOn w:val="Bibliography"/>
    <w:autoRedefine/>
    <w:qFormat/>
    <w:rsid w:val="00E94094"/>
    <w:pPr>
      <w:spacing w:line="480" w:lineRule="auto"/>
      <w:ind w:left="720" w:hanging="720"/>
    </w:pPr>
    <w:rPr>
      <w:rFonts w:ascii="Times New Roman" w:hAnsi="Times New Roman"/>
      <w:i/>
      <w:iCs/>
      <w:noProof/>
    </w:rPr>
  </w:style>
  <w:style w:type="character" w:customStyle="1" w:styleId="Heading3Char">
    <w:name w:val="Heading 3 Char"/>
    <w:basedOn w:val="DefaultParagraphFont"/>
    <w:link w:val="Heading3"/>
    <w:uiPriority w:val="9"/>
    <w:rsid w:val="00D10CA7"/>
    <w:rPr>
      <w:rFonts w:cs="Times New Roman"/>
      <w:b/>
      <w:bCs/>
      <w:iCs/>
    </w:rPr>
  </w:style>
  <w:style w:type="character" w:customStyle="1" w:styleId="TitleChar">
    <w:name w:val="Title Char"/>
    <w:basedOn w:val="DefaultParagraphFont"/>
    <w:link w:val="Title"/>
    <w:uiPriority w:val="10"/>
    <w:rsid w:val="00D10CA7"/>
    <w:rPr>
      <w:rFonts w:ascii="Arial" w:hAnsi="Arial"/>
      <w:sz w:val="28"/>
      <w:szCs w:val="28"/>
    </w:rPr>
  </w:style>
  <w:style w:type="character" w:customStyle="1" w:styleId="SubtitleChar">
    <w:name w:val="Subtitle Char"/>
    <w:basedOn w:val="DefaultParagraphFont"/>
    <w:link w:val="Subtitle"/>
    <w:uiPriority w:val="11"/>
    <w:rsid w:val="00D10CA7"/>
    <w:rPr>
      <w:rFonts w:ascii="Arial" w:hAnsi="Arial"/>
      <w:b/>
      <w:bCs/>
    </w:rPr>
  </w:style>
  <w:style w:type="paragraph" w:customStyle="1" w:styleId="msonormal0">
    <w:name w:val="msonormal"/>
    <w:basedOn w:val="Normal"/>
    <w:rsid w:val="00D10CA7"/>
    <w:pPr>
      <w:spacing w:before="100" w:beforeAutospacing="1" w:after="100" w:afterAutospacing="1"/>
    </w:pPr>
    <w:rPr>
      <w:rFonts w:ascii="Times New Roman" w:hAnsi="Times New Roman" w:cs="Times New Roman"/>
    </w:rPr>
  </w:style>
  <w:style w:type="character" w:customStyle="1" w:styleId="z3988">
    <w:name w:val="z3988"/>
    <w:basedOn w:val="DefaultParagraphFont"/>
    <w:rsid w:val="00D10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33">
      <w:bodyDiv w:val="1"/>
      <w:marLeft w:val="0"/>
      <w:marRight w:val="0"/>
      <w:marTop w:val="0"/>
      <w:marBottom w:val="0"/>
      <w:divBdr>
        <w:top w:val="none" w:sz="0" w:space="0" w:color="auto"/>
        <w:left w:val="none" w:sz="0" w:space="0" w:color="auto"/>
        <w:bottom w:val="none" w:sz="0" w:space="0" w:color="auto"/>
        <w:right w:val="none" w:sz="0" w:space="0" w:color="auto"/>
      </w:divBdr>
    </w:div>
    <w:div w:id="1246060">
      <w:bodyDiv w:val="1"/>
      <w:marLeft w:val="0"/>
      <w:marRight w:val="0"/>
      <w:marTop w:val="0"/>
      <w:marBottom w:val="0"/>
      <w:divBdr>
        <w:top w:val="none" w:sz="0" w:space="0" w:color="auto"/>
        <w:left w:val="none" w:sz="0" w:space="0" w:color="auto"/>
        <w:bottom w:val="none" w:sz="0" w:space="0" w:color="auto"/>
        <w:right w:val="none" w:sz="0" w:space="0" w:color="auto"/>
      </w:divBdr>
    </w:div>
    <w:div w:id="2513259">
      <w:bodyDiv w:val="1"/>
      <w:marLeft w:val="0"/>
      <w:marRight w:val="0"/>
      <w:marTop w:val="0"/>
      <w:marBottom w:val="0"/>
      <w:divBdr>
        <w:top w:val="none" w:sz="0" w:space="0" w:color="auto"/>
        <w:left w:val="none" w:sz="0" w:space="0" w:color="auto"/>
        <w:bottom w:val="none" w:sz="0" w:space="0" w:color="auto"/>
        <w:right w:val="none" w:sz="0" w:space="0" w:color="auto"/>
      </w:divBdr>
    </w:div>
    <w:div w:id="2711287">
      <w:bodyDiv w:val="1"/>
      <w:marLeft w:val="0"/>
      <w:marRight w:val="0"/>
      <w:marTop w:val="0"/>
      <w:marBottom w:val="0"/>
      <w:divBdr>
        <w:top w:val="none" w:sz="0" w:space="0" w:color="auto"/>
        <w:left w:val="none" w:sz="0" w:space="0" w:color="auto"/>
        <w:bottom w:val="none" w:sz="0" w:space="0" w:color="auto"/>
        <w:right w:val="none" w:sz="0" w:space="0" w:color="auto"/>
      </w:divBdr>
    </w:div>
    <w:div w:id="2978454">
      <w:bodyDiv w:val="1"/>
      <w:marLeft w:val="0"/>
      <w:marRight w:val="0"/>
      <w:marTop w:val="0"/>
      <w:marBottom w:val="0"/>
      <w:divBdr>
        <w:top w:val="none" w:sz="0" w:space="0" w:color="auto"/>
        <w:left w:val="none" w:sz="0" w:space="0" w:color="auto"/>
        <w:bottom w:val="none" w:sz="0" w:space="0" w:color="auto"/>
        <w:right w:val="none" w:sz="0" w:space="0" w:color="auto"/>
      </w:divBdr>
    </w:div>
    <w:div w:id="3022291">
      <w:bodyDiv w:val="1"/>
      <w:marLeft w:val="0"/>
      <w:marRight w:val="0"/>
      <w:marTop w:val="0"/>
      <w:marBottom w:val="0"/>
      <w:divBdr>
        <w:top w:val="none" w:sz="0" w:space="0" w:color="auto"/>
        <w:left w:val="none" w:sz="0" w:space="0" w:color="auto"/>
        <w:bottom w:val="none" w:sz="0" w:space="0" w:color="auto"/>
        <w:right w:val="none" w:sz="0" w:space="0" w:color="auto"/>
      </w:divBdr>
    </w:div>
    <w:div w:id="3555810">
      <w:bodyDiv w:val="1"/>
      <w:marLeft w:val="0"/>
      <w:marRight w:val="0"/>
      <w:marTop w:val="0"/>
      <w:marBottom w:val="0"/>
      <w:divBdr>
        <w:top w:val="none" w:sz="0" w:space="0" w:color="auto"/>
        <w:left w:val="none" w:sz="0" w:space="0" w:color="auto"/>
        <w:bottom w:val="none" w:sz="0" w:space="0" w:color="auto"/>
        <w:right w:val="none" w:sz="0" w:space="0" w:color="auto"/>
      </w:divBdr>
    </w:div>
    <w:div w:id="3629176">
      <w:bodyDiv w:val="1"/>
      <w:marLeft w:val="0"/>
      <w:marRight w:val="0"/>
      <w:marTop w:val="0"/>
      <w:marBottom w:val="0"/>
      <w:divBdr>
        <w:top w:val="none" w:sz="0" w:space="0" w:color="auto"/>
        <w:left w:val="none" w:sz="0" w:space="0" w:color="auto"/>
        <w:bottom w:val="none" w:sz="0" w:space="0" w:color="auto"/>
        <w:right w:val="none" w:sz="0" w:space="0" w:color="auto"/>
      </w:divBdr>
    </w:div>
    <w:div w:id="3672330">
      <w:bodyDiv w:val="1"/>
      <w:marLeft w:val="0"/>
      <w:marRight w:val="0"/>
      <w:marTop w:val="0"/>
      <w:marBottom w:val="0"/>
      <w:divBdr>
        <w:top w:val="none" w:sz="0" w:space="0" w:color="auto"/>
        <w:left w:val="none" w:sz="0" w:space="0" w:color="auto"/>
        <w:bottom w:val="none" w:sz="0" w:space="0" w:color="auto"/>
        <w:right w:val="none" w:sz="0" w:space="0" w:color="auto"/>
      </w:divBdr>
    </w:div>
    <w:div w:id="4017020">
      <w:bodyDiv w:val="1"/>
      <w:marLeft w:val="0"/>
      <w:marRight w:val="0"/>
      <w:marTop w:val="0"/>
      <w:marBottom w:val="0"/>
      <w:divBdr>
        <w:top w:val="none" w:sz="0" w:space="0" w:color="auto"/>
        <w:left w:val="none" w:sz="0" w:space="0" w:color="auto"/>
        <w:bottom w:val="none" w:sz="0" w:space="0" w:color="auto"/>
        <w:right w:val="none" w:sz="0" w:space="0" w:color="auto"/>
      </w:divBdr>
    </w:div>
    <w:div w:id="4402369">
      <w:bodyDiv w:val="1"/>
      <w:marLeft w:val="0"/>
      <w:marRight w:val="0"/>
      <w:marTop w:val="0"/>
      <w:marBottom w:val="0"/>
      <w:divBdr>
        <w:top w:val="none" w:sz="0" w:space="0" w:color="auto"/>
        <w:left w:val="none" w:sz="0" w:space="0" w:color="auto"/>
        <w:bottom w:val="none" w:sz="0" w:space="0" w:color="auto"/>
        <w:right w:val="none" w:sz="0" w:space="0" w:color="auto"/>
      </w:divBdr>
    </w:div>
    <w:div w:id="4597399">
      <w:bodyDiv w:val="1"/>
      <w:marLeft w:val="0"/>
      <w:marRight w:val="0"/>
      <w:marTop w:val="0"/>
      <w:marBottom w:val="0"/>
      <w:divBdr>
        <w:top w:val="none" w:sz="0" w:space="0" w:color="auto"/>
        <w:left w:val="none" w:sz="0" w:space="0" w:color="auto"/>
        <w:bottom w:val="none" w:sz="0" w:space="0" w:color="auto"/>
        <w:right w:val="none" w:sz="0" w:space="0" w:color="auto"/>
      </w:divBdr>
    </w:div>
    <w:div w:id="5064878">
      <w:bodyDiv w:val="1"/>
      <w:marLeft w:val="0"/>
      <w:marRight w:val="0"/>
      <w:marTop w:val="0"/>
      <w:marBottom w:val="0"/>
      <w:divBdr>
        <w:top w:val="none" w:sz="0" w:space="0" w:color="auto"/>
        <w:left w:val="none" w:sz="0" w:space="0" w:color="auto"/>
        <w:bottom w:val="none" w:sz="0" w:space="0" w:color="auto"/>
        <w:right w:val="none" w:sz="0" w:space="0" w:color="auto"/>
      </w:divBdr>
    </w:div>
    <w:div w:id="5594763">
      <w:bodyDiv w:val="1"/>
      <w:marLeft w:val="0"/>
      <w:marRight w:val="0"/>
      <w:marTop w:val="0"/>
      <w:marBottom w:val="0"/>
      <w:divBdr>
        <w:top w:val="none" w:sz="0" w:space="0" w:color="auto"/>
        <w:left w:val="none" w:sz="0" w:space="0" w:color="auto"/>
        <w:bottom w:val="none" w:sz="0" w:space="0" w:color="auto"/>
        <w:right w:val="none" w:sz="0" w:space="0" w:color="auto"/>
      </w:divBdr>
    </w:div>
    <w:div w:id="5837372">
      <w:bodyDiv w:val="1"/>
      <w:marLeft w:val="0"/>
      <w:marRight w:val="0"/>
      <w:marTop w:val="0"/>
      <w:marBottom w:val="0"/>
      <w:divBdr>
        <w:top w:val="none" w:sz="0" w:space="0" w:color="auto"/>
        <w:left w:val="none" w:sz="0" w:space="0" w:color="auto"/>
        <w:bottom w:val="none" w:sz="0" w:space="0" w:color="auto"/>
        <w:right w:val="none" w:sz="0" w:space="0" w:color="auto"/>
      </w:divBdr>
    </w:div>
    <w:div w:id="6830007">
      <w:bodyDiv w:val="1"/>
      <w:marLeft w:val="0"/>
      <w:marRight w:val="0"/>
      <w:marTop w:val="0"/>
      <w:marBottom w:val="0"/>
      <w:divBdr>
        <w:top w:val="none" w:sz="0" w:space="0" w:color="auto"/>
        <w:left w:val="none" w:sz="0" w:space="0" w:color="auto"/>
        <w:bottom w:val="none" w:sz="0" w:space="0" w:color="auto"/>
        <w:right w:val="none" w:sz="0" w:space="0" w:color="auto"/>
      </w:divBdr>
    </w:div>
    <w:div w:id="7218945">
      <w:bodyDiv w:val="1"/>
      <w:marLeft w:val="0"/>
      <w:marRight w:val="0"/>
      <w:marTop w:val="0"/>
      <w:marBottom w:val="0"/>
      <w:divBdr>
        <w:top w:val="none" w:sz="0" w:space="0" w:color="auto"/>
        <w:left w:val="none" w:sz="0" w:space="0" w:color="auto"/>
        <w:bottom w:val="none" w:sz="0" w:space="0" w:color="auto"/>
        <w:right w:val="none" w:sz="0" w:space="0" w:color="auto"/>
      </w:divBdr>
    </w:div>
    <w:div w:id="8144559">
      <w:bodyDiv w:val="1"/>
      <w:marLeft w:val="0"/>
      <w:marRight w:val="0"/>
      <w:marTop w:val="0"/>
      <w:marBottom w:val="0"/>
      <w:divBdr>
        <w:top w:val="none" w:sz="0" w:space="0" w:color="auto"/>
        <w:left w:val="none" w:sz="0" w:space="0" w:color="auto"/>
        <w:bottom w:val="none" w:sz="0" w:space="0" w:color="auto"/>
        <w:right w:val="none" w:sz="0" w:space="0" w:color="auto"/>
      </w:divBdr>
    </w:div>
    <w:div w:id="8871387">
      <w:bodyDiv w:val="1"/>
      <w:marLeft w:val="0"/>
      <w:marRight w:val="0"/>
      <w:marTop w:val="0"/>
      <w:marBottom w:val="0"/>
      <w:divBdr>
        <w:top w:val="none" w:sz="0" w:space="0" w:color="auto"/>
        <w:left w:val="none" w:sz="0" w:space="0" w:color="auto"/>
        <w:bottom w:val="none" w:sz="0" w:space="0" w:color="auto"/>
        <w:right w:val="none" w:sz="0" w:space="0" w:color="auto"/>
      </w:divBdr>
    </w:div>
    <w:div w:id="9113856">
      <w:bodyDiv w:val="1"/>
      <w:marLeft w:val="0"/>
      <w:marRight w:val="0"/>
      <w:marTop w:val="0"/>
      <w:marBottom w:val="0"/>
      <w:divBdr>
        <w:top w:val="none" w:sz="0" w:space="0" w:color="auto"/>
        <w:left w:val="none" w:sz="0" w:space="0" w:color="auto"/>
        <w:bottom w:val="none" w:sz="0" w:space="0" w:color="auto"/>
        <w:right w:val="none" w:sz="0" w:space="0" w:color="auto"/>
      </w:divBdr>
    </w:div>
    <w:div w:id="9458919">
      <w:bodyDiv w:val="1"/>
      <w:marLeft w:val="0"/>
      <w:marRight w:val="0"/>
      <w:marTop w:val="0"/>
      <w:marBottom w:val="0"/>
      <w:divBdr>
        <w:top w:val="none" w:sz="0" w:space="0" w:color="auto"/>
        <w:left w:val="none" w:sz="0" w:space="0" w:color="auto"/>
        <w:bottom w:val="none" w:sz="0" w:space="0" w:color="auto"/>
        <w:right w:val="none" w:sz="0" w:space="0" w:color="auto"/>
      </w:divBdr>
    </w:div>
    <w:div w:id="9645356">
      <w:bodyDiv w:val="1"/>
      <w:marLeft w:val="0"/>
      <w:marRight w:val="0"/>
      <w:marTop w:val="0"/>
      <w:marBottom w:val="0"/>
      <w:divBdr>
        <w:top w:val="none" w:sz="0" w:space="0" w:color="auto"/>
        <w:left w:val="none" w:sz="0" w:space="0" w:color="auto"/>
        <w:bottom w:val="none" w:sz="0" w:space="0" w:color="auto"/>
        <w:right w:val="none" w:sz="0" w:space="0" w:color="auto"/>
      </w:divBdr>
    </w:div>
    <w:div w:id="10689621">
      <w:bodyDiv w:val="1"/>
      <w:marLeft w:val="0"/>
      <w:marRight w:val="0"/>
      <w:marTop w:val="0"/>
      <w:marBottom w:val="0"/>
      <w:divBdr>
        <w:top w:val="none" w:sz="0" w:space="0" w:color="auto"/>
        <w:left w:val="none" w:sz="0" w:space="0" w:color="auto"/>
        <w:bottom w:val="none" w:sz="0" w:space="0" w:color="auto"/>
        <w:right w:val="none" w:sz="0" w:space="0" w:color="auto"/>
      </w:divBdr>
    </w:div>
    <w:div w:id="11231643">
      <w:bodyDiv w:val="1"/>
      <w:marLeft w:val="0"/>
      <w:marRight w:val="0"/>
      <w:marTop w:val="0"/>
      <w:marBottom w:val="0"/>
      <w:divBdr>
        <w:top w:val="none" w:sz="0" w:space="0" w:color="auto"/>
        <w:left w:val="none" w:sz="0" w:space="0" w:color="auto"/>
        <w:bottom w:val="none" w:sz="0" w:space="0" w:color="auto"/>
        <w:right w:val="none" w:sz="0" w:space="0" w:color="auto"/>
      </w:divBdr>
    </w:div>
    <w:div w:id="11348736">
      <w:bodyDiv w:val="1"/>
      <w:marLeft w:val="0"/>
      <w:marRight w:val="0"/>
      <w:marTop w:val="0"/>
      <w:marBottom w:val="0"/>
      <w:divBdr>
        <w:top w:val="none" w:sz="0" w:space="0" w:color="auto"/>
        <w:left w:val="none" w:sz="0" w:space="0" w:color="auto"/>
        <w:bottom w:val="none" w:sz="0" w:space="0" w:color="auto"/>
        <w:right w:val="none" w:sz="0" w:space="0" w:color="auto"/>
      </w:divBdr>
    </w:div>
    <w:div w:id="11810335">
      <w:bodyDiv w:val="1"/>
      <w:marLeft w:val="0"/>
      <w:marRight w:val="0"/>
      <w:marTop w:val="0"/>
      <w:marBottom w:val="0"/>
      <w:divBdr>
        <w:top w:val="none" w:sz="0" w:space="0" w:color="auto"/>
        <w:left w:val="none" w:sz="0" w:space="0" w:color="auto"/>
        <w:bottom w:val="none" w:sz="0" w:space="0" w:color="auto"/>
        <w:right w:val="none" w:sz="0" w:space="0" w:color="auto"/>
      </w:divBdr>
    </w:div>
    <w:div w:id="11955836">
      <w:bodyDiv w:val="1"/>
      <w:marLeft w:val="0"/>
      <w:marRight w:val="0"/>
      <w:marTop w:val="0"/>
      <w:marBottom w:val="0"/>
      <w:divBdr>
        <w:top w:val="none" w:sz="0" w:space="0" w:color="auto"/>
        <w:left w:val="none" w:sz="0" w:space="0" w:color="auto"/>
        <w:bottom w:val="none" w:sz="0" w:space="0" w:color="auto"/>
        <w:right w:val="none" w:sz="0" w:space="0" w:color="auto"/>
      </w:divBdr>
    </w:div>
    <w:div w:id="11956283">
      <w:bodyDiv w:val="1"/>
      <w:marLeft w:val="0"/>
      <w:marRight w:val="0"/>
      <w:marTop w:val="0"/>
      <w:marBottom w:val="0"/>
      <w:divBdr>
        <w:top w:val="none" w:sz="0" w:space="0" w:color="auto"/>
        <w:left w:val="none" w:sz="0" w:space="0" w:color="auto"/>
        <w:bottom w:val="none" w:sz="0" w:space="0" w:color="auto"/>
        <w:right w:val="none" w:sz="0" w:space="0" w:color="auto"/>
      </w:divBdr>
    </w:div>
    <w:div w:id="12386803">
      <w:bodyDiv w:val="1"/>
      <w:marLeft w:val="0"/>
      <w:marRight w:val="0"/>
      <w:marTop w:val="0"/>
      <w:marBottom w:val="0"/>
      <w:divBdr>
        <w:top w:val="none" w:sz="0" w:space="0" w:color="auto"/>
        <w:left w:val="none" w:sz="0" w:space="0" w:color="auto"/>
        <w:bottom w:val="none" w:sz="0" w:space="0" w:color="auto"/>
        <w:right w:val="none" w:sz="0" w:space="0" w:color="auto"/>
      </w:divBdr>
    </w:div>
    <w:div w:id="12537309">
      <w:bodyDiv w:val="1"/>
      <w:marLeft w:val="0"/>
      <w:marRight w:val="0"/>
      <w:marTop w:val="0"/>
      <w:marBottom w:val="0"/>
      <w:divBdr>
        <w:top w:val="none" w:sz="0" w:space="0" w:color="auto"/>
        <w:left w:val="none" w:sz="0" w:space="0" w:color="auto"/>
        <w:bottom w:val="none" w:sz="0" w:space="0" w:color="auto"/>
        <w:right w:val="none" w:sz="0" w:space="0" w:color="auto"/>
      </w:divBdr>
    </w:div>
    <w:div w:id="12845906">
      <w:bodyDiv w:val="1"/>
      <w:marLeft w:val="0"/>
      <w:marRight w:val="0"/>
      <w:marTop w:val="0"/>
      <w:marBottom w:val="0"/>
      <w:divBdr>
        <w:top w:val="none" w:sz="0" w:space="0" w:color="auto"/>
        <w:left w:val="none" w:sz="0" w:space="0" w:color="auto"/>
        <w:bottom w:val="none" w:sz="0" w:space="0" w:color="auto"/>
        <w:right w:val="none" w:sz="0" w:space="0" w:color="auto"/>
      </w:divBdr>
    </w:div>
    <w:div w:id="14428329">
      <w:bodyDiv w:val="1"/>
      <w:marLeft w:val="0"/>
      <w:marRight w:val="0"/>
      <w:marTop w:val="0"/>
      <w:marBottom w:val="0"/>
      <w:divBdr>
        <w:top w:val="none" w:sz="0" w:space="0" w:color="auto"/>
        <w:left w:val="none" w:sz="0" w:space="0" w:color="auto"/>
        <w:bottom w:val="none" w:sz="0" w:space="0" w:color="auto"/>
        <w:right w:val="none" w:sz="0" w:space="0" w:color="auto"/>
      </w:divBdr>
    </w:div>
    <w:div w:id="14506051">
      <w:bodyDiv w:val="1"/>
      <w:marLeft w:val="0"/>
      <w:marRight w:val="0"/>
      <w:marTop w:val="0"/>
      <w:marBottom w:val="0"/>
      <w:divBdr>
        <w:top w:val="none" w:sz="0" w:space="0" w:color="auto"/>
        <w:left w:val="none" w:sz="0" w:space="0" w:color="auto"/>
        <w:bottom w:val="none" w:sz="0" w:space="0" w:color="auto"/>
        <w:right w:val="none" w:sz="0" w:space="0" w:color="auto"/>
      </w:divBdr>
    </w:div>
    <w:div w:id="14621656">
      <w:bodyDiv w:val="1"/>
      <w:marLeft w:val="0"/>
      <w:marRight w:val="0"/>
      <w:marTop w:val="0"/>
      <w:marBottom w:val="0"/>
      <w:divBdr>
        <w:top w:val="none" w:sz="0" w:space="0" w:color="auto"/>
        <w:left w:val="none" w:sz="0" w:space="0" w:color="auto"/>
        <w:bottom w:val="none" w:sz="0" w:space="0" w:color="auto"/>
        <w:right w:val="none" w:sz="0" w:space="0" w:color="auto"/>
      </w:divBdr>
    </w:div>
    <w:div w:id="14769269">
      <w:bodyDiv w:val="1"/>
      <w:marLeft w:val="0"/>
      <w:marRight w:val="0"/>
      <w:marTop w:val="0"/>
      <w:marBottom w:val="0"/>
      <w:divBdr>
        <w:top w:val="none" w:sz="0" w:space="0" w:color="auto"/>
        <w:left w:val="none" w:sz="0" w:space="0" w:color="auto"/>
        <w:bottom w:val="none" w:sz="0" w:space="0" w:color="auto"/>
        <w:right w:val="none" w:sz="0" w:space="0" w:color="auto"/>
      </w:divBdr>
    </w:div>
    <w:div w:id="15160733">
      <w:bodyDiv w:val="1"/>
      <w:marLeft w:val="0"/>
      <w:marRight w:val="0"/>
      <w:marTop w:val="0"/>
      <w:marBottom w:val="0"/>
      <w:divBdr>
        <w:top w:val="none" w:sz="0" w:space="0" w:color="auto"/>
        <w:left w:val="none" w:sz="0" w:space="0" w:color="auto"/>
        <w:bottom w:val="none" w:sz="0" w:space="0" w:color="auto"/>
        <w:right w:val="none" w:sz="0" w:space="0" w:color="auto"/>
      </w:divBdr>
    </w:div>
    <w:div w:id="15622904">
      <w:bodyDiv w:val="1"/>
      <w:marLeft w:val="0"/>
      <w:marRight w:val="0"/>
      <w:marTop w:val="0"/>
      <w:marBottom w:val="0"/>
      <w:divBdr>
        <w:top w:val="none" w:sz="0" w:space="0" w:color="auto"/>
        <w:left w:val="none" w:sz="0" w:space="0" w:color="auto"/>
        <w:bottom w:val="none" w:sz="0" w:space="0" w:color="auto"/>
        <w:right w:val="none" w:sz="0" w:space="0" w:color="auto"/>
      </w:divBdr>
    </w:div>
    <w:div w:id="15926794">
      <w:bodyDiv w:val="1"/>
      <w:marLeft w:val="0"/>
      <w:marRight w:val="0"/>
      <w:marTop w:val="0"/>
      <w:marBottom w:val="0"/>
      <w:divBdr>
        <w:top w:val="none" w:sz="0" w:space="0" w:color="auto"/>
        <w:left w:val="none" w:sz="0" w:space="0" w:color="auto"/>
        <w:bottom w:val="none" w:sz="0" w:space="0" w:color="auto"/>
        <w:right w:val="none" w:sz="0" w:space="0" w:color="auto"/>
      </w:divBdr>
    </w:div>
    <w:div w:id="16349578">
      <w:bodyDiv w:val="1"/>
      <w:marLeft w:val="0"/>
      <w:marRight w:val="0"/>
      <w:marTop w:val="0"/>
      <w:marBottom w:val="0"/>
      <w:divBdr>
        <w:top w:val="none" w:sz="0" w:space="0" w:color="auto"/>
        <w:left w:val="none" w:sz="0" w:space="0" w:color="auto"/>
        <w:bottom w:val="none" w:sz="0" w:space="0" w:color="auto"/>
        <w:right w:val="none" w:sz="0" w:space="0" w:color="auto"/>
      </w:divBdr>
    </w:div>
    <w:div w:id="16927824">
      <w:bodyDiv w:val="1"/>
      <w:marLeft w:val="0"/>
      <w:marRight w:val="0"/>
      <w:marTop w:val="0"/>
      <w:marBottom w:val="0"/>
      <w:divBdr>
        <w:top w:val="none" w:sz="0" w:space="0" w:color="auto"/>
        <w:left w:val="none" w:sz="0" w:space="0" w:color="auto"/>
        <w:bottom w:val="none" w:sz="0" w:space="0" w:color="auto"/>
        <w:right w:val="none" w:sz="0" w:space="0" w:color="auto"/>
      </w:divBdr>
    </w:div>
    <w:div w:id="17195482">
      <w:bodyDiv w:val="1"/>
      <w:marLeft w:val="0"/>
      <w:marRight w:val="0"/>
      <w:marTop w:val="0"/>
      <w:marBottom w:val="0"/>
      <w:divBdr>
        <w:top w:val="none" w:sz="0" w:space="0" w:color="auto"/>
        <w:left w:val="none" w:sz="0" w:space="0" w:color="auto"/>
        <w:bottom w:val="none" w:sz="0" w:space="0" w:color="auto"/>
        <w:right w:val="none" w:sz="0" w:space="0" w:color="auto"/>
      </w:divBdr>
    </w:div>
    <w:div w:id="18432585">
      <w:bodyDiv w:val="1"/>
      <w:marLeft w:val="0"/>
      <w:marRight w:val="0"/>
      <w:marTop w:val="0"/>
      <w:marBottom w:val="0"/>
      <w:divBdr>
        <w:top w:val="none" w:sz="0" w:space="0" w:color="auto"/>
        <w:left w:val="none" w:sz="0" w:space="0" w:color="auto"/>
        <w:bottom w:val="none" w:sz="0" w:space="0" w:color="auto"/>
        <w:right w:val="none" w:sz="0" w:space="0" w:color="auto"/>
      </w:divBdr>
    </w:div>
    <w:div w:id="18941743">
      <w:bodyDiv w:val="1"/>
      <w:marLeft w:val="0"/>
      <w:marRight w:val="0"/>
      <w:marTop w:val="0"/>
      <w:marBottom w:val="0"/>
      <w:divBdr>
        <w:top w:val="none" w:sz="0" w:space="0" w:color="auto"/>
        <w:left w:val="none" w:sz="0" w:space="0" w:color="auto"/>
        <w:bottom w:val="none" w:sz="0" w:space="0" w:color="auto"/>
        <w:right w:val="none" w:sz="0" w:space="0" w:color="auto"/>
      </w:divBdr>
    </w:div>
    <w:div w:id="20592420">
      <w:bodyDiv w:val="1"/>
      <w:marLeft w:val="0"/>
      <w:marRight w:val="0"/>
      <w:marTop w:val="0"/>
      <w:marBottom w:val="0"/>
      <w:divBdr>
        <w:top w:val="none" w:sz="0" w:space="0" w:color="auto"/>
        <w:left w:val="none" w:sz="0" w:space="0" w:color="auto"/>
        <w:bottom w:val="none" w:sz="0" w:space="0" w:color="auto"/>
        <w:right w:val="none" w:sz="0" w:space="0" w:color="auto"/>
      </w:divBdr>
    </w:div>
    <w:div w:id="20784069">
      <w:bodyDiv w:val="1"/>
      <w:marLeft w:val="0"/>
      <w:marRight w:val="0"/>
      <w:marTop w:val="0"/>
      <w:marBottom w:val="0"/>
      <w:divBdr>
        <w:top w:val="none" w:sz="0" w:space="0" w:color="auto"/>
        <w:left w:val="none" w:sz="0" w:space="0" w:color="auto"/>
        <w:bottom w:val="none" w:sz="0" w:space="0" w:color="auto"/>
        <w:right w:val="none" w:sz="0" w:space="0" w:color="auto"/>
      </w:divBdr>
    </w:div>
    <w:div w:id="21518097">
      <w:bodyDiv w:val="1"/>
      <w:marLeft w:val="0"/>
      <w:marRight w:val="0"/>
      <w:marTop w:val="0"/>
      <w:marBottom w:val="0"/>
      <w:divBdr>
        <w:top w:val="none" w:sz="0" w:space="0" w:color="auto"/>
        <w:left w:val="none" w:sz="0" w:space="0" w:color="auto"/>
        <w:bottom w:val="none" w:sz="0" w:space="0" w:color="auto"/>
        <w:right w:val="none" w:sz="0" w:space="0" w:color="auto"/>
      </w:divBdr>
    </w:div>
    <w:div w:id="21789237">
      <w:bodyDiv w:val="1"/>
      <w:marLeft w:val="0"/>
      <w:marRight w:val="0"/>
      <w:marTop w:val="0"/>
      <w:marBottom w:val="0"/>
      <w:divBdr>
        <w:top w:val="none" w:sz="0" w:space="0" w:color="auto"/>
        <w:left w:val="none" w:sz="0" w:space="0" w:color="auto"/>
        <w:bottom w:val="none" w:sz="0" w:space="0" w:color="auto"/>
        <w:right w:val="none" w:sz="0" w:space="0" w:color="auto"/>
      </w:divBdr>
    </w:div>
    <w:div w:id="21830078">
      <w:bodyDiv w:val="1"/>
      <w:marLeft w:val="0"/>
      <w:marRight w:val="0"/>
      <w:marTop w:val="0"/>
      <w:marBottom w:val="0"/>
      <w:divBdr>
        <w:top w:val="none" w:sz="0" w:space="0" w:color="auto"/>
        <w:left w:val="none" w:sz="0" w:space="0" w:color="auto"/>
        <w:bottom w:val="none" w:sz="0" w:space="0" w:color="auto"/>
        <w:right w:val="none" w:sz="0" w:space="0" w:color="auto"/>
      </w:divBdr>
    </w:div>
    <w:div w:id="22638344">
      <w:bodyDiv w:val="1"/>
      <w:marLeft w:val="0"/>
      <w:marRight w:val="0"/>
      <w:marTop w:val="0"/>
      <w:marBottom w:val="0"/>
      <w:divBdr>
        <w:top w:val="none" w:sz="0" w:space="0" w:color="auto"/>
        <w:left w:val="none" w:sz="0" w:space="0" w:color="auto"/>
        <w:bottom w:val="none" w:sz="0" w:space="0" w:color="auto"/>
        <w:right w:val="none" w:sz="0" w:space="0" w:color="auto"/>
      </w:divBdr>
    </w:div>
    <w:div w:id="23481939">
      <w:bodyDiv w:val="1"/>
      <w:marLeft w:val="0"/>
      <w:marRight w:val="0"/>
      <w:marTop w:val="0"/>
      <w:marBottom w:val="0"/>
      <w:divBdr>
        <w:top w:val="none" w:sz="0" w:space="0" w:color="auto"/>
        <w:left w:val="none" w:sz="0" w:space="0" w:color="auto"/>
        <w:bottom w:val="none" w:sz="0" w:space="0" w:color="auto"/>
        <w:right w:val="none" w:sz="0" w:space="0" w:color="auto"/>
      </w:divBdr>
    </w:div>
    <w:div w:id="23874639">
      <w:bodyDiv w:val="1"/>
      <w:marLeft w:val="0"/>
      <w:marRight w:val="0"/>
      <w:marTop w:val="0"/>
      <w:marBottom w:val="0"/>
      <w:divBdr>
        <w:top w:val="none" w:sz="0" w:space="0" w:color="auto"/>
        <w:left w:val="none" w:sz="0" w:space="0" w:color="auto"/>
        <w:bottom w:val="none" w:sz="0" w:space="0" w:color="auto"/>
        <w:right w:val="none" w:sz="0" w:space="0" w:color="auto"/>
      </w:divBdr>
    </w:div>
    <w:div w:id="25329331">
      <w:bodyDiv w:val="1"/>
      <w:marLeft w:val="0"/>
      <w:marRight w:val="0"/>
      <w:marTop w:val="0"/>
      <w:marBottom w:val="0"/>
      <w:divBdr>
        <w:top w:val="none" w:sz="0" w:space="0" w:color="auto"/>
        <w:left w:val="none" w:sz="0" w:space="0" w:color="auto"/>
        <w:bottom w:val="none" w:sz="0" w:space="0" w:color="auto"/>
        <w:right w:val="none" w:sz="0" w:space="0" w:color="auto"/>
      </w:divBdr>
    </w:div>
    <w:div w:id="25369951">
      <w:bodyDiv w:val="1"/>
      <w:marLeft w:val="0"/>
      <w:marRight w:val="0"/>
      <w:marTop w:val="0"/>
      <w:marBottom w:val="0"/>
      <w:divBdr>
        <w:top w:val="none" w:sz="0" w:space="0" w:color="auto"/>
        <w:left w:val="none" w:sz="0" w:space="0" w:color="auto"/>
        <w:bottom w:val="none" w:sz="0" w:space="0" w:color="auto"/>
        <w:right w:val="none" w:sz="0" w:space="0" w:color="auto"/>
      </w:divBdr>
    </w:div>
    <w:div w:id="25910960">
      <w:bodyDiv w:val="1"/>
      <w:marLeft w:val="0"/>
      <w:marRight w:val="0"/>
      <w:marTop w:val="0"/>
      <w:marBottom w:val="0"/>
      <w:divBdr>
        <w:top w:val="none" w:sz="0" w:space="0" w:color="auto"/>
        <w:left w:val="none" w:sz="0" w:space="0" w:color="auto"/>
        <w:bottom w:val="none" w:sz="0" w:space="0" w:color="auto"/>
        <w:right w:val="none" w:sz="0" w:space="0" w:color="auto"/>
      </w:divBdr>
    </w:div>
    <w:div w:id="26031325">
      <w:bodyDiv w:val="1"/>
      <w:marLeft w:val="0"/>
      <w:marRight w:val="0"/>
      <w:marTop w:val="0"/>
      <w:marBottom w:val="0"/>
      <w:divBdr>
        <w:top w:val="none" w:sz="0" w:space="0" w:color="auto"/>
        <w:left w:val="none" w:sz="0" w:space="0" w:color="auto"/>
        <w:bottom w:val="none" w:sz="0" w:space="0" w:color="auto"/>
        <w:right w:val="none" w:sz="0" w:space="0" w:color="auto"/>
      </w:divBdr>
    </w:div>
    <w:div w:id="26686009">
      <w:bodyDiv w:val="1"/>
      <w:marLeft w:val="0"/>
      <w:marRight w:val="0"/>
      <w:marTop w:val="0"/>
      <w:marBottom w:val="0"/>
      <w:divBdr>
        <w:top w:val="none" w:sz="0" w:space="0" w:color="auto"/>
        <w:left w:val="none" w:sz="0" w:space="0" w:color="auto"/>
        <w:bottom w:val="none" w:sz="0" w:space="0" w:color="auto"/>
        <w:right w:val="none" w:sz="0" w:space="0" w:color="auto"/>
      </w:divBdr>
    </w:div>
    <w:div w:id="26756217">
      <w:bodyDiv w:val="1"/>
      <w:marLeft w:val="0"/>
      <w:marRight w:val="0"/>
      <w:marTop w:val="0"/>
      <w:marBottom w:val="0"/>
      <w:divBdr>
        <w:top w:val="none" w:sz="0" w:space="0" w:color="auto"/>
        <w:left w:val="none" w:sz="0" w:space="0" w:color="auto"/>
        <w:bottom w:val="none" w:sz="0" w:space="0" w:color="auto"/>
        <w:right w:val="none" w:sz="0" w:space="0" w:color="auto"/>
      </w:divBdr>
    </w:div>
    <w:div w:id="26832737">
      <w:bodyDiv w:val="1"/>
      <w:marLeft w:val="0"/>
      <w:marRight w:val="0"/>
      <w:marTop w:val="0"/>
      <w:marBottom w:val="0"/>
      <w:divBdr>
        <w:top w:val="none" w:sz="0" w:space="0" w:color="auto"/>
        <w:left w:val="none" w:sz="0" w:space="0" w:color="auto"/>
        <w:bottom w:val="none" w:sz="0" w:space="0" w:color="auto"/>
        <w:right w:val="none" w:sz="0" w:space="0" w:color="auto"/>
      </w:divBdr>
    </w:div>
    <w:div w:id="27609985">
      <w:bodyDiv w:val="1"/>
      <w:marLeft w:val="0"/>
      <w:marRight w:val="0"/>
      <w:marTop w:val="0"/>
      <w:marBottom w:val="0"/>
      <w:divBdr>
        <w:top w:val="none" w:sz="0" w:space="0" w:color="auto"/>
        <w:left w:val="none" w:sz="0" w:space="0" w:color="auto"/>
        <w:bottom w:val="none" w:sz="0" w:space="0" w:color="auto"/>
        <w:right w:val="none" w:sz="0" w:space="0" w:color="auto"/>
      </w:divBdr>
    </w:div>
    <w:div w:id="28143486">
      <w:bodyDiv w:val="1"/>
      <w:marLeft w:val="0"/>
      <w:marRight w:val="0"/>
      <w:marTop w:val="0"/>
      <w:marBottom w:val="0"/>
      <w:divBdr>
        <w:top w:val="none" w:sz="0" w:space="0" w:color="auto"/>
        <w:left w:val="none" w:sz="0" w:space="0" w:color="auto"/>
        <w:bottom w:val="none" w:sz="0" w:space="0" w:color="auto"/>
        <w:right w:val="none" w:sz="0" w:space="0" w:color="auto"/>
      </w:divBdr>
    </w:div>
    <w:div w:id="28341732">
      <w:bodyDiv w:val="1"/>
      <w:marLeft w:val="0"/>
      <w:marRight w:val="0"/>
      <w:marTop w:val="0"/>
      <w:marBottom w:val="0"/>
      <w:divBdr>
        <w:top w:val="none" w:sz="0" w:space="0" w:color="auto"/>
        <w:left w:val="none" w:sz="0" w:space="0" w:color="auto"/>
        <w:bottom w:val="none" w:sz="0" w:space="0" w:color="auto"/>
        <w:right w:val="none" w:sz="0" w:space="0" w:color="auto"/>
      </w:divBdr>
    </w:div>
    <w:div w:id="28919018">
      <w:bodyDiv w:val="1"/>
      <w:marLeft w:val="0"/>
      <w:marRight w:val="0"/>
      <w:marTop w:val="0"/>
      <w:marBottom w:val="0"/>
      <w:divBdr>
        <w:top w:val="none" w:sz="0" w:space="0" w:color="auto"/>
        <w:left w:val="none" w:sz="0" w:space="0" w:color="auto"/>
        <w:bottom w:val="none" w:sz="0" w:space="0" w:color="auto"/>
        <w:right w:val="none" w:sz="0" w:space="0" w:color="auto"/>
      </w:divBdr>
    </w:div>
    <w:div w:id="29652101">
      <w:bodyDiv w:val="1"/>
      <w:marLeft w:val="0"/>
      <w:marRight w:val="0"/>
      <w:marTop w:val="0"/>
      <w:marBottom w:val="0"/>
      <w:divBdr>
        <w:top w:val="none" w:sz="0" w:space="0" w:color="auto"/>
        <w:left w:val="none" w:sz="0" w:space="0" w:color="auto"/>
        <w:bottom w:val="none" w:sz="0" w:space="0" w:color="auto"/>
        <w:right w:val="none" w:sz="0" w:space="0" w:color="auto"/>
      </w:divBdr>
    </w:div>
    <w:div w:id="30107882">
      <w:bodyDiv w:val="1"/>
      <w:marLeft w:val="0"/>
      <w:marRight w:val="0"/>
      <w:marTop w:val="0"/>
      <w:marBottom w:val="0"/>
      <w:divBdr>
        <w:top w:val="none" w:sz="0" w:space="0" w:color="auto"/>
        <w:left w:val="none" w:sz="0" w:space="0" w:color="auto"/>
        <w:bottom w:val="none" w:sz="0" w:space="0" w:color="auto"/>
        <w:right w:val="none" w:sz="0" w:space="0" w:color="auto"/>
      </w:divBdr>
    </w:div>
    <w:div w:id="31930100">
      <w:bodyDiv w:val="1"/>
      <w:marLeft w:val="0"/>
      <w:marRight w:val="0"/>
      <w:marTop w:val="0"/>
      <w:marBottom w:val="0"/>
      <w:divBdr>
        <w:top w:val="none" w:sz="0" w:space="0" w:color="auto"/>
        <w:left w:val="none" w:sz="0" w:space="0" w:color="auto"/>
        <w:bottom w:val="none" w:sz="0" w:space="0" w:color="auto"/>
        <w:right w:val="none" w:sz="0" w:space="0" w:color="auto"/>
      </w:divBdr>
    </w:div>
    <w:div w:id="32655057">
      <w:bodyDiv w:val="1"/>
      <w:marLeft w:val="0"/>
      <w:marRight w:val="0"/>
      <w:marTop w:val="0"/>
      <w:marBottom w:val="0"/>
      <w:divBdr>
        <w:top w:val="none" w:sz="0" w:space="0" w:color="auto"/>
        <w:left w:val="none" w:sz="0" w:space="0" w:color="auto"/>
        <w:bottom w:val="none" w:sz="0" w:space="0" w:color="auto"/>
        <w:right w:val="none" w:sz="0" w:space="0" w:color="auto"/>
      </w:divBdr>
    </w:div>
    <w:div w:id="33503635">
      <w:bodyDiv w:val="1"/>
      <w:marLeft w:val="0"/>
      <w:marRight w:val="0"/>
      <w:marTop w:val="0"/>
      <w:marBottom w:val="0"/>
      <w:divBdr>
        <w:top w:val="none" w:sz="0" w:space="0" w:color="auto"/>
        <w:left w:val="none" w:sz="0" w:space="0" w:color="auto"/>
        <w:bottom w:val="none" w:sz="0" w:space="0" w:color="auto"/>
        <w:right w:val="none" w:sz="0" w:space="0" w:color="auto"/>
      </w:divBdr>
    </w:div>
    <w:div w:id="34277807">
      <w:bodyDiv w:val="1"/>
      <w:marLeft w:val="0"/>
      <w:marRight w:val="0"/>
      <w:marTop w:val="0"/>
      <w:marBottom w:val="0"/>
      <w:divBdr>
        <w:top w:val="none" w:sz="0" w:space="0" w:color="auto"/>
        <w:left w:val="none" w:sz="0" w:space="0" w:color="auto"/>
        <w:bottom w:val="none" w:sz="0" w:space="0" w:color="auto"/>
        <w:right w:val="none" w:sz="0" w:space="0" w:color="auto"/>
      </w:divBdr>
    </w:div>
    <w:div w:id="34432680">
      <w:bodyDiv w:val="1"/>
      <w:marLeft w:val="0"/>
      <w:marRight w:val="0"/>
      <w:marTop w:val="0"/>
      <w:marBottom w:val="0"/>
      <w:divBdr>
        <w:top w:val="none" w:sz="0" w:space="0" w:color="auto"/>
        <w:left w:val="none" w:sz="0" w:space="0" w:color="auto"/>
        <w:bottom w:val="none" w:sz="0" w:space="0" w:color="auto"/>
        <w:right w:val="none" w:sz="0" w:space="0" w:color="auto"/>
      </w:divBdr>
    </w:div>
    <w:div w:id="34548999">
      <w:bodyDiv w:val="1"/>
      <w:marLeft w:val="0"/>
      <w:marRight w:val="0"/>
      <w:marTop w:val="0"/>
      <w:marBottom w:val="0"/>
      <w:divBdr>
        <w:top w:val="none" w:sz="0" w:space="0" w:color="auto"/>
        <w:left w:val="none" w:sz="0" w:space="0" w:color="auto"/>
        <w:bottom w:val="none" w:sz="0" w:space="0" w:color="auto"/>
        <w:right w:val="none" w:sz="0" w:space="0" w:color="auto"/>
      </w:divBdr>
    </w:div>
    <w:div w:id="34887738">
      <w:bodyDiv w:val="1"/>
      <w:marLeft w:val="0"/>
      <w:marRight w:val="0"/>
      <w:marTop w:val="0"/>
      <w:marBottom w:val="0"/>
      <w:divBdr>
        <w:top w:val="none" w:sz="0" w:space="0" w:color="auto"/>
        <w:left w:val="none" w:sz="0" w:space="0" w:color="auto"/>
        <w:bottom w:val="none" w:sz="0" w:space="0" w:color="auto"/>
        <w:right w:val="none" w:sz="0" w:space="0" w:color="auto"/>
      </w:divBdr>
    </w:div>
    <w:div w:id="35591669">
      <w:bodyDiv w:val="1"/>
      <w:marLeft w:val="0"/>
      <w:marRight w:val="0"/>
      <w:marTop w:val="0"/>
      <w:marBottom w:val="0"/>
      <w:divBdr>
        <w:top w:val="none" w:sz="0" w:space="0" w:color="auto"/>
        <w:left w:val="none" w:sz="0" w:space="0" w:color="auto"/>
        <w:bottom w:val="none" w:sz="0" w:space="0" w:color="auto"/>
        <w:right w:val="none" w:sz="0" w:space="0" w:color="auto"/>
      </w:divBdr>
    </w:div>
    <w:div w:id="37290758">
      <w:bodyDiv w:val="1"/>
      <w:marLeft w:val="0"/>
      <w:marRight w:val="0"/>
      <w:marTop w:val="0"/>
      <w:marBottom w:val="0"/>
      <w:divBdr>
        <w:top w:val="none" w:sz="0" w:space="0" w:color="auto"/>
        <w:left w:val="none" w:sz="0" w:space="0" w:color="auto"/>
        <w:bottom w:val="none" w:sz="0" w:space="0" w:color="auto"/>
        <w:right w:val="none" w:sz="0" w:space="0" w:color="auto"/>
      </w:divBdr>
    </w:div>
    <w:div w:id="37316387">
      <w:bodyDiv w:val="1"/>
      <w:marLeft w:val="0"/>
      <w:marRight w:val="0"/>
      <w:marTop w:val="0"/>
      <w:marBottom w:val="0"/>
      <w:divBdr>
        <w:top w:val="none" w:sz="0" w:space="0" w:color="auto"/>
        <w:left w:val="none" w:sz="0" w:space="0" w:color="auto"/>
        <w:bottom w:val="none" w:sz="0" w:space="0" w:color="auto"/>
        <w:right w:val="none" w:sz="0" w:space="0" w:color="auto"/>
      </w:divBdr>
    </w:div>
    <w:div w:id="37364164">
      <w:bodyDiv w:val="1"/>
      <w:marLeft w:val="0"/>
      <w:marRight w:val="0"/>
      <w:marTop w:val="0"/>
      <w:marBottom w:val="0"/>
      <w:divBdr>
        <w:top w:val="none" w:sz="0" w:space="0" w:color="auto"/>
        <w:left w:val="none" w:sz="0" w:space="0" w:color="auto"/>
        <w:bottom w:val="none" w:sz="0" w:space="0" w:color="auto"/>
        <w:right w:val="none" w:sz="0" w:space="0" w:color="auto"/>
      </w:divBdr>
    </w:div>
    <w:div w:id="38017781">
      <w:bodyDiv w:val="1"/>
      <w:marLeft w:val="0"/>
      <w:marRight w:val="0"/>
      <w:marTop w:val="0"/>
      <w:marBottom w:val="0"/>
      <w:divBdr>
        <w:top w:val="none" w:sz="0" w:space="0" w:color="auto"/>
        <w:left w:val="none" w:sz="0" w:space="0" w:color="auto"/>
        <w:bottom w:val="none" w:sz="0" w:space="0" w:color="auto"/>
        <w:right w:val="none" w:sz="0" w:space="0" w:color="auto"/>
      </w:divBdr>
    </w:div>
    <w:div w:id="38172937">
      <w:bodyDiv w:val="1"/>
      <w:marLeft w:val="0"/>
      <w:marRight w:val="0"/>
      <w:marTop w:val="0"/>
      <w:marBottom w:val="0"/>
      <w:divBdr>
        <w:top w:val="none" w:sz="0" w:space="0" w:color="auto"/>
        <w:left w:val="none" w:sz="0" w:space="0" w:color="auto"/>
        <w:bottom w:val="none" w:sz="0" w:space="0" w:color="auto"/>
        <w:right w:val="none" w:sz="0" w:space="0" w:color="auto"/>
      </w:divBdr>
    </w:div>
    <w:div w:id="39012572">
      <w:bodyDiv w:val="1"/>
      <w:marLeft w:val="0"/>
      <w:marRight w:val="0"/>
      <w:marTop w:val="0"/>
      <w:marBottom w:val="0"/>
      <w:divBdr>
        <w:top w:val="none" w:sz="0" w:space="0" w:color="auto"/>
        <w:left w:val="none" w:sz="0" w:space="0" w:color="auto"/>
        <w:bottom w:val="none" w:sz="0" w:space="0" w:color="auto"/>
        <w:right w:val="none" w:sz="0" w:space="0" w:color="auto"/>
      </w:divBdr>
    </w:div>
    <w:div w:id="39212053">
      <w:bodyDiv w:val="1"/>
      <w:marLeft w:val="0"/>
      <w:marRight w:val="0"/>
      <w:marTop w:val="0"/>
      <w:marBottom w:val="0"/>
      <w:divBdr>
        <w:top w:val="none" w:sz="0" w:space="0" w:color="auto"/>
        <w:left w:val="none" w:sz="0" w:space="0" w:color="auto"/>
        <w:bottom w:val="none" w:sz="0" w:space="0" w:color="auto"/>
        <w:right w:val="none" w:sz="0" w:space="0" w:color="auto"/>
      </w:divBdr>
    </w:div>
    <w:div w:id="39525618">
      <w:bodyDiv w:val="1"/>
      <w:marLeft w:val="0"/>
      <w:marRight w:val="0"/>
      <w:marTop w:val="0"/>
      <w:marBottom w:val="0"/>
      <w:divBdr>
        <w:top w:val="none" w:sz="0" w:space="0" w:color="auto"/>
        <w:left w:val="none" w:sz="0" w:space="0" w:color="auto"/>
        <w:bottom w:val="none" w:sz="0" w:space="0" w:color="auto"/>
        <w:right w:val="none" w:sz="0" w:space="0" w:color="auto"/>
      </w:divBdr>
    </w:div>
    <w:div w:id="40446471">
      <w:bodyDiv w:val="1"/>
      <w:marLeft w:val="0"/>
      <w:marRight w:val="0"/>
      <w:marTop w:val="0"/>
      <w:marBottom w:val="0"/>
      <w:divBdr>
        <w:top w:val="none" w:sz="0" w:space="0" w:color="auto"/>
        <w:left w:val="none" w:sz="0" w:space="0" w:color="auto"/>
        <w:bottom w:val="none" w:sz="0" w:space="0" w:color="auto"/>
        <w:right w:val="none" w:sz="0" w:space="0" w:color="auto"/>
      </w:divBdr>
    </w:div>
    <w:div w:id="40525317">
      <w:bodyDiv w:val="1"/>
      <w:marLeft w:val="0"/>
      <w:marRight w:val="0"/>
      <w:marTop w:val="0"/>
      <w:marBottom w:val="0"/>
      <w:divBdr>
        <w:top w:val="none" w:sz="0" w:space="0" w:color="auto"/>
        <w:left w:val="none" w:sz="0" w:space="0" w:color="auto"/>
        <w:bottom w:val="none" w:sz="0" w:space="0" w:color="auto"/>
        <w:right w:val="none" w:sz="0" w:space="0" w:color="auto"/>
      </w:divBdr>
    </w:div>
    <w:div w:id="42677188">
      <w:bodyDiv w:val="1"/>
      <w:marLeft w:val="0"/>
      <w:marRight w:val="0"/>
      <w:marTop w:val="0"/>
      <w:marBottom w:val="0"/>
      <w:divBdr>
        <w:top w:val="none" w:sz="0" w:space="0" w:color="auto"/>
        <w:left w:val="none" w:sz="0" w:space="0" w:color="auto"/>
        <w:bottom w:val="none" w:sz="0" w:space="0" w:color="auto"/>
        <w:right w:val="none" w:sz="0" w:space="0" w:color="auto"/>
      </w:divBdr>
    </w:div>
    <w:div w:id="42682702">
      <w:bodyDiv w:val="1"/>
      <w:marLeft w:val="0"/>
      <w:marRight w:val="0"/>
      <w:marTop w:val="0"/>
      <w:marBottom w:val="0"/>
      <w:divBdr>
        <w:top w:val="none" w:sz="0" w:space="0" w:color="auto"/>
        <w:left w:val="none" w:sz="0" w:space="0" w:color="auto"/>
        <w:bottom w:val="none" w:sz="0" w:space="0" w:color="auto"/>
        <w:right w:val="none" w:sz="0" w:space="0" w:color="auto"/>
      </w:divBdr>
    </w:div>
    <w:div w:id="42752120">
      <w:bodyDiv w:val="1"/>
      <w:marLeft w:val="0"/>
      <w:marRight w:val="0"/>
      <w:marTop w:val="0"/>
      <w:marBottom w:val="0"/>
      <w:divBdr>
        <w:top w:val="none" w:sz="0" w:space="0" w:color="auto"/>
        <w:left w:val="none" w:sz="0" w:space="0" w:color="auto"/>
        <w:bottom w:val="none" w:sz="0" w:space="0" w:color="auto"/>
        <w:right w:val="none" w:sz="0" w:space="0" w:color="auto"/>
      </w:divBdr>
    </w:div>
    <w:div w:id="42947967">
      <w:bodyDiv w:val="1"/>
      <w:marLeft w:val="0"/>
      <w:marRight w:val="0"/>
      <w:marTop w:val="0"/>
      <w:marBottom w:val="0"/>
      <w:divBdr>
        <w:top w:val="none" w:sz="0" w:space="0" w:color="auto"/>
        <w:left w:val="none" w:sz="0" w:space="0" w:color="auto"/>
        <w:bottom w:val="none" w:sz="0" w:space="0" w:color="auto"/>
        <w:right w:val="none" w:sz="0" w:space="0" w:color="auto"/>
      </w:divBdr>
    </w:div>
    <w:div w:id="43986107">
      <w:bodyDiv w:val="1"/>
      <w:marLeft w:val="0"/>
      <w:marRight w:val="0"/>
      <w:marTop w:val="0"/>
      <w:marBottom w:val="0"/>
      <w:divBdr>
        <w:top w:val="none" w:sz="0" w:space="0" w:color="auto"/>
        <w:left w:val="none" w:sz="0" w:space="0" w:color="auto"/>
        <w:bottom w:val="none" w:sz="0" w:space="0" w:color="auto"/>
        <w:right w:val="none" w:sz="0" w:space="0" w:color="auto"/>
      </w:divBdr>
    </w:div>
    <w:div w:id="44835342">
      <w:bodyDiv w:val="1"/>
      <w:marLeft w:val="0"/>
      <w:marRight w:val="0"/>
      <w:marTop w:val="0"/>
      <w:marBottom w:val="0"/>
      <w:divBdr>
        <w:top w:val="none" w:sz="0" w:space="0" w:color="auto"/>
        <w:left w:val="none" w:sz="0" w:space="0" w:color="auto"/>
        <w:bottom w:val="none" w:sz="0" w:space="0" w:color="auto"/>
        <w:right w:val="none" w:sz="0" w:space="0" w:color="auto"/>
      </w:divBdr>
    </w:div>
    <w:div w:id="44958780">
      <w:bodyDiv w:val="1"/>
      <w:marLeft w:val="0"/>
      <w:marRight w:val="0"/>
      <w:marTop w:val="0"/>
      <w:marBottom w:val="0"/>
      <w:divBdr>
        <w:top w:val="none" w:sz="0" w:space="0" w:color="auto"/>
        <w:left w:val="none" w:sz="0" w:space="0" w:color="auto"/>
        <w:bottom w:val="none" w:sz="0" w:space="0" w:color="auto"/>
        <w:right w:val="none" w:sz="0" w:space="0" w:color="auto"/>
      </w:divBdr>
    </w:div>
    <w:div w:id="45181634">
      <w:bodyDiv w:val="1"/>
      <w:marLeft w:val="0"/>
      <w:marRight w:val="0"/>
      <w:marTop w:val="0"/>
      <w:marBottom w:val="0"/>
      <w:divBdr>
        <w:top w:val="none" w:sz="0" w:space="0" w:color="auto"/>
        <w:left w:val="none" w:sz="0" w:space="0" w:color="auto"/>
        <w:bottom w:val="none" w:sz="0" w:space="0" w:color="auto"/>
        <w:right w:val="none" w:sz="0" w:space="0" w:color="auto"/>
      </w:divBdr>
    </w:div>
    <w:div w:id="45226591">
      <w:bodyDiv w:val="1"/>
      <w:marLeft w:val="0"/>
      <w:marRight w:val="0"/>
      <w:marTop w:val="0"/>
      <w:marBottom w:val="0"/>
      <w:divBdr>
        <w:top w:val="none" w:sz="0" w:space="0" w:color="auto"/>
        <w:left w:val="none" w:sz="0" w:space="0" w:color="auto"/>
        <w:bottom w:val="none" w:sz="0" w:space="0" w:color="auto"/>
        <w:right w:val="none" w:sz="0" w:space="0" w:color="auto"/>
      </w:divBdr>
    </w:div>
    <w:div w:id="45567476">
      <w:bodyDiv w:val="1"/>
      <w:marLeft w:val="0"/>
      <w:marRight w:val="0"/>
      <w:marTop w:val="0"/>
      <w:marBottom w:val="0"/>
      <w:divBdr>
        <w:top w:val="none" w:sz="0" w:space="0" w:color="auto"/>
        <w:left w:val="none" w:sz="0" w:space="0" w:color="auto"/>
        <w:bottom w:val="none" w:sz="0" w:space="0" w:color="auto"/>
        <w:right w:val="none" w:sz="0" w:space="0" w:color="auto"/>
      </w:divBdr>
    </w:div>
    <w:div w:id="45568108">
      <w:bodyDiv w:val="1"/>
      <w:marLeft w:val="0"/>
      <w:marRight w:val="0"/>
      <w:marTop w:val="0"/>
      <w:marBottom w:val="0"/>
      <w:divBdr>
        <w:top w:val="none" w:sz="0" w:space="0" w:color="auto"/>
        <w:left w:val="none" w:sz="0" w:space="0" w:color="auto"/>
        <w:bottom w:val="none" w:sz="0" w:space="0" w:color="auto"/>
        <w:right w:val="none" w:sz="0" w:space="0" w:color="auto"/>
      </w:divBdr>
    </w:div>
    <w:div w:id="45833173">
      <w:bodyDiv w:val="1"/>
      <w:marLeft w:val="0"/>
      <w:marRight w:val="0"/>
      <w:marTop w:val="0"/>
      <w:marBottom w:val="0"/>
      <w:divBdr>
        <w:top w:val="none" w:sz="0" w:space="0" w:color="auto"/>
        <w:left w:val="none" w:sz="0" w:space="0" w:color="auto"/>
        <w:bottom w:val="none" w:sz="0" w:space="0" w:color="auto"/>
        <w:right w:val="none" w:sz="0" w:space="0" w:color="auto"/>
      </w:divBdr>
    </w:div>
    <w:div w:id="46691030">
      <w:bodyDiv w:val="1"/>
      <w:marLeft w:val="0"/>
      <w:marRight w:val="0"/>
      <w:marTop w:val="0"/>
      <w:marBottom w:val="0"/>
      <w:divBdr>
        <w:top w:val="none" w:sz="0" w:space="0" w:color="auto"/>
        <w:left w:val="none" w:sz="0" w:space="0" w:color="auto"/>
        <w:bottom w:val="none" w:sz="0" w:space="0" w:color="auto"/>
        <w:right w:val="none" w:sz="0" w:space="0" w:color="auto"/>
      </w:divBdr>
    </w:div>
    <w:div w:id="46729541">
      <w:bodyDiv w:val="1"/>
      <w:marLeft w:val="0"/>
      <w:marRight w:val="0"/>
      <w:marTop w:val="0"/>
      <w:marBottom w:val="0"/>
      <w:divBdr>
        <w:top w:val="none" w:sz="0" w:space="0" w:color="auto"/>
        <w:left w:val="none" w:sz="0" w:space="0" w:color="auto"/>
        <w:bottom w:val="none" w:sz="0" w:space="0" w:color="auto"/>
        <w:right w:val="none" w:sz="0" w:space="0" w:color="auto"/>
      </w:divBdr>
    </w:div>
    <w:div w:id="47070327">
      <w:bodyDiv w:val="1"/>
      <w:marLeft w:val="0"/>
      <w:marRight w:val="0"/>
      <w:marTop w:val="0"/>
      <w:marBottom w:val="0"/>
      <w:divBdr>
        <w:top w:val="none" w:sz="0" w:space="0" w:color="auto"/>
        <w:left w:val="none" w:sz="0" w:space="0" w:color="auto"/>
        <w:bottom w:val="none" w:sz="0" w:space="0" w:color="auto"/>
        <w:right w:val="none" w:sz="0" w:space="0" w:color="auto"/>
      </w:divBdr>
    </w:div>
    <w:div w:id="47456945">
      <w:bodyDiv w:val="1"/>
      <w:marLeft w:val="0"/>
      <w:marRight w:val="0"/>
      <w:marTop w:val="0"/>
      <w:marBottom w:val="0"/>
      <w:divBdr>
        <w:top w:val="none" w:sz="0" w:space="0" w:color="auto"/>
        <w:left w:val="none" w:sz="0" w:space="0" w:color="auto"/>
        <w:bottom w:val="none" w:sz="0" w:space="0" w:color="auto"/>
        <w:right w:val="none" w:sz="0" w:space="0" w:color="auto"/>
      </w:divBdr>
    </w:div>
    <w:div w:id="49767879">
      <w:bodyDiv w:val="1"/>
      <w:marLeft w:val="0"/>
      <w:marRight w:val="0"/>
      <w:marTop w:val="0"/>
      <w:marBottom w:val="0"/>
      <w:divBdr>
        <w:top w:val="none" w:sz="0" w:space="0" w:color="auto"/>
        <w:left w:val="none" w:sz="0" w:space="0" w:color="auto"/>
        <w:bottom w:val="none" w:sz="0" w:space="0" w:color="auto"/>
        <w:right w:val="none" w:sz="0" w:space="0" w:color="auto"/>
      </w:divBdr>
    </w:div>
    <w:div w:id="50203029">
      <w:bodyDiv w:val="1"/>
      <w:marLeft w:val="0"/>
      <w:marRight w:val="0"/>
      <w:marTop w:val="0"/>
      <w:marBottom w:val="0"/>
      <w:divBdr>
        <w:top w:val="none" w:sz="0" w:space="0" w:color="auto"/>
        <w:left w:val="none" w:sz="0" w:space="0" w:color="auto"/>
        <w:bottom w:val="none" w:sz="0" w:space="0" w:color="auto"/>
        <w:right w:val="none" w:sz="0" w:space="0" w:color="auto"/>
      </w:divBdr>
    </w:div>
    <w:div w:id="50662978">
      <w:bodyDiv w:val="1"/>
      <w:marLeft w:val="0"/>
      <w:marRight w:val="0"/>
      <w:marTop w:val="0"/>
      <w:marBottom w:val="0"/>
      <w:divBdr>
        <w:top w:val="none" w:sz="0" w:space="0" w:color="auto"/>
        <w:left w:val="none" w:sz="0" w:space="0" w:color="auto"/>
        <w:bottom w:val="none" w:sz="0" w:space="0" w:color="auto"/>
        <w:right w:val="none" w:sz="0" w:space="0" w:color="auto"/>
      </w:divBdr>
    </w:div>
    <w:div w:id="52628724">
      <w:bodyDiv w:val="1"/>
      <w:marLeft w:val="0"/>
      <w:marRight w:val="0"/>
      <w:marTop w:val="0"/>
      <w:marBottom w:val="0"/>
      <w:divBdr>
        <w:top w:val="none" w:sz="0" w:space="0" w:color="auto"/>
        <w:left w:val="none" w:sz="0" w:space="0" w:color="auto"/>
        <w:bottom w:val="none" w:sz="0" w:space="0" w:color="auto"/>
        <w:right w:val="none" w:sz="0" w:space="0" w:color="auto"/>
      </w:divBdr>
    </w:div>
    <w:div w:id="53237200">
      <w:bodyDiv w:val="1"/>
      <w:marLeft w:val="0"/>
      <w:marRight w:val="0"/>
      <w:marTop w:val="0"/>
      <w:marBottom w:val="0"/>
      <w:divBdr>
        <w:top w:val="none" w:sz="0" w:space="0" w:color="auto"/>
        <w:left w:val="none" w:sz="0" w:space="0" w:color="auto"/>
        <w:bottom w:val="none" w:sz="0" w:space="0" w:color="auto"/>
        <w:right w:val="none" w:sz="0" w:space="0" w:color="auto"/>
      </w:divBdr>
    </w:div>
    <w:div w:id="54089861">
      <w:bodyDiv w:val="1"/>
      <w:marLeft w:val="0"/>
      <w:marRight w:val="0"/>
      <w:marTop w:val="0"/>
      <w:marBottom w:val="0"/>
      <w:divBdr>
        <w:top w:val="none" w:sz="0" w:space="0" w:color="auto"/>
        <w:left w:val="none" w:sz="0" w:space="0" w:color="auto"/>
        <w:bottom w:val="none" w:sz="0" w:space="0" w:color="auto"/>
        <w:right w:val="none" w:sz="0" w:space="0" w:color="auto"/>
      </w:divBdr>
    </w:div>
    <w:div w:id="54739160">
      <w:bodyDiv w:val="1"/>
      <w:marLeft w:val="0"/>
      <w:marRight w:val="0"/>
      <w:marTop w:val="0"/>
      <w:marBottom w:val="0"/>
      <w:divBdr>
        <w:top w:val="none" w:sz="0" w:space="0" w:color="auto"/>
        <w:left w:val="none" w:sz="0" w:space="0" w:color="auto"/>
        <w:bottom w:val="none" w:sz="0" w:space="0" w:color="auto"/>
        <w:right w:val="none" w:sz="0" w:space="0" w:color="auto"/>
      </w:divBdr>
    </w:div>
    <w:div w:id="55058973">
      <w:bodyDiv w:val="1"/>
      <w:marLeft w:val="0"/>
      <w:marRight w:val="0"/>
      <w:marTop w:val="0"/>
      <w:marBottom w:val="0"/>
      <w:divBdr>
        <w:top w:val="none" w:sz="0" w:space="0" w:color="auto"/>
        <w:left w:val="none" w:sz="0" w:space="0" w:color="auto"/>
        <w:bottom w:val="none" w:sz="0" w:space="0" w:color="auto"/>
        <w:right w:val="none" w:sz="0" w:space="0" w:color="auto"/>
      </w:divBdr>
    </w:div>
    <w:div w:id="55518069">
      <w:bodyDiv w:val="1"/>
      <w:marLeft w:val="0"/>
      <w:marRight w:val="0"/>
      <w:marTop w:val="0"/>
      <w:marBottom w:val="0"/>
      <w:divBdr>
        <w:top w:val="none" w:sz="0" w:space="0" w:color="auto"/>
        <w:left w:val="none" w:sz="0" w:space="0" w:color="auto"/>
        <w:bottom w:val="none" w:sz="0" w:space="0" w:color="auto"/>
        <w:right w:val="none" w:sz="0" w:space="0" w:color="auto"/>
      </w:divBdr>
    </w:div>
    <w:div w:id="55905045">
      <w:bodyDiv w:val="1"/>
      <w:marLeft w:val="0"/>
      <w:marRight w:val="0"/>
      <w:marTop w:val="0"/>
      <w:marBottom w:val="0"/>
      <w:divBdr>
        <w:top w:val="none" w:sz="0" w:space="0" w:color="auto"/>
        <w:left w:val="none" w:sz="0" w:space="0" w:color="auto"/>
        <w:bottom w:val="none" w:sz="0" w:space="0" w:color="auto"/>
        <w:right w:val="none" w:sz="0" w:space="0" w:color="auto"/>
      </w:divBdr>
    </w:div>
    <w:div w:id="56130545">
      <w:bodyDiv w:val="1"/>
      <w:marLeft w:val="0"/>
      <w:marRight w:val="0"/>
      <w:marTop w:val="0"/>
      <w:marBottom w:val="0"/>
      <w:divBdr>
        <w:top w:val="none" w:sz="0" w:space="0" w:color="auto"/>
        <w:left w:val="none" w:sz="0" w:space="0" w:color="auto"/>
        <w:bottom w:val="none" w:sz="0" w:space="0" w:color="auto"/>
        <w:right w:val="none" w:sz="0" w:space="0" w:color="auto"/>
      </w:divBdr>
    </w:div>
    <w:div w:id="56320692">
      <w:bodyDiv w:val="1"/>
      <w:marLeft w:val="0"/>
      <w:marRight w:val="0"/>
      <w:marTop w:val="0"/>
      <w:marBottom w:val="0"/>
      <w:divBdr>
        <w:top w:val="none" w:sz="0" w:space="0" w:color="auto"/>
        <w:left w:val="none" w:sz="0" w:space="0" w:color="auto"/>
        <w:bottom w:val="none" w:sz="0" w:space="0" w:color="auto"/>
        <w:right w:val="none" w:sz="0" w:space="0" w:color="auto"/>
      </w:divBdr>
    </w:div>
    <w:div w:id="57098000">
      <w:bodyDiv w:val="1"/>
      <w:marLeft w:val="0"/>
      <w:marRight w:val="0"/>
      <w:marTop w:val="0"/>
      <w:marBottom w:val="0"/>
      <w:divBdr>
        <w:top w:val="none" w:sz="0" w:space="0" w:color="auto"/>
        <w:left w:val="none" w:sz="0" w:space="0" w:color="auto"/>
        <w:bottom w:val="none" w:sz="0" w:space="0" w:color="auto"/>
        <w:right w:val="none" w:sz="0" w:space="0" w:color="auto"/>
      </w:divBdr>
    </w:div>
    <w:div w:id="57170653">
      <w:bodyDiv w:val="1"/>
      <w:marLeft w:val="0"/>
      <w:marRight w:val="0"/>
      <w:marTop w:val="0"/>
      <w:marBottom w:val="0"/>
      <w:divBdr>
        <w:top w:val="none" w:sz="0" w:space="0" w:color="auto"/>
        <w:left w:val="none" w:sz="0" w:space="0" w:color="auto"/>
        <w:bottom w:val="none" w:sz="0" w:space="0" w:color="auto"/>
        <w:right w:val="none" w:sz="0" w:space="0" w:color="auto"/>
      </w:divBdr>
    </w:div>
    <w:div w:id="57486869">
      <w:bodyDiv w:val="1"/>
      <w:marLeft w:val="0"/>
      <w:marRight w:val="0"/>
      <w:marTop w:val="0"/>
      <w:marBottom w:val="0"/>
      <w:divBdr>
        <w:top w:val="none" w:sz="0" w:space="0" w:color="auto"/>
        <w:left w:val="none" w:sz="0" w:space="0" w:color="auto"/>
        <w:bottom w:val="none" w:sz="0" w:space="0" w:color="auto"/>
        <w:right w:val="none" w:sz="0" w:space="0" w:color="auto"/>
      </w:divBdr>
    </w:div>
    <w:div w:id="58406299">
      <w:bodyDiv w:val="1"/>
      <w:marLeft w:val="0"/>
      <w:marRight w:val="0"/>
      <w:marTop w:val="0"/>
      <w:marBottom w:val="0"/>
      <w:divBdr>
        <w:top w:val="none" w:sz="0" w:space="0" w:color="auto"/>
        <w:left w:val="none" w:sz="0" w:space="0" w:color="auto"/>
        <w:bottom w:val="none" w:sz="0" w:space="0" w:color="auto"/>
        <w:right w:val="none" w:sz="0" w:space="0" w:color="auto"/>
      </w:divBdr>
    </w:div>
    <w:div w:id="60179866">
      <w:bodyDiv w:val="1"/>
      <w:marLeft w:val="0"/>
      <w:marRight w:val="0"/>
      <w:marTop w:val="0"/>
      <w:marBottom w:val="0"/>
      <w:divBdr>
        <w:top w:val="none" w:sz="0" w:space="0" w:color="auto"/>
        <w:left w:val="none" w:sz="0" w:space="0" w:color="auto"/>
        <w:bottom w:val="none" w:sz="0" w:space="0" w:color="auto"/>
        <w:right w:val="none" w:sz="0" w:space="0" w:color="auto"/>
      </w:divBdr>
    </w:div>
    <w:div w:id="60643086">
      <w:bodyDiv w:val="1"/>
      <w:marLeft w:val="0"/>
      <w:marRight w:val="0"/>
      <w:marTop w:val="0"/>
      <w:marBottom w:val="0"/>
      <w:divBdr>
        <w:top w:val="none" w:sz="0" w:space="0" w:color="auto"/>
        <w:left w:val="none" w:sz="0" w:space="0" w:color="auto"/>
        <w:bottom w:val="none" w:sz="0" w:space="0" w:color="auto"/>
        <w:right w:val="none" w:sz="0" w:space="0" w:color="auto"/>
      </w:divBdr>
    </w:div>
    <w:div w:id="60711518">
      <w:bodyDiv w:val="1"/>
      <w:marLeft w:val="0"/>
      <w:marRight w:val="0"/>
      <w:marTop w:val="0"/>
      <w:marBottom w:val="0"/>
      <w:divBdr>
        <w:top w:val="none" w:sz="0" w:space="0" w:color="auto"/>
        <w:left w:val="none" w:sz="0" w:space="0" w:color="auto"/>
        <w:bottom w:val="none" w:sz="0" w:space="0" w:color="auto"/>
        <w:right w:val="none" w:sz="0" w:space="0" w:color="auto"/>
      </w:divBdr>
    </w:div>
    <w:div w:id="60951231">
      <w:bodyDiv w:val="1"/>
      <w:marLeft w:val="0"/>
      <w:marRight w:val="0"/>
      <w:marTop w:val="0"/>
      <w:marBottom w:val="0"/>
      <w:divBdr>
        <w:top w:val="none" w:sz="0" w:space="0" w:color="auto"/>
        <w:left w:val="none" w:sz="0" w:space="0" w:color="auto"/>
        <w:bottom w:val="none" w:sz="0" w:space="0" w:color="auto"/>
        <w:right w:val="none" w:sz="0" w:space="0" w:color="auto"/>
      </w:divBdr>
    </w:div>
    <w:div w:id="62457629">
      <w:bodyDiv w:val="1"/>
      <w:marLeft w:val="0"/>
      <w:marRight w:val="0"/>
      <w:marTop w:val="0"/>
      <w:marBottom w:val="0"/>
      <w:divBdr>
        <w:top w:val="none" w:sz="0" w:space="0" w:color="auto"/>
        <w:left w:val="none" w:sz="0" w:space="0" w:color="auto"/>
        <w:bottom w:val="none" w:sz="0" w:space="0" w:color="auto"/>
        <w:right w:val="none" w:sz="0" w:space="0" w:color="auto"/>
      </w:divBdr>
    </w:div>
    <w:div w:id="62729208">
      <w:bodyDiv w:val="1"/>
      <w:marLeft w:val="0"/>
      <w:marRight w:val="0"/>
      <w:marTop w:val="0"/>
      <w:marBottom w:val="0"/>
      <w:divBdr>
        <w:top w:val="none" w:sz="0" w:space="0" w:color="auto"/>
        <w:left w:val="none" w:sz="0" w:space="0" w:color="auto"/>
        <w:bottom w:val="none" w:sz="0" w:space="0" w:color="auto"/>
        <w:right w:val="none" w:sz="0" w:space="0" w:color="auto"/>
      </w:divBdr>
    </w:div>
    <w:div w:id="62945954">
      <w:bodyDiv w:val="1"/>
      <w:marLeft w:val="0"/>
      <w:marRight w:val="0"/>
      <w:marTop w:val="0"/>
      <w:marBottom w:val="0"/>
      <w:divBdr>
        <w:top w:val="none" w:sz="0" w:space="0" w:color="auto"/>
        <w:left w:val="none" w:sz="0" w:space="0" w:color="auto"/>
        <w:bottom w:val="none" w:sz="0" w:space="0" w:color="auto"/>
        <w:right w:val="none" w:sz="0" w:space="0" w:color="auto"/>
      </w:divBdr>
    </w:div>
    <w:div w:id="63140924">
      <w:bodyDiv w:val="1"/>
      <w:marLeft w:val="0"/>
      <w:marRight w:val="0"/>
      <w:marTop w:val="0"/>
      <w:marBottom w:val="0"/>
      <w:divBdr>
        <w:top w:val="none" w:sz="0" w:space="0" w:color="auto"/>
        <w:left w:val="none" w:sz="0" w:space="0" w:color="auto"/>
        <w:bottom w:val="none" w:sz="0" w:space="0" w:color="auto"/>
        <w:right w:val="none" w:sz="0" w:space="0" w:color="auto"/>
      </w:divBdr>
    </w:div>
    <w:div w:id="64880856">
      <w:bodyDiv w:val="1"/>
      <w:marLeft w:val="0"/>
      <w:marRight w:val="0"/>
      <w:marTop w:val="0"/>
      <w:marBottom w:val="0"/>
      <w:divBdr>
        <w:top w:val="none" w:sz="0" w:space="0" w:color="auto"/>
        <w:left w:val="none" w:sz="0" w:space="0" w:color="auto"/>
        <w:bottom w:val="none" w:sz="0" w:space="0" w:color="auto"/>
        <w:right w:val="none" w:sz="0" w:space="0" w:color="auto"/>
      </w:divBdr>
    </w:div>
    <w:div w:id="65419209">
      <w:bodyDiv w:val="1"/>
      <w:marLeft w:val="0"/>
      <w:marRight w:val="0"/>
      <w:marTop w:val="0"/>
      <w:marBottom w:val="0"/>
      <w:divBdr>
        <w:top w:val="none" w:sz="0" w:space="0" w:color="auto"/>
        <w:left w:val="none" w:sz="0" w:space="0" w:color="auto"/>
        <w:bottom w:val="none" w:sz="0" w:space="0" w:color="auto"/>
        <w:right w:val="none" w:sz="0" w:space="0" w:color="auto"/>
      </w:divBdr>
    </w:div>
    <w:div w:id="65491463">
      <w:bodyDiv w:val="1"/>
      <w:marLeft w:val="0"/>
      <w:marRight w:val="0"/>
      <w:marTop w:val="0"/>
      <w:marBottom w:val="0"/>
      <w:divBdr>
        <w:top w:val="none" w:sz="0" w:space="0" w:color="auto"/>
        <w:left w:val="none" w:sz="0" w:space="0" w:color="auto"/>
        <w:bottom w:val="none" w:sz="0" w:space="0" w:color="auto"/>
        <w:right w:val="none" w:sz="0" w:space="0" w:color="auto"/>
      </w:divBdr>
    </w:div>
    <w:div w:id="65884020">
      <w:bodyDiv w:val="1"/>
      <w:marLeft w:val="0"/>
      <w:marRight w:val="0"/>
      <w:marTop w:val="0"/>
      <w:marBottom w:val="0"/>
      <w:divBdr>
        <w:top w:val="none" w:sz="0" w:space="0" w:color="auto"/>
        <w:left w:val="none" w:sz="0" w:space="0" w:color="auto"/>
        <w:bottom w:val="none" w:sz="0" w:space="0" w:color="auto"/>
        <w:right w:val="none" w:sz="0" w:space="0" w:color="auto"/>
      </w:divBdr>
    </w:div>
    <w:div w:id="66078579">
      <w:bodyDiv w:val="1"/>
      <w:marLeft w:val="0"/>
      <w:marRight w:val="0"/>
      <w:marTop w:val="0"/>
      <w:marBottom w:val="0"/>
      <w:divBdr>
        <w:top w:val="none" w:sz="0" w:space="0" w:color="auto"/>
        <w:left w:val="none" w:sz="0" w:space="0" w:color="auto"/>
        <w:bottom w:val="none" w:sz="0" w:space="0" w:color="auto"/>
        <w:right w:val="none" w:sz="0" w:space="0" w:color="auto"/>
      </w:divBdr>
    </w:div>
    <w:div w:id="67043623">
      <w:bodyDiv w:val="1"/>
      <w:marLeft w:val="0"/>
      <w:marRight w:val="0"/>
      <w:marTop w:val="0"/>
      <w:marBottom w:val="0"/>
      <w:divBdr>
        <w:top w:val="none" w:sz="0" w:space="0" w:color="auto"/>
        <w:left w:val="none" w:sz="0" w:space="0" w:color="auto"/>
        <w:bottom w:val="none" w:sz="0" w:space="0" w:color="auto"/>
        <w:right w:val="none" w:sz="0" w:space="0" w:color="auto"/>
      </w:divBdr>
    </w:div>
    <w:div w:id="68617483">
      <w:bodyDiv w:val="1"/>
      <w:marLeft w:val="0"/>
      <w:marRight w:val="0"/>
      <w:marTop w:val="0"/>
      <w:marBottom w:val="0"/>
      <w:divBdr>
        <w:top w:val="none" w:sz="0" w:space="0" w:color="auto"/>
        <w:left w:val="none" w:sz="0" w:space="0" w:color="auto"/>
        <w:bottom w:val="none" w:sz="0" w:space="0" w:color="auto"/>
        <w:right w:val="none" w:sz="0" w:space="0" w:color="auto"/>
      </w:divBdr>
    </w:div>
    <w:div w:id="68622923">
      <w:bodyDiv w:val="1"/>
      <w:marLeft w:val="0"/>
      <w:marRight w:val="0"/>
      <w:marTop w:val="0"/>
      <w:marBottom w:val="0"/>
      <w:divBdr>
        <w:top w:val="none" w:sz="0" w:space="0" w:color="auto"/>
        <w:left w:val="none" w:sz="0" w:space="0" w:color="auto"/>
        <w:bottom w:val="none" w:sz="0" w:space="0" w:color="auto"/>
        <w:right w:val="none" w:sz="0" w:space="0" w:color="auto"/>
      </w:divBdr>
    </w:div>
    <w:div w:id="68969695">
      <w:bodyDiv w:val="1"/>
      <w:marLeft w:val="0"/>
      <w:marRight w:val="0"/>
      <w:marTop w:val="0"/>
      <w:marBottom w:val="0"/>
      <w:divBdr>
        <w:top w:val="none" w:sz="0" w:space="0" w:color="auto"/>
        <w:left w:val="none" w:sz="0" w:space="0" w:color="auto"/>
        <w:bottom w:val="none" w:sz="0" w:space="0" w:color="auto"/>
        <w:right w:val="none" w:sz="0" w:space="0" w:color="auto"/>
      </w:divBdr>
    </w:div>
    <w:div w:id="69162114">
      <w:bodyDiv w:val="1"/>
      <w:marLeft w:val="0"/>
      <w:marRight w:val="0"/>
      <w:marTop w:val="0"/>
      <w:marBottom w:val="0"/>
      <w:divBdr>
        <w:top w:val="none" w:sz="0" w:space="0" w:color="auto"/>
        <w:left w:val="none" w:sz="0" w:space="0" w:color="auto"/>
        <w:bottom w:val="none" w:sz="0" w:space="0" w:color="auto"/>
        <w:right w:val="none" w:sz="0" w:space="0" w:color="auto"/>
      </w:divBdr>
    </w:div>
    <w:div w:id="69275192">
      <w:bodyDiv w:val="1"/>
      <w:marLeft w:val="0"/>
      <w:marRight w:val="0"/>
      <w:marTop w:val="0"/>
      <w:marBottom w:val="0"/>
      <w:divBdr>
        <w:top w:val="none" w:sz="0" w:space="0" w:color="auto"/>
        <w:left w:val="none" w:sz="0" w:space="0" w:color="auto"/>
        <w:bottom w:val="none" w:sz="0" w:space="0" w:color="auto"/>
        <w:right w:val="none" w:sz="0" w:space="0" w:color="auto"/>
      </w:divBdr>
    </w:div>
    <w:div w:id="69426201">
      <w:bodyDiv w:val="1"/>
      <w:marLeft w:val="0"/>
      <w:marRight w:val="0"/>
      <w:marTop w:val="0"/>
      <w:marBottom w:val="0"/>
      <w:divBdr>
        <w:top w:val="none" w:sz="0" w:space="0" w:color="auto"/>
        <w:left w:val="none" w:sz="0" w:space="0" w:color="auto"/>
        <w:bottom w:val="none" w:sz="0" w:space="0" w:color="auto"/>
        <w:right w:val="none" w:sz="0" w:space="0" w:color="auto"/>
      </w:divBdr>
    </w:div>
    <w:div w:id="71851068">
      <w:bodyDiv w:val="1"/>
      <w:marLeft w:val="0"/>
      <w:marRight w:val="0"/>
      <w:marTop w:val="0"/>
      <w:marBottom w:val="0"/>
      <w:divBdr>
        <w:top w:val="none" w:sz="0" w:space="0" w:color="auto"/>
        <w:left w:val="none" w:sz="0" w:space="0" w:color="auto"/>
        <w:bottom w:val="none" w:sz="0" w:space="0" w:color="auto"/>
        <w:right w:val="none" w:sz="0" w:space="0" w:color="auto"/>
      </w:divBdr>
    </w:div>
    <w:div w:id="72704723">
      <w:bodyDiv w:val="1"/>
      <w:marLeft w:val="0"/>
      <w:marRight w:val="0"/>
      <w:marTop w:val="0"/>
      <w:marBottom w:val="0"/>
      <w:divBdr>
        <w:top w:val="none" w:sz="0" w:space="0" w:color="auto"/>
        <w:left w:val="none" w:sz="0" w:space="0" w:color="auto"/>
        <w:bottom w:val="none" w:sz="0" w:space="0" w:color="auto"/>
        <w:right w:val="none" w:sz="0" w:space="0" w:color="auto"/>
      </w:divBdr>
    </w:div>
    <w:div w:id="73623428">
      <w:bodyDiv w:val="1"/>
      <w:marLeft w:val="0"/>
      <w:marRight w:val="0"/>
      <w:marTop w:val="0"/>
      <w:marBottom w:val="0"/>
      <w:divBdr>
        <w:top w:val="none" w:sz="0" w:space="0" w:color="auto"/>
        <w:left w:val="none" w:sz="0" w:space="0" w:color="auto"/>
        <w:bottom w:val="none" w:sz="0" w:space="0" w:color="auto"/>
        <w:right w:val="none" w:sz="0" w:space="0" w:color="auto"/>
      </w:divBdr>
    </w:div>
    <w:div w:id="74325771">
      <w:bodyDiv w:val="1"/>
      <w:marLeft w:val="0"/>
      <w:marRight w:val="0"/>
      <w:marTop w:val="0"/>
      <w:marBottom w:val="0"/>
      <w:divBdr>
        <w:top w:val="none" w:sz="0" w:space="0" w:color="auto"/>
        <w:left w:val="none" w:sz="0" w:space="0" w:color="auto"/>
        <w:bottom w:val="none" w:sz="0" w:space="0" w:color="auto"/>
        <w:right w:val="none" w:sz="0" w:space="0" w:color="auto"/>
      </w:divBdr>
    </w:div>
    <w:div w:id="75708733">
      <w:bodyDiv w:val="1"/>
      <w:marLeft w:val="0"/>
      <w:marRight w:val="0"/>
      <w:marTop w:val="0"/>
      <w:marBottom w:val="0"/>
      <w:divBdr>
        <w:top w:val="none" w:sz="0" w:space="0" w:color="auto"/>
        <w:left w:val="none" w:sz="0" w:space="0" w:color="auto"/>
        <w:bottom w:val="none" w:sz="0" w:space="0" w:color="auto"/>
        <w:right w:val="none" w:sz="0" w:space="0" w:color="auto"/>
      </w:divBdr>
    </w:div>
    <w:div w:id="75832876">
      <w:bodyDiv w:val="1"/>
      <w:marLeft w:val="0"/>
      <w:marRight w:val="0"/>
      <w:marTop w:val="0"/>
      <w:marBottom w:val="0"/>
      <w:divBdr>
        <w:top w:val="none" w:sz="0" w:space="0" w:color="auto"/>
        <w:left w:val="none" w:sz="0" w:space="0" w:color="auto"/>
        <w:bottom w:val="none" w:sz="0" w:space="0" w:color="auto"/>
        <w:right w:val="none" w:sz="0" w:space="0" w:color="auto"/>
      </w:divBdr>
    </w:div>
    <w:div w:id="76682708">
      <w:bodyDiv w:val="1"/>
      <w:marLeft w:val="0"/>
      <w:marRight w:val="0"/>
      <w:marTop w:val="0"/>
      <w:marBottom w:val="0"/>
      <w:divBdr>
        <w:top w:val="none" w:sz="0" w:space="0" w:color="auto"/>
        <w:left w:val="none" w:sz="0" w:space="0" w:color="auto"/>
        <w:bottom w:val="none" w:sz="0" w:space="0" w:color="auto"/>
        <w:right w:val="none" w:sz="0" w:space="0" w:color="auto"/>
      </w:divBdr>
    </w:div>
    <w:div w:id="77137847">
      <w:bodyDiv w:val="1"/>
      <w:marLeft w:val="0"/>
      <w:marRight w:val="0"/>
      <w:marTop w:val="0"/>
      <w:marBottom w:val="0"/>
      <w:divBdr>
        <w:top w:val="none" w:sz="0" w:space="0" w:color="auto"/>
        <w:left w:val="none" w:sz="0" w:space="0" w:color="auto"/>
        <w:bottom w:val="none" w:sz="0" w:space="0" w:color="auto"/>
        <w:right w:val="none" w:sz="0" w:space="0" w:color="auto"/>
      </w:divBdr>
    </w:div>
    <w:div w:id="78252817">
      <w:bodyDiv w:val="1"/>
      <w:marLeft w:val="0"/>
      <w:marRight w:val="0"/>
      <w:marTop w:val="0"/>
      <w:marBottom w:val="0"/>
      <w:divBdr>
        <w:top w:val="none" w:sz="0" w:space="0" w:color="auto"/>
        <w:left w:val="none" w:sz="0" w:space="0" w:color="auto"/>
        <w:bottom w:val="none" w:sz="0" w:space="0" w:color="auto"/>
        <w:right w:val="none" w:sz="0" w:space="0" w:color="auto"/>
      </w:divBdr>
    </w:div>
    <w:div w:id="78799139">
      <w:bodyDiv w:val="1"/>
      <w:marLeft w:val="0"/>
      <w:marRight w:val="0"/>
      <w:marTop w:val="0"/>
      <w:marBottom w:val="0"/>
      <w:divBdr>
        <w:top w:val="none" w:sz="0" w:space="0" w:color="auto"/>
        <w:left w:val="none" w:sz="0" w:space="0" w:color="auto"/>
        <w:bottom w:val="none" w:sz="0" w:space="0" w:color="auto"/>
        <w:right w:val="none" w:sz="0" w:space="0" w:color="auto"/>
      </w:divBdr>
    </w:div>
    <w:div w:id="78866550">
      <w:bodyDiv w:val="1"/>
      <w:marLeft w:val="0"/>
      <w:marRight w:val="0"/>
      <w:marTop w:val="0"/>
      <w:marBottom w:val="0"/>
      <w:divBdr>
        <w:top w:val="none" w:sz="0" w:space="0" w:color="auto"/>
        <w:left w:val="none" w:sz="0" w:space="0" w:color="auto"/>
        <w:bottom w:val="none" w:sz="0" w:space="0" w:color="auto"/>
        <w:right w:val="none" w:sz="0" w:space="0" w:color="auto"/>
      </w:divBdr>
    </w:div>
    <w:div w:id="79646504">
      <w:bodyDiv w:val="1"/>
      <w:marLeft w:val="0"/>
      <w:marRight w:val="0"/>
      <w:marTop w:val="0"/>
      <w:marBottom w:val="0"/>
      <w:divBdr>
        <w:top w:val="none" w:sz="0" w:space="0" w:color="auto"/>
        <w:left w:val="none" w:sz="0" w:space="0" w:color="auto"/>
        <w:bottom w:val="none" w:sz="0" w:space="0" w:color="auto"/>
        <w:right w:val="none" w:sz="0" w:space="0" w:color="auto"/>
      </w:divBdr>
    </w:div>
    <w:div w:id="79840062">
      <w:bodyDiv w:val="1"/>
      <w:marLeft w:val="0"/>
      <w:marRight w:val="0"/>
      <w:marTop w:val="0"/>
      <w:marBottom w:val="0"/>
      <w:divBdr>
        <w:top w:val="none" w:sz="0" w:space="0" w:color="auto"/>
        <w:left w:val="none" w:sz="0" w:space="0" w:color="auto"/>
        <w:bottom w:val="none" w:sz="0" w:space="0" w:color="auto"/>
        <w:right w:val="none" w:sz="0" w:space="0" w:color="auto"/>
      </w:divBdr>
    </w:div>
    <w:div w:id="80222310">
      <w:bodyDiv w:val="1"/>
      <w:marLeft w:val="0"/>
      <w:marRight w:val="0"/>
      <w:marTop w:val="0"/>
      <w:marBottom w:val="0"/>
      <w:divBdr>
        <w:top w:val="none" w:sz="0" w:space="0" w:color="auto"/>
        <w:left w:val="none" w:sz="0" w:space="0" w:color="auto"/>
        <w:bottom w:val="none" w:sz="0" w:space="0" w:color="auto"/>
        <w:right w:val="none" w:sz="0" w:space="0" w:color="auto"/>
      </w:divBdr>
    </w:div>
    <w:div w:id="80372268">
      <w:bodyDiv w:val="1"/>
      <w:marLeft w:val="0"/>
      <w:marRight w:val="0"/>
      <w:marTop w:val="0"/>
      <w:marBottom w:val="0"/>
      <w:divBdr>
        <w:top w:val="none" w:sz="0" w:space="0" w:color="auto"/>
        <w:left w:val="none" w:sz="0" w:space="0" w:color="auto"/>
        <w:bottom w:val="none" w:sz="0" w:space="0" w:color="auto"/>
        <w:right w:val="none" w:sz="0" w:space="0" w:color="auto"/>
      </w:divBdr>
    </w:div>
    <w:div w:id="81148763">
      <w:bodyDiv w:val="1"/>
      <w:marLeft w:val="0"/>
      <w:marRight w:val="0"/>
      <w:marTop w:val="0"/>
      <w:marBottom w:val="0"/>
      <w:divBdr>
        <w:top w:val="none" w:sz="0" w:space="0" w:color="auto"/>
        <w:left w:val="none" w:sz="0" w:space="0" w:color="auto"/>
        <w:bottom w:val="none" w:sz="0" w:space="0" w:color="auto"/>
        <w:right w:val="none" w:sz="0" w:space="0" w:color="auto"/>
      </w:divBdr>
    </w:div>
    <w:div w:id="81529753">
      <w:bodyDiv w:val="1"/>
      <w:marLeft w:val="0"/>
      <w:marRight w:val="0"/>
      <w:marTop w:val="0"/>
      <w:marBottom w:val="0"/>
      <w:divBdr>
        <w:top w:val="none" w:sz="0" w:space="0" w:color="auto"/>
        <w:left w:val="none" w:sz="0" w:space="0" w:color="auto"/>
        <w:bottom w:val="none" w:sz="0" w:space="0" w:color="auto"/>
        <w:right w:val="none" w:sz="0" w:space="0" w:color="auto"/>
      </w:divBdr>
    </w:div>
    <w:div w:id="81609193">
      <w:bodyDiv w:val="1"/>
      <w:marLeft w:val="0"/>
      <w:marRight w:val="0"/>
      <w:marTop w:val="0"/>
      <w:marBottom w:val="0"/>
      <w:divBdr>
        <w:top w:val="none" w:sz="0" w:space="0" w:color="auto"/>
        <w:left w:val="none" w:sz="0" w:space="0" w:color="auto"/>
        <w:bottom w:val="none" w:sz="0" w:space="0" w:color="auto"/>
        <w:right w:val="none" w:sz="0" w:space="0" w:color="auto"/>
      </w:divBdr>
    </w:div>
    <w:div w:id="82650037">
      <w:bodyDiv w:val="1"/>
      <w:marLeft w:val="0"/>
      <w:marRight w:val="0"/>
      <w:marTop w:val="0"/>
      <w:marBottom w:val="0"/>
      <w:divBdr>
        <w:top w:val="none" w:sz="0" w:space="0" w:color="auto"/>
        <w:left w:val="none" w:sz="0" w:space="0" w:color="auto"/>
        <w:bottom w:val="none" w:sz="0" w:space="0" w:color="auto"/>
        <w:right w:val="none" w:sz="0" w:space="0" w:color="auto"/>
      </w:divBdr>
    </w:div>
    <w:div w:id="83035410">
      <w:bodyDiv w:val="1"/>
      <w:marLeft w:val="0"/>
      <w:marRight w:val="0"/>
      <w:marTop w:val="0"/>
      <w:marBottom w:val="0"/>
      <w:divBdr>
        <w:top w:val="none" w:sz="0" w:space="0" w:color="auto"/>
        <w:left w:val="none" w:sz="0" w:space="0" w:color="auto"/>
        <w:bottom w:val="none" w:sz="0" w:space="0" w:color="auto"/>
        <w:right w:val="none" w:sz="0" w:space="0" w:color="auto"/>
      </w:divBdr>
    </w:div>
    <w:div w:id="83457249">
      <w:bodyDiv w:val="1"/>
      <w:marLeft w:val="0"/>
      <w:marRight w:val="0"/>
      <w:marTop w:val="0"/>
      <w:marBottom w:val="0"/>
      <w:divBdr>
        <w:top w:val="none" w:sz="0" w:space="0" w:color="auto"/>
        <w:left w:val="none" w:sz="0" w:space="0" w:color="auto"/>
        <w:bottom w:val="none" w:sz="0" w:space="0" w:color="auto"/>
        <w:right w:val="none" w:sz="0" w:space="0" w:color="auto"/>
      </w:divBdr>
    </w:div>
    <w:div w:id="83841574">
      <w:bodyDiv w:val="1"/>
      <w:marLeft w:val="0"/>
      <w:marRight w:val="0"/>
      <w:marTop w:val="0"/>
      <w:marBottom w:val="0"/>
      <w:divBdr>
        <w:top w:val="none" w:sz="0" w:space="0" w:color="auto"/>
        <w:left w:val="none" w:sz="0" w:space="0" w:color="auto"/>
        <w:bottom w:val="none" w:sz="0" w:space="0" w:color="auto"/>
        <w:right w:val="none" w:sz="0" w:space="0" w:color="auto"/>
      </w:divBdr>
    </w:div>
    <w:div w:id="84227938">
      <w:bodyDiv w:val="1"/>
      <w:marLeft w:val="0"/>
      <w:marRight w:val="0"/>
      <w:marTop w:val="0"/>
      <w:marBottom w:val="0"/>
      <w:divBdr>
        <w:top w:val="none" w:sz="0" w:space="0" w:color="auto"/>
        <w:left w:val="none" w:sz="0" w:space="0" w:color="auto"/>
        <w:bottom w:val="none" w:sz="0" w:space="0" w:color="auto"/>
        <w:right w:val="none" w:sz="0" w:space="0" w:color="auto"/>
      </w:divBdr>
    </w:div>
    <w:div w:id="84233405">
      <w:bodyDiv w:val="1"/>
      <w:marLeft w:val="0"/>
      <w:marRight w:val="0"/>
      <w:marTop w:val="0"/>
      <w:marBottom w:val="0"/>
      <w:divBdr>
        <w:top w:val="none" w:sz="0" w:space="0" w:color="auto"/>
        <w:left w:val="none" w:sz="0" w:space="0" w:color="auto"/>
        <w:bottom w:val="none" w:sz="0" w:space="0" w:color="auto"/>
        <w:right w:val="none" w:sz="0" w:space="0" w:color="auto"/>
      </w:divBdr>
    </w:div>
    <w:div w:id="85735701">
      <w:bodyDiv w:val="1"/>
      <w:marLeft w:val="0"/>
      <w:marRight w:val="0"/>
      <w:marTop w:val="0"/>
      <w:marBottom w:val="0"/>
      <w:divBdr>
        <w:top w:val="none" w:sz="0" w:space="0" w:color="auto"/>
        <w:left w:val="none" w:sz="0" w:space="0" w:color="auto"/>
        <w:bottom w:val="none" w:sz="0" w:space="0" w:color="auto"/>
        <w:right w:val="none" w:sz="0" w:space="0" w:color="auto"/>
      </w:divBdr>
    </w:div>
    <w:div w:id="86117787">
      <w:bodyDiv w:val="1"/>
      <w:marLeft w:val="0"/>
      <w:marRight w:val="0"/>
      <w:marTop w:val="0"/>
      <w:marBottom w:val="0"/>
      <w:divBdr>
        <w:top w:val="none" w:sz="0" w:space="0" w:color="auto"/>
        <w:left w:val="none" w:sz="0" w:space="0" w:color="auto"/>
        <w:bottom w:val="none" w:sz="0" w:space="0" w:color="auto"/>
        <w:right w:val="none" w:sz="0" w:space="0" w:color="auto"/>
      </w:divBdr>
    </w:div>
    <w:div w:id="86512136">
      <w:bodyDiv w:val="1"/>
      <w:marLeft w:val="0"/>
      <w:marRight w:val="0"/>
      <w:marTop w:val="0"/>
      <w:marBottom w:val="0"/>
      <w:divBdr>
        <w:top w:val="none" w:sz="0" w:space="0" w:color="auto"/>
        <w:left w:val="none" w:sz="0" w:space="0" w:color="auto"/>
        <w:bottom w:val="none" w:sz="0" w:space="0" w:color="auto"/>
        <w:right w:val="none" w:sz="0" w:space="0" w:color="auto"/>
      </w:divBdr>
    </w:div>
    <w:div w:id="86848896">
      <w:bodyDiv w:val="1"/>
      <w:marLeft w:val="0"/>
      <w:marRight w:val="0"/>
      <w:marTop w:val="0"/>
      <w:marBottom w:val="0"/>
      <w:divBdr>
        <w:top w:val="none" w:sz="0" w:space="0" w:color="auto"/>
        <w:left w:val="none" w:sz="0" w:space="0" w:color="auto"/>
        <w:bottom w:val="none" w:sz="0" w:space="0" w:color="auto"/>
        <w:right w:val="none" w:sz="0" w:space="0" w:color="auto"/>
      </w:divBdr>
    </w:div>
    <w:div w:id="86853991">
      <w:bodyDiv w:val="1"/>
      <w:marLeft w:val="0"/>
      <w:marRight w:val="0"/>
      <w:marTop w:val="0"/>
      <w:marBottom w:val="0"/>
      <w:divBdr>
        <w:top w:val="none" w:sz="0" w:space="0" w:color="auto"/>
        <w:left w:val="none" w:sz="0" w:space="0" w:color="auto"/>
        <w:bottom w:val="none" w:sz="0" w:space="0" w:color="auto"/>
        <w:right w:val="none" w:sz="0" w:space="0" w:color="auto"/>
      </w:divBdr>
    </w:div>
    <w:div w:id="88308079">
      <w:bodyDiv w:val="1"/>
      <w:marLeft w:val="0"/>
      <w:marRight w:val="0"/>
      <w:marTop w:val="0"/>
      <w:marBottom w:val="0"/>
      <w:divBdr>
        <w:top w:val="none" w:sz="0" w:space="0" w:color="auto"/>
        <w:left w:val="none" w:sz="0" w:space="0" w:color="auto"/>
        <w:bottom w:val="none" w:sz="0" w:space="0" w:color="auto"/>
        <w:right w:val="none" w:sz="0" w:space="0" w:color="auto"/>
      </w:divBdr>
    </w:div>
    <w:div w:id="88351094">
      <w:bodyDiv w:val="1"/>
      <w:marLeft w:val="0"/>
      <w:marRight w:val="0"/>
      <w:marTop w:val="0"/>
      <w:marBottom w:val="0"/>
      <w:divBdr>
        <w:top w:val="none" w:sz="0" w:space="0" w:color="auto"/>
        <w:left w:val="none" w:sz="0" w:space="0" w:color="auto"/>
        <w:bottom w:val="none" w:sz="0" w:space="0" w:color="auto"/>
        <w:right w:val="none" w:sz="0" w:space="0" w:color="auto"/>
      </w:divBdr>
    </w:div>
    <w:div w:id="88698055">
      <w:bodyDiv w:val="1"/>
      <w:marLeft w:val="0"/>
      <w:marRight w:val="0"/>
      <w:marTop w:val="0"/>
      <w:marBottom w:val="0"/>
      <w:divBdr>
        <w:top w:val="none" w:sz="0" w:space="0" w:color="auto"/>
        <w:left w:val="none" w:sz="0" w:space="0" w:color="auto"/>
        <w:bottom w:val="none" w:sz="0" w:space="0" w:color="auto"/>
        <w:right w:val="none" w:sz="0" w:space="0" w:color="auto"/>
      </w:divBdr>
    </w:div>
    <w:div w:id="89401652">
      <w:bodyDiv w:val="1"/>
      <w:marLeft w:val="0"/>
      <w:marRight w:val="0"/>
      <w:marTop w:val="0"/>
      <w:marBottom w:val="0"/>
      <w:divBdr>
        <w:top w:val="none" w:sz="0" w:space="0" w:color="auto"/>
        <w:left w:val="none" w:sz="0" w:space="0" w:color="auto"/>
        <w:bottom w:val="none" w:sz="0" w:space="0" w:color="auto"/>
        <w:right w:val="none" w:sz="0" w:space="0" w:color="auto"/>
      </w:divBdr>
    </w:div>
    <w:div w:id="89937479">
      <w:bodyDiv w:val="1"/>
      <w:marLeft w:val="0"/>
      <w:marRight w:val="0"/>
      <w:marTop w:val="0"/>
      <w:marBottom w:val="0"/>
      <w:divBdr>
        <w:top w:val="none" w:sz="0" w:space="0" w:color="auto"/>
        <w:left w:val="none" w:sz="0" w:space="0" w:color="auto"/>
        <w:bottom w:val="none" w:sz="0" w:space="0" w:color="auto"/>
        <w:right w:val="none" w:sz="0" w:space="0" w:color="auto"/>
      </w:divBdr>
    </w:div>
    <w:div w:id="90929723">
      <w:bodyDiv w:val="1"/>
      <w:marLeft w:val="0"/>
      <w:marRight w:val="0"/>
      <w:marTop w:val="0"/>
      <w:marBottom w:val="0"/>
      <w:divBdr>
        <w:top w:val="none" w:sz="0" w:space="0" w:color="auto"/>
        <w:left w:val="none" w:sz="0" w:space="0" w:color="auto"/>
        <w:bottom w:val="none" w:sz="0" w:space="0" w:color="auto"/>
        <w:right w:val="none" w:sz="0" w:space="0" w:color="auto"/>
      </w:divBdr>
    </w:div>
    <w:div w:id="91554743">
      <w:bodyDiv w:val="1"/>
      <w:marLeft w:val="0"/>
      <w:marRight w:val="0"/>
      <w:marTop w:val="0"/>
      <w:marBottom w:val="0"/>
      <w:divBdr>
        <w:top w:val="none" w:sz="0" w:space="0" w:color="auto"/>
        <w:left w:val="none" w:sz="0" w:space="0" w:color="auto"/>
        <w:bottom w:val="none" w:sz="0" w:space="0" w:color="auto"/>
        <w:right w:val="none" w:sz="0" w:space="0" w:color="auto"/>
      </w:divBdr>
    </w:div>
    <w:div w:id="91900434">
      <w:bodyDiv w:val="1"/>
      <w:marLeft w:val="0"/>
      <w:marRight w:val="0"/>
      <w:marTop w:val="0"/>
      <w:marBottom w:val="0"/>
      <w:divBdr>
        <w:top w:val="none" w:sz="0" w:space="0" w:color="auto"/>
        <w:left w:val="none" w:sz="0" w:space="0" w:color="auto"/>
        <w:bottom w:val="none" w:sz="0" w:space="0" w:color="auto"/>
        <w:right w:val="none" w:sz="0" w:space="0" w:color="auto"/>
      </w:divBdr>
    </w:div>
    <w:div w:id="92171231">
      <w:bodyDiv w:val="1"/>
      <w:marLeft w:val="0"/>
      <w:marRight w:val="0"/>
      <w:marTop w:val="0"/>
      <w:marBottom w:val="0"/>
      <w:divBdr>
        <w:top w:val="none" w:sz="0" w:space="0" w:color="auto"/>
        <w:left w:val="none" w:sz="0" w:space="0" w:color="auto"/>
        <w:bottom w:val="none" w:sz="0" w:space="0" w:color="auto"/>
        <w:right w:val="none" w:sz="0" w:space="0" w:color="auto"/>
      </w:divBdr>
    </w:div>
    <w:div w:id="92481717">
      <w:bodyDiv w:val="1"/>
      <w:marLeft w:val="0"/>
      <w:marRight w:val="0"/>
      <w:marTop w:val="0"/>
      <w:marBottom w:val="0"/>
      <w:divBdr>
        <w:top w:val="none" w:sz="0" w:space="0" w:color="auto"/>
        <w:left w:val="none" w:sz="0" w:space="0" w:color="auto"/>
        <w:bottom w:val="none" w:sz="0" w:space="0" w:color="auto"/>
        <w:right w:val="none" w:sz="0" w:space="0" w:color="auto"/>
      </w:divBdr>
    </w:div>
    <w:div w:id="92552837">
      <w:bodyDiv w:val="1"/>
      <w:marLeft w:val="0"/>
      <w:marRight w:val="0"/>
      <w:marTop w:val="0"/>
      <w:marBottom w:val="0"/>
      <w:divBdr>
        <w:top w:val="none" w:sz="0" w:space="0" w:color="auto"/>
        <w:left w:val="none" w:sz="0" w:space="0" w:color="auto"/>
        <w:bottom w:val="none" w:sz="0" w:space="0" w:color="auto"/>
        <w:right w:val="none" w:sz="0" w:space="0" w:color="auto"/>
      </w:divBdr>
    </w:div>
    <w:div w:id="93137256">
      <w:bodyDiv w:val="1"/>
      <w:marLeft w:val="0"/>
      <w:marRight w:val="0"/>
      <w:marTop w:val="0"/>
      <w:marBottom w:val="0"/>
      <w:divBdr>
        <w:top w:val="none" w:sz="0" w:space="0" w:color="auto"/>
        <w:left w:val="none" w:sz="0" w:space="0" w:color="auto"/>
        <w:bottom w:val="none" w:sz="0" w:space="0" w:color="auto"/>
        <w:right w:val="none" w:sz="0" w:space="0" w:color="auto"/>
      </w:divBdr>
    </w:div>
    <w:div w:id="93209194">
      <w:bodyDiv w:val="1"/>
      <w:marLeft w:val="0"/>
      <w:marRight w:val="0"/>
      <w:marTop w:val="0"/>
      <w:marBottom w:val="0"/>
      <w:divBdr>
        <w:top w:val="none" w:sz="0" w:space="0" w:color="auto"/>
        <w:left w:val="none" w:sz="0" w:space="0" w:color="auto"/>
        <w:bottom w:val="none" w:sz="0" w:space="0" w:color="auto"/>
        <w:right w:val="none" w:sz="0" w:space="0" w:color="auto"/>
      </w:divBdr>
    </w:div>
    <w:div w:id="93288511">
      <w:bodyDiv w:val="1"/>
      <w:marLeft w:val="0"/>
      <w:marRight w:val="0"/>
      <w:marTop w:val="0"/>
      <w:marBottom w:val="0"/>
      <w:divBdr>
        <w:top w:val="none" w:sz="0" w:space="0" w:color="auto"/>
        <w:left w:val="none" w:sz="0" w:space="0" w:color="auto"/>
        <w:bottom w:val="none" w:sz="0" w:space="0" w:color="auto"/>
        <w:right w:val="none" w:sz="0" w:space="0" w:color="auto"/>
      </w:divBdr>
    </w:div>
    <w:div w:id="94910104">
      <w:bodyDiv w:val="1"/>
      <w:marLeft w:val="0"/>
      <w:marRight w:val="0"/>
      <w:marTop w:val="0"/>
      <w:marBottom w:val="0"/>
      <w:divBdr>
        <w:top w:val="none" w:sz="0" w:space="0" w:color="auto"/>
        <w:left w:val="none" w:sz="0" w:space="0" w:color="auto"/>
        <w:bottom w:val="none" w:sz="0" w:space="0" w:color="auto"/>
        <w:right w:val="none" w:sz="0" w:space="0" w:color="auto"/>
      </w:divBdr>
    </w:div>
    <w:div w:id="95097856">
      <w:bodyDiv w:val="1"/>
      <w:marLeft w:val="0"/>
      <w:marRight w:val="0"/>
      <w:marTop w:val="0"/>
      <w:marBottom w:val="0"/>
      <w:divBdr>
        <w:top w:val="none" w:sz="0" w:space="0" w:color="auto"/>
        <w:left w:val="none" w:sz="0" w:space="0" w:color="auto"/>
        <w:bottom w:val="none" w:sz="0" w:space="0" w:color="auto"/>
        <w:right w:val="none" w:sz="0" w:space="0" w:color="auto"/>
      </w:divBdr>
    </w:div>
    <w:div w:id="96096453">
      <w:bodyDiv w:val="1"/>
      <w:marLeft w:val="0"/>
      <w:marRight w:val="0"/>
      <w:marTop w:val="0"/>
      <w:marBottom w:val="0"/>
      <w:divBdr>
        <w:top w:val="none" w:sz="0" w:space="0" w:color="auto"/>
        <w:left w:val="none" w:sz="0" w:space="0" w:color="auto"/>
        <w:bottom w:val="none" w:sz="0" w:space="0" w:color="auto"/>
        <w:right w:val="none" w:sz="0" w:space="0" w:color="auto"/>
      </w:divBdr>
    </w:div>
    <w:div w:id="96752461">
      <w:bodyDiv w:val="1"/>
      <w:marLeft w:val="0"/>
      <w:marRight w:val="0"/>
      <w:marTop w:val="0"/>
      <w:marBottom w:val="0"/>
      <w:divBdr>
        <w:top w:val="none" w:sz="0" w:space="0" w:color="auto"/>
        <w:left w:val="none" w:sz="0" w:space="0" w:color="auto"/>
        <w:bottom w:val="none" w:sz="0" w:space="0" w:color="auto"/>
        <w:right w:val="none" w:sz="0" w:space="0" w:color="auto"/>
      </w:divBdr>
    </w:div>
    <w:div w:id="96800149">
      <w:bodyDiv w:val="1"/>
      <w:marLeft w:val="0"/>
      <w:marRight w:val="0"/>
      <w:marTop w:val="0"/>
      <w:marBottom w:val="0"/>
      <w:divBdr>
        <w:top w:val="none" w:sz="0" w:space="0" w:color="auto"/>
        <w:left w:val="none" w:sz="0" w:space="0" w:color="auto"/>
        <w:bottom w:val="none" w:sz="0" w:space="0" w:color="auto"/>
        <w:right w:val="none" w:sz="0" w:space="0" w:color="auto"/>
      </w:divBdr>
    </w:div>
    <w:div w:id="97723135">
      <w:bodyDiv w:val="1"/>
      <w:marLeft w:val="0"/>
      <w:marRight w:val="0"/>
      <w:marTop w:val="0"/>
      <w:marBottom w:val="0"/>
      <w:divBdr>
        <w:top w:val="none" w:sz="0" w:space="0" w:color="auto"/>
        <w:left w:val="none" w:sz="0" w:space="0" w:color="auto"/>
        <w:bottom w:val="none" w:sz="0" w:space="0" w:color="auto"/>
        <w:right w:val="none" w:sz="0" w:space="0" w:color="auto"/>
      </w:divBdr>
    </w:div>
    <w:div w:id="99227892">
      <w:bodyDiv w:val="1"/>
      <w:marLeft w:val="0"/>
      <w:marRight w:val="0"/>
      <w:marTop w:val="0"/>
      <w:marBottom w:val="0"/>
      <w:divBdr>
        <w:top w:val="none" w:sz="0" w:space="0" w:color="auto"/>
        <w:left w:val="none" w:sz="0" w:space="0" w:color="auto"/>
        <w:bottom w:val="none" w:sz="0" w:space="0" w:color="auto"/>
        <w:right w:val="none" w:sz="0" w:space="0" w:color="auto"/>
      </w:divBdr>
    </w:div>
    <w:div w:id="100224028">
      <w:bodyDiv w:val="1"/>
      <w:marLeft w:val="0"/>
      <w:marRight w:val="0"/>
      <w:marTop w:val="0"/>
      <w:marBottom w:val="0"/>
      <w:divBdr>
        <w:top w:val="none" w:sz="0" w:space="0" w:color="auto"/>
        <w:left w:val="none" w:sz="0" w:space="0" w:color="auto"/>
        <w:bottom w:val="none" w:sz="0" w:space="0" w:color="auto"/>
        <w:right w:val="none" w:sz="0" w:space="0" w:color="auto"/>
      </w:divBdr>
    </w:div>
    <w:div w:id="100925506">
      <w:bodyDiv w:val="1"/>
      <w:marLeft w:val="0"/>
      <w:marRight w:val="0"/>
      <w:marTop w:val="0"/>
      <w:marBottom w:val="0"/>
      <w:divBdr>
        <w:top w:val="none" w:sz="0" w:space="0" w:color="auto"/>
        <w:left w:val="none" w:sz="0" w:space="0" w:color="auto"/>
        <w:bottom w:val="none" w:sz="0" w:space="0" w:color="auto"/>
        <w:right w:val="none" w:sz="0" w:space="0" w:color="auto"/>
      </w:divBdr>
    </w:div>
    <w:div w:id="101340682">
      <w:bodyDiv w:val="1"/>
      <w:marLeft w:val="0"/>
      <w:marRight w:val="0"/>
      <w:marTop w:val="0"/>
      <w:marBottom w:val="0"/>
      <w:divBdr>
        <w:top w:val="none" w:sz="0" w:space="0" w:color="auto"/>
        <w:left w:val="none" w:sz="0" w:space="0" w:color="auto"/>
        <w:bottom w:val="none" w:sz="0" w:space="0" w:color="auto"/>
        <w:right w:val="none" w:sz="0" w:space="0" w:color="auto"/>
      </w:divBdr>
    </w:div>
    <w:div w:id="101807017">
      <w:bodyDiv w:val="1"/>
      <w:marLeft w:val="0"/>
      <w:marRight w:val="0"/>
      <w:marTop w:val="0"/>
      <w:marBottom w:val="0"/>
      <w:divBdr>
        <w:top w:val="none" w:sz="0" w:space="0" w:color="auto"/>
        <w:left w:val="none" w:sz="0" w:space="0" w:color="auto"/>
        <w:bottom w:val="none" w:sz="0" w:space="0" w:color="auto"/>
        <w:right w:val="none" w:sz="0" w:space="0" w:color="auto"/>
      </w:divBdr>
    </w:div>
    <w:div w:id="102116158">
      <w:bodyDiv w:val="1"/>
      <w:marLeft w:val="0"/>
      <w:marRight w:val="0"/>
      <w:marTop w:val="0"/>
      <w:marBottom w:val="0"/>
      <w:divBdr>
        <w:top w:val="none" w:sz="0" w:space="0" w:color="auto"/>
        <w:left w:val="none" w:sz="0" w:space="0" w:color="auto"/>
        <w:bottom w:val="none" w:sz="0" w:space="0" w:color="auto"/>
        <w:right w:val="none" w:sz="0" w:space="0" w:color="auto"/>
      </w:divBdr>
    </w:div>
    <w:div w:id="102457913">
      <w:bodyDiv w:val="1"/>
      <w:marLeft w:val="0"/>
      <w:marRight w:val="0"/>
      <w:marTop w:val="0"/>
      <w:marBottom w:val="0"/>
      <w:divBdr>
        <w:top w:val="none" w:sz="0" w:space="0" w:color="auto"/>
        <w:left w:val="none" w:sz="0" w:space="0" w:color="auto"/>
        <w:bottom w:val="none" w:sz="0" w:space="0" w:color="auto"/>
        <w:right w:val="none" w:sz="0" w:space="0" w:color="auto"/>
      </w:divBdr>
    </w:div>
    <w:div w:id="102771817">
      <w:bodyDiv w:val="1"/>
      <w:marLeft w:val="0"/>
      <w:marRight w:val="0"/>
      <w:marTop w:val="0"/>
      <w:marBottom w:val="0"/>
      <w:divBdr>
        <w:top w:val="none" w:sz="0" w:space="0" w:color="auto"/>
        <w:left w:val="none" w:sz="0" w:space="0" w:color="auto"/>
        <w:bottom w:val="none" w:sz="0" w:space="0" w:color="auto"/>
        <w:right w:val="none" w:sz="0" w:space="0" w:color="auto"/>
      </w:divBdr>
    </w:div>
    <w:div w:id="103113750">
      <w:bodyDiv w:val="1"/>
      <w:marLeft w:val="0"/>
      <w:marRight w:val="0"/>
      <w:marTop w:val="0"/>
      <w:marBottom w:val="0"/>
      <w:divBdr>
        <w:top w:val="none" w:sz="0" w:space="0" w:color="auto"/>
        <w:left w:val="none" w:sz="0" w:space="0" w:color="auto"/>
        <w:bottom w:val="none" w:sz="0" w:space="0" w:color="auto"/>
        <w:right w:val="none" w:sz="0" w:space="0" w:color="auto"/>
      </w:divBdr>
    </w:div>
    <w:div w:id="103959958">
      <w:bodyDiv w:val="1"/>
      <w:marLeft w:val="0"/>
      <w:marRight w:val="0"/>
      <w:marTop w:val="0"/>
      <w:marBottom w:val="0"/>
      <w:divBdr>
        <w:top w:val="none" w:sz="0" w:space="0" w:color="auto"/>
        <w:left w:val="none" w:sz="0" w:space="0" w:color="auto"/>
        <w:bottom w:val="none" w:sz="0" w:space="0" w:color="auto"/>
        <w:right w:val="none" w:sz="0" w:space="0" w:color="auto"/>
      </w:divBdr>
    </w:div>
    <w:div w:id="104890232">
      <w:bodyDiv w:val="1"/>
      <w:marLeft w:val="0"/>
      <w:marRight w:val="0"/>
      <w:marTop w:val="0"/>
      <w:marBottom w:val="0"/>
      <w:divBdr>
        <w:top w:val="none" w:sz="0" w:space="0" w:color="auto"/>
        <w:left w:val="none" w:sz="0" w:space="0" w:color="auto"/>
        <w:bottom w:val="none" w:sz="0" w:space="0" w:color="auto"/>
        <w:right w:val="none" w:sz="0" w:space="0" w:color="auto"/>
      </w:divBdr>
    </w:div>
    <w:div w:id="106702767">
      <w:bodyDiv w:val="1"/>
      <w:marLeft w:val="0"/>
      <w:marRight w:val="0"/>
      <w:marTop w:val="0"/>
      <w:marBottom w:val="0"/>
      <w:divBdr>
        <w:top w:val="none" w:sz="0" w:space="0" w:color="auto"/>
        <w:left w:val="none" w:sz="0" w:space="0" w:color="auto"/>
        <w:bottom w:val="none" w:sz="0" w:space="0" w:color="auto"/>
        <w:right w:val="none" w:sz="0" w:space="0" w:color="auto"/>
      </w:divBdr>
    </w:div>
    <w:div w:id="106703469">
      <w:bodyDiv w:val="1"/>
      <w:marLeft w:val="0"/>
      <w:marRight w:val="0"/>
      <w:marTop w:val="0"/>
      <w:marBottom w:val="0"/>
      <w:divBdr>
        <w:top w:val="none" w:sz="0" w:space="0" w:color="auto"/>
        <w:left w:val="none" w:sz="0" w:space="0" w:color="auto"/>
        <w:bottom w:val="none" w:sz="0" w:space="0" w:color="auto"/>
        <w:right w:val="none" w:sz="0" w:space="0" w:color="auto"/>
      </w:divBdr>
    </w:div>
    <w:div w:id="107282439">
      <w:bodyDiv w:val="1"/>
      <w:marLeft w:val="0"/>
      <w:marRight w:val="0"/>
      <w:marTop w:val="0"/>
      <w:marBottom w:val="0"/>
      <w:divBdr>
        <w:top w:val="none" w:sz="0" w:space="0" w:color="auto"/>
        <w:left w:val="none" w:sz="0" w:space="0" w:color="auto"/>
        <w:bottom w:val="none" w:sz="0" w:space="0" w:color="auto"/>
        <w:right w:val="none" w:sz="0" w:space="0" w:color="auto"/>
      </w:divBdr>
    </w:div>
    <w:div w:id="107965815">
      <w:bodyDiv w:val="1"/>
      <w:marLeft w:val="0"/>
      <w:marRight w:val="0"/>
      <w:marTop w:val="0"/>
      <w:marBottom w:val="0"/>
      <w:divBdr>
        <w:top w:val="none" w:sz="0" w:space="0" w:color="auto"/>
        <w:left w:val="none" w:sz="0" w:space="0" w:color="auto"/>
        <w:bottom w:val="none" w:sz="0" w:space="0" w:color="auto"/>
        <w:right w:val="none" w:sz="0" w:space="0" w:color="auto"/>
      </w:divBdr>
    </w:div>
    <w:div w:id="109667243">
      <w:bodyDiv w:val="1"/>
      <w:marLeft w:val="0"/>
      <w:marRight w:val="0"/>
      <w:marTop w:val="0"/>
      <w:marBottom w:val="0"/>
      <w:divBdr>
        <w:top w:val="none" w:sz="0" w:space="0" w:color="auto"/>
        <w:left w:val="none" w:sz="0" w:space="0" w:color="auto"/>
        <w:bottom w:val="none" w:sz="0" w:space="0" w:color="auto"/>
        <w:right w:val="none" w:sz="0" w:space="0" w:color="auto"/>
      </w:divBdr>
    </w:div>
    <w:div w:id="110053900">
      <w:bodyDiv w:val="1"/>
      <w:marLeft w:val="0"/>
      <w:marRight w:val="0"/>
      <w:marTop w:val="0"/>
      <w:marBottom w:val="0"/>
      <w:divBdr>
        <w:top w:val="none" w:sz="0" w:space="0" w:color="auto"/>
        <w:left w:val="none" w:sz="0" w:space="0" w:color="auto"/>
        <w:bottom w:val="none" w:sz="0" w:space="0" w:color="auto"/>
        <w:right w:val="none" w:sz="0" w:space="0" w:color="auto"/>
      </w:divBdr>
    </w:div>
    <w:div w:id="110437122">
      <w:bodyDiv w:val="1"/>
      <w:marLeft w:val="0"/>
      <w:marRight w:val="0"/>
      <w:marTop w:val="0"/>
      <w:marBottom w:val="0"/>
      <w:divBdr>
        <w:top w:val="none" w:sz="0" w:space="0" w:color="auto"/>
        <w:left w:val="none" w:sz="0" w:space="0" w:color="auto"/>
        <w:bottom w:val="none" w:sz="0" w:space="0" w:color="auto"/>
        <w:right w:val="none" w:sz="0" w:space="0" w:color="auto"/>
      </w:divBdr>
    </w:div>
    <w:div w:id="110785710">
      <w:bodyDiv w:val="1"/>
      <w:marLeft w:val="0"/>
      <w:marRight w:val="0"/>
      <w:marTop w:val="0"/>
      <w:marBottom w:val="0"/>
      <w:divBdr>
        <w:top w:val="none" w:sz="0" w:space="0" w:color="auto"/>
        <w:left w:val="none" w:sz="0" w:space="0" w:color="auto"/>
        <w:bottom w:val="none" w:sz="0" w:space="0" w:color="auto"/>
        <w:right w:val="none" w:sz="0" w:space="0" w:color="auto"/>
      </w:divBdr>
    </w:div>
    <w:div w:id="111288784">
      <w:bodyDiv w:val="1"/>
      <w:marLeft w:val="0"/>
      <w:marRight w:val="0"/>
      <w:marTop w:val="0"/>
      <w:marBottom w:val="0"/>
      <w:divBdr>
        <w:top w:val="none" w:sz="0" w:space="0" w:color="auto"/>
        <w:left w:val="none" w:sz="0" w:space="0" w:color="auto"/>
        <w:bottom w:val="none" w:sz="0" w:space="0" w:color="auto"/>
        <w:right w:val="none" w:sz="0" w:space="0" w:color="auto"/>
      </w:divBdr>
    </w:div>
    <w:div w:id="112135394">
      <w:bodyDiv w:val="1"/>
      <w:marLeft w:val="0"/>
      <w:marRight w:val="0"/>
      <w:marTop w:val="0"/>
      <w:marBottom w:val="0"/>
      <w:divBdr>
        <w:top w:val="none" w:sz="0" w:space="0" w:color="auto"/>
        <w:left w:val="none" w:sz="0" w:space="0" w:color="auto"/>
        <w:bottom w:val="none" w:sz="0" w:space="0" w:color="auto"/>
        <w:right w:val="none" w:sz="0" w:space="0" w:color="auto"/>
      </w:divBdr>
    </w:div>
    <w:div w:id="114837711">
      <w:bodyDiv w:val="1"/>
      <w:marLeft w:val="0"/>
      <w:marRight w:val="0"/>
      <w:marTop w:val="0"/>
      <w:marBottom w:val="0"/>
      <w:divBdr>
        <w:top w:val="none" w:sz="0" w:space="0" w:color="auto"/>
        <w:left w:val="none" w:sz="0" w:space="0" w:color="auto"/>
        <w:bottom w:val="none" w:sz="0" w:space="0" w:color="auto"/>
        <w:right w:val="none" w:sz="0" w:space="0" w:color="auto"/>
      </w:divBdr>
    </w:div>
    <w:div w:id="115953837">
      <w:bodyDiv w:val="1"/>
      <w:marLeft w:val="0"/>
      <w:marRight w:val="0"/>
      <w:marTop w:val="0"/>
      <w:marBottom w:val="0"/>
      <w:divBdr>
        <w:top w:val="none" w:sz="0" w:space="0" w:color="auto"/>
        <w:left w:val="none" w:sz="0" w:space="0" w:color="auto"/>
        <w:bottom w:val="none" w:sz="0" w:space="0" w:color="auto"/>
        <w:right w:val="none" w:sz="0" w:space="0" w:color="auto"/>
      </w:divBdr>
    </w:div>
    <w:div w:id="116148777">
      <w:bodyDiv w:val="1"/>
      <w:marLeft w:val="0"/>
      <w:marRight w:val="0"/>
      <w:marTop w:val="0"/>
      <w:marBottom w:val="0"/>
      <w:divBdr>
        <w:top w:val="none" w:sz="0" w:space="0" w:color="auto"/>
        <w:left w:val="none" w:sz="0" w:space="0" w:color="auto"/>
        <w:bottom w:val="none" w:sz="0" w:space="0" w:color="auto"/>
        <w:right w:val="none" w:sz="0" w:space="0" w:color="auto"/>
      </w:divBdr>
    </w:div>
    <w:div w:id="116487192">
      <w:bodyDiv w:val="1"/>
      <w:marLeft w:val="0"/>
      <w:marRight w:val="0"/>
      <w:marTop w:val="0"/>
      <w:marBottom w:val="0"/>
      <w:divBdr>
        <w:top w:val="none" w:sz="0" w:space="0" w:color="auto"/>
        <w:left w:val="none" w:sz="0" w:space="0" w:color="auto"/>
        <w:bottom w:val="none" w:sz="0" w:space="0" w:color="auto"/>
        <w:right w:val="none" w:sz="0" w:space="0" w:color="auto"/>
      </w:divBdr>
    </w:div>
    <w:div w:id="117602793">
      <w:bodyDiv w:val="1"/>
      <w:marLeft w:val="0"/>
      <w:marRight w:val="0"/>
      <w:marTop w:val="0"/>
      <w:marBottom w:val="0"/>
      <w:divBdr>
        <w:top w:val="none" w:sz="0" w:space="0" w:color="auto"/>
        <w:left w:val="none" w:sz="0" w:space="0" w:color="auto"/>
        <w:bottom w:val="none" w:sz="0" w:space="0" w:color="auto"/>
        <w:right w:val="none" w:sz="0" w:space="0" w:color="auto"/>
      </w:divBdr>
    </w:div>
    <w:div w:id="118036864">
      <w:bodyDiv w:val="1"/>
      <w:marLeft w:val="0"/>
      <w:marRight w:val="0"/>
      <w:marTop w:val="0"/>
      <w:marBottom w:val="0"/>
      <w:divBdr>
        <w:top w:val="none" w:sz="0" w:space="0" w:color="auto"/>
        <w:left w:val="none" w:sz="0" w:space="0" w:color="auto"/>
        <w:bottom w:val="none" w:sz="0" w:space="0" w:color="auto"/>
        <w:right w:val="none" w:sz="0" w:space="0" w:color="auto"/>
      </w:divBdr>
    </w:div>
    <w:div w:id="119694795">
      <w:bodyDiv w:val="1"/>
      <w:marLeft w:val="0"/>
      <w:marRight w:val="0"/>
      <w:marTop w:val="0"/>
      <w:marBottom w:val="0"/>
      <w:divBdr>
        <w:top w:val="none" w:sz="0" w:space="0" w:color="auto"/>
        <w:left w:val="none" w:sz="0" w:space="0" w:color="auto"/>
        <w:bottom w:val="none" w:sz="0" w:space="0" w:color="auto"/>
        <w:right w:val="none" w:sz="0" w:space="0" w:color="auto"/>
      </w:divBdr>
    </w:div>
    <w:div w:id="120155140">
      <w:bodyDiv w:val="1"/>
      <w:marLeft w:val="0"/>
      <w:marRight w:val="0"/>
      <w:marTop w:val="0"/>
      <w:marBottom w:val="0"/>
      <w:divBdr>
        <w:top w:val="none" w:sz="0" w:space="0" w:color="auto"/>
        <w:left w:val="none" w:sz="0" w:space="0" w:color="auto"/>
        <w:bottom w:val="none" w:sz="0" w:space="0" w:color="auto"/>
        <w:right w:val="none" w:sz="0" w:space="0" w:color="auto"/>
      </w:divBdr>
    </w:div>
    <w:div w:id="121312495">
      <w:bodyDiv w:val="1"/>
      <w:marLeft w:val="0"/>
      <w:marRight w:val="0"/>
      <w:marTop w:val="0"/>
      <w:marBottom w:val="0"/>
      <w:divBdr>
        <w:top w:val="none" w:sz="0" w:space="0" w:color="auto"/>
        <w:left w:val="none" w:sz="0" w:space="0" w:color="auto"/>
        <w:bottom w:val="none" w:sz="0" w:space="0" w:color="auto"/>
        <w:right w:val="none" w:sz="0" w:space="0" w:color="auto"/>
      </w:divBdr>
    </w:div>
    <w:div w:id="121653211">
      <w:bodyDiv w:val="1"/>
      <w:marLeft w:val="0"/>
      <w:marRight w:val="0"/>
      <w:marTop w:val="0"/>
      <w:marBottom w:val="0"/>
      <w:divBdr>
        <w:top w:val="none" w:sz="0" w:space="0" w:color="auto"/>
        <w:left w:val="none" w:sz="0" w:space="0" w:color="auto"/>
        <w:bottom w:val="none" w:sz="0" w:space="0" w:color="auto"/>
        <w:right w:val="none" w:sz="0" w:space="0" w:color="auto"/>
      </w:divBdr>
    </w:div>
    <w:div w:id="122159335">
      <w:bodyDiv w:val="1"/>
      <w:marLeft w:val="0"/>
      <w:marRight w:val="0"/>
      <w:marTop w:val="0"/>
      <w:marBottom w:val="0"/>
      <w:divBdr>
        <w:top w:val="none" w:sz="0" w:space="0" w:color="auto"/>
        <w:left w:val="none" w:sz="0" w:space="0" w:color="auto"/>
        <w:bottom w:val="none" w:sz="0" w:space="0" w:color="auto"/>
        <w:right w:val="none" w:sz="0" w:space="0" w:color="auto"/>
      </w:divBdr>
    </w:div>
    <w:div w:id="122430726">
      <w:bodyDiv w:val="1"/>
      <w:marLeft w:val="0"/>
      <w:marRight w:val="0"/>
      <w:marTop w:val="0"/>
      <w:marBottom w:val="0"/>
      <w:divBdr>
        <w:top w:val="none" w:sz="0" w:space="0" w:color="auto"/>
        <w:left w:val="none" w:sz="0" w:space="0" w:color="auto"/>
        <w:bottom w:val="none" w:sz="0" w:space="0" w:color="auto"/>
        <w:right w:val="none" w:sz="0" w:space="0" w:color="auto"/>
      </w:divBdr>
    </w:div>
    <w:div w:id="122582957">
      <w:bodyDiv w:val="1"/>
      <w:marLeft w:val="0"/>
      <w:marRight w:val="0"/>
      <w:marTop w:val="0"/>
      <w:marBottom w:val="0"/>
      <w:divBdr>
        <w:top w:val="none" w:sz="0" w:space="0" w:color="auto"/>
        <w:left w:val="none" w:sz="0" w:space="0" w:color="auto"/>
        <w:bottom w:val="none" w:sz="0" w:space="0" w:color="auto"/>
        <w:right w:val="none" w:sz="0" w:space="0" w:color="auto"/>
      </w:divBdr>
    </w:div>
    <w:div w:id="122820316">
      <w:bodyDiv w:val="1"/>
      <w:marLeft w:val="0"/>
      <w:marRight w:val="0"/>
      <w:marTop w:val="0"/>
      <w:marBottom w:val="0"/>
      <w:divBdr>
        <w:top w:val="none" w:sz="0" w:space="0" w:color="auto"/>
        <w:left w:val="none" w:sz="0" w:space="0" w:color="auto"/>
        <w:bottom w:val="none" w:sz="0" w:space="0" w:color="auto"/>
        <w:right w:val="none" w:sz="0" w:space="0" w:color="auto"/>
      </w:divBdr>
    </w:div>
    <w:div w:id="125197518">
      <w:bodyDiv w:val="1"/>
      <w:marLeft w:val="0"/>
      <w:marRight w:val="0"/>
      <w:marTop w:val="0"/>
      <w:marBottom w:val="0"/>
      <w:divBdr>
        <w:top w:val="none" w:sz="0" w:space="0" w:color="auto"/>
        <w:left w:val="none" w:sz="0" w:space="0" w:color="auto"/>
        <w:bottom w:val="none" w:sz="0" w:space="0" w:color="auto"/>
        <w:right w:val="none" w:sz="0" w:space="0" w:color="auto"/>
      </w:divBdr>
    </w:div>
    <w:div w:id="125592234">
      <w:bodyDiv w:val="1"/>
      <w:marLeft w:val="0"/>
      <w:marRight w:val="0"/>
      <w:marTop w:val="0"/>
      <w:marBottom w:val="0"/>
      <w:divBdr>
        <w:top w:val="none" w:sz="0" w:space="0" w:color="auto"/>
        <w:left w:val="none" w:sz="0" w:space="0" w:color="auto"/>
        <w:bottom w:val="none" w:sz="0" w:space="0" w:color="auto"/>
        <w:right w:val="none" w:sz="0" w:space="0" w:color="auto"/>
      </w:divBdr>
    </w:div>
    <w:div w:id="126241527">
      <w:bodyDiv w:val="1"/>
      <w:marLeft w:val="0"/>
      <w:marRight w:val="0"/>
      <w:marTop w:val="0"/>
      <w:marBottom w:val="0"/>
      <w:divBdr>
        <w:top w:val="none" w:sz="0" w:space="0" w:color="auto"/>
        <w:left w:val="none" w:sz="0" w:space="0" w:color="auto"/>
        <w:bottom w:val="none" w:sz="0" w:space="0" w:color="auto"/>
        <w:right w:val="none" w:sz="0" w:space="0" w:color="auto"/>
      </w:divBdr>
    </w:div>
    <w:div w:id="126244490">
      <w:bodyDiv w:val="1"/>
      <w:marLeft w:val="0"/>
      <w:marRight w:val="0"/>
      <w:marTop w:val="0"/>
      <w:marBottom w:val="0"/>
      <w:divBdr>
        <w:top w:val="none" w:sz="0" w:space="0" w:color="auto"/>
        <w:left w:val="none" w:sz="0" w:space="0" w:color="auto"/>
        <w:bottom w:val="none" w:sz="0" w:space="0" w:color="auto"/>
        <w:right w:val="none" w:sz="0" w:space="0" w:color="auto"/>
      </w:divBdr>
    </w:div>
    <w:div w:id="126553304">
      <w:bodyDiv w:val="1"/>
      <w:marLeft w:val="0"/>
      <w:marRight w:val="0"/>
      <w:marTop w:val="0"/>
      <w:marBottom w:val="0"/>
      <w:divBdr>
        <w:top w:val="none" w:sz="0" w:space="0" w:color="auto"/>
        <w:left w:val="none" w:sz="0" w:space="0" w:color="auto"/>
        <w:bottom w:val="none" w:sz="0" w:space="0" w:color="auto"/>
        <w:right w:val="none" w:sz="0" w:space="0" w:color="auto"/>
      </w:divBdr>
    </w:div>
    <w:div w:id="126630678">
      <w:bodyDiv w:val="1"/>
      <w:marLeft w:val="0"/>
      <w:marRight w:val="0"/>
      <w:marTop w:val="0"/>
      <w:marBottom w:val="0"/>
      <w:divBdr>
        <w:top w:val="none" w:sz="0" w:space="0" w:color="auto"/>
        <w:left w:val="none" w:sz="0" w:space="0" w:color="auto"/>
        <w:bottom w:val="none" w:sz="0" w:space="0" w:color="auto"/>
        <w:right w:val="none" w:sz="0" w:space="0" w:color="auto"/>
      </w:divBdr>
    </w:div>
    <w:div w:id="126631551">
      <w:bodyDiv w:val="1"/>
      <w:marLeft w:val="0"/>
      <w:marRight w:val="0"/>
      <w:marTop w:val="0"/>
      <w:marBottom w:val="0"/>
      <w:divBdr>
        <w:top w:val="none" w:sz="0" w:space="0" w:color="auto"/>
        <w:left w:val="none" w:sz="0" w:space="0" w:color="auto"/>
        <w:bottom w:val="none" w:sz="0" w:space="0" w:color="auto"/>
        <w:right w:val="none" w:sz="0" w:space="0" w:color="auto"/>
      </w:divBdr>
    </w:div>
    <w:div w:id="128134609">
      <w:bodyDiv w:val="1"/>
      <w:marLeft w:val="0"/>
      <w:marRight w:val="0"/>
      <w:marTop w:val="0"/>
      <w:marBottom w:val="0"/>
      <w:divBdr>
        <w:top w:val="none" w:sz="0" w:space="0" w:color="auto"/>
        <w:left w:val="none" w:sz="0" w:space="0" w:color="auto"/>
        <w:bottom w:val="none" w:sz="0" w:space="0" w:color="auto"/>
        <w:right w:val="none" w:sz="0" w:space="0" w:color="auto"/>
      </w:divBdr>
    </w:div>
    <w:div w:id="128981885">
      <w:bodyDiv w:val="1"/>
      <w:marLeft w:val="0"/>
      <w:marRight w:val="0"/>
      <w:marTop w:val="0"/>
      <w:marBottom w:val="0"/>
      <w:divBdr>
        <w:top w:val="none" w:sz="0" w:space="0" w:color="auto"/>
        <w:left w:val="none" w:sz="0" w:space="0" w:color="auto"/>
        <w:bottom w:val="none" w:sz="0" w:space="0" w:color="auto"/>
        <w:right w:val="none" w:sz="0" w:space="0" w:color="auto"/>
      </w:divBdr>
    </w:div>
    <w:div w:id="130100645">
      <w:bodyDiv w:val="1"/>
      <w:marLeft w:val="0"/>
      <w:marRight w:val="0"/>
      <w:marTop w:val="0"/>
      <w:marBottom w:val="0"/>
      <w:divBdr>
        <w:top w:val="none" w:sz="0" w:space="0" w:color="auto"/>
        <w:left w:val="none" w:sz="0" w:space="0" w:color="auto"/>
        <w:bottom w:val="none" w:sz="0" w:space="0" w:color="auto"/>
        <w:right w:val="none" w:sz="0" w:space="0" w:color="auto"/>
      </w:divBdr>
    </w:div>
    <w:div w:id="131794007">
      <w:bodyDiv w:val="1"/>
      <w:marLeft w:val="0"/>
      <w:marRight w:val="0"/>
      <w:marTop w:val="0"/>
      <w:marBottom w:val="0"/>
      <w:divBdr>
        <w:top w:val="none" w:sz="0" w:space="0" w:color="auto"/>
        <w:left w:val="none" w:sz="0" w:space="0" w:color="auto"/>
        <w:bottom w:val="none" w:sz="0" w:space="0" w:color="auto"/>
        <w:right w:val="none" w:sz="0" w:space="0" w:color="auto"/>
      </w:divBdr>
    </w:div>
    <w:div w:id="132720660">
      <w:bodyDiv w:val="1"/>
      <w:marLeft w:val="0"/>
      <w:marRight w:val="0"/>
      <w:marTop w:val="0"/>
      <w:marBottom w:val="0"/>
      <w:divBdr>
        <w:top w:val="none" w:sz="0" w:space="0" w:color="auto"/>
        <w:left w:val="none" w:sz="0" w:space="0" w:color="auto"/>
        <w:bottom w:val="none" w:sz="0" w:space="0" w:color="auto"/>
        <w:right w:val="none" w:sz="0" w:space="0" w:color="auto"/>
      </w:divBdr>
    </w:div>
    <w:div w:id="133453729">
      <w:bodyDiv w:val="1"/>
      <w:marLeft w:val="0"/>
      <w:marRight w:val="0"/>
      <w:marTop w:val="0"/>
      <w:marBottom w:val="0"/>
      <w:divBdr>
        <w:top w:val="none" w:sz="0" w:space="0" w:color="auto"/>
        <w:left w:val="none" w:sz="0" w:space="0" w:color="auto"/>
        <w:bottom w:val="none" w:sz="0" w:space="0" w:color="auto"/>
        <w:right w:val="none" w:sz="0" w:space="0" w:color="auto"/>
      </w:divBdr>
    </w:div>
    <w:div w:id="134837902">
      <w:bodyDiv w:val="1"/>
      <w:marLeft w:val="0"/>
      <w:marRight w:val="0"/>
      <w:marTop w:val="0"/>
      <w:marBottom w:val="0"/>
      <w:divBdr>
        <w:top w:val="none" w:sz="0" w:space="0" w:color="auto"/>
        <w:left w:val="none" w:sz="0" w:space="0" w:color="auto"/>
        <w:bottom w:val="none" w:sz="0" w:space="0" w:color="auto"/>
        <w:right w:val="none" w:sz="0" w:space="0" w:color="auto"/>
      </w:divBdr>
    </w:div>
    <w:div w:id="134950684">
      <w:bodyDiv w:val="1"/>
      <w:marLeft w:val="0"/>
      <w:marRight w:val="0"/>
      <w:marTop w:val="0"/>
      <w:marBottom w:val="0"/>
      <w:divBdr>
        <w:top w:val="none" w:sz="0" w:space="0" w:color="auto"/>
        <w:left w:val="none" w:sz="0" w:space="0" w:color="auto"/>
        <w:bottom w:val="none" w:sz="0" w:space="0" w:color="auto"/>
        <w:right w:val="none" w:sz="0" w:space="0" w:color="auto"/>
      </w:divBdr>
    </w:div>
    <w:div w:id="136000472">
      <w:bodyDiv w:val="1"/>
      <w:marLeft w:val="0"/>
      <w:marRight w:val="0"/>
      <w:marTop w:val="0"/>
      <w:marBottom w:val="0"/>
      <w:divBdr>
        <w:top w:val="none" w:sz="0" w:space="0" w:color="auto"/>
        <w:left w:val="none" w:sz="0" w:space="0" w:color="auto"/>
        <w:bottom w:val="none" w:sz="0" w:space="0" w:color="auto"/>
        <w:right w:val="none" w:sz="0" w:space="0" w:color="auto"/>
      </w:divBdr>
    </w:div>
    <w:div w:id="136340436">
      <w:bodyDiv w:val="1"/>
      <w:marLeft w:val="0"/>
      <w:marRight w:val="0"/>
      <w:marTop w:val="0"/>
      <w:marBottom w:val="0"/>
      <w:divBdr>
        <w:top w:val="none" w:sz="0" w:space="0" w:color="auto"/>
        <w:left w:val="none" w:sz="0" w:space="0" w:color="auto"/>
        <w:bottom w:val="none" w:sz="0" w:space="0" w:color="auto"/>
        <w:right w:val="none" w:sz="0" w:space="0" w:color="auto"/>
      </w:divBdr>
    </w:div>
    <w:div w:id="136723015">
      <w:bodyDiv w:val="1"/>
      <w:marLeft w:val="0"/>
      <w:marRight w:val="0"/>
      <w:marTop w:val="0"/>
      <w:marBottom w:val="0"/>
      <w:divBdr>
        <w:top w:val="none" w:sz="0" w:space="0" w:color="auto"/>
        <w:left w:val="none" w:sz="0" w:space="0" w:color="auto"/>
        <w:bottom w:val="none" w:sz="0" w:space="0" w:color="auto"/>
        <w:right w:val="none" w:sz="0" w:space="0" w:color="auto"/>
      </w:divBdr>
    </w:div>
    <w:div w:id="137844609">
      <w:bodyDiv w:val="1"/>
      <w:marLeft w:val="0"/>
      <w:marRight w:val="0"/>
      <w:marTop w:val="0"/>
      <w:marBottom w:val="0"/>
      <w:divBdr>
        <w:top w:val="none" w:sz="0" w:space="0" w:color="auto"/>
        <w:left w:val="none" w:sz="0" w:space="0" w:color="auto"/>
        <w:bottom w:val="none" w:sz="0" w:space="0" w:color="auto"/>
        <w:right w:val="none" w:sz="0" w:space="0" w:color="auto"/>
      </w:divBdr>
    </w:div>
    <w:div w:id="140082920">
      <w:bodyDiv w:val="1"/>
      <w:marLeft w:val="0"/>
      <w:marRight w:val="0"/>
      <w:marTop w:val="0"/>
      <w:marBottom w:val="0"/>
      <w:divBdr>
        <w:top w:val="none" w:sz="0" w:space="0" w:color="auto"/>
        <w:left w:val="none" w:sz="0" w:space="0" w:color="auto"/>
        <w:bottom w:val="none" w:sz="0" w:space="0" w:color="auto"/>
        <w:right w:val="none" w:sz="0" w:space="0" w:color="auto"/>
      </w:divBdr>
    </w:div>
    <w:div w:id="140736968">
      <w:bodyDiv w:val="1"/>
      <w:marLeft w:val="0"/>
      <w:marRight w:val="0"/>
      <w:marTop w:val="0"/>
      <w:marBottom w:val="0"/>
      <w:divBdr>
        <w:top w:val="none" w:sz="0" w:space="0" w:color="auto"/>
        <w:left w:val="none" w:sz="0" w:space="0" w:color="auto"/>
        <w:bottom w:val="none" w:sz="0" w:space="0" w:color="auto"/>
        <w:right w:val="none" w:sz="0" w:space="0" w:color="auto"/>
      </w:divBdr>
    </w:div>
    <w:div w:id="140972668">
      <w:bodyDiv w:val="1"/>
      <w:marLeft w:val="0"/>
      <w:marRight w:val="0"/>
      <w:marTop w:val="0"/>
      <w:marBottom w:val="0"/>
      <w:divBdr>
        <w:top w:val="none" w:sz="0" w:space="0" w:color="auto"/>
        <w:left w:val="none" w:sz="0" w:space="0" w:color="auto"/>
        <w:bottom w:val="none" w:sz="0" w:space="0" w:color="auto"/>
        <w:right w:val="none" w:sz="0" w:space="0" w:color="auto"/>
      </w:divBdr>
    </w:div>
    <w:div w:id="141119889">
      <w:bodyDiv w:val="1"/>
      <w:marLeft w:val="0"/>
      <w:marRight w:val="0"/>
      <w:marTop w:val="0"/>
      <w:marBottom w:val="0"/>
      <w:divBdr>
        <w:top w:val="none" w:sz="0" w:space="0" w:color="auto"/>
        <w:left w:val="none" w:sz="0" w:space="0" w:color="auto"/>
        <w:bottom w:val="none" w:sz="0" w:space="0" w:color="auto"/>
        <w:right w:val="none" w:sz="0" w:space="0" w:color="auto"/>
      </w:divBdr>
    </w:div>
    <w:div w:id="141774603">
      <w:bodyDiv w:val="1"/>
      <w:marLeft w:val="0"/>
      <w:marRight w:val="0"/>
      <w:marTop w:val="0"/>
      <w:marBottom w:val="0"/>
      <w:divBdr>
        <w:top w:val="none" w:sz="0" w:space="0" w:color="auto"/>
        <w:left w:val="none" w:sz="0" w:space="0" w:color="auto"/>
        <w:bottom w:val="none" w:sz="0" w:space="0" w:color="auto"/>
        <w:right w:val="none" w:sz="0" w:space="0" w:color="auto"/>
      </w:divBdr>
    </w:div>
    <w:div w:id="142159910">
      <w:bodyDiv w:val="1"/>
      <w:marLeft w:val="0"/>
      <w:marRight w:val="0"/>
      <w:marTop w:val="0"/>
      <w:marBottom w:val="0"/>
      <w:divBdr>
        <w:top w:val="none" w:sz="0" w:space="0" w:color="auto"/>
        <w:left w:val="none" w:sz="0" w:space="0" w:color="auto"/>
        <w:bottom w:val="none" w:sz="0" w:space="0" w:color="auto"/>
        <w:right w:val="none" w:sz="0" w:space="0" w:color="auto"/>
      </w:divBdr>
    </w:div>
    <w:div w:id="144204271">
      <w:bodyDiv w:val="1"/>
      <w:marLeft w:val="0"/>
      <w:marRight w:val="0"/>
      <w:marTop w:val="0"/>
      <w:marBottom w:val="0"/>
      <w:divBdr>
        <w:top w:val="none" w:sz="0" w:space="0" w:color="auto"/>
        <w:left w:val="none" w:sz="0" w:space="0" w:color="auto"/>
        <w:bottom w:val="none" w:sz="0" w:space="0" w:color="auto"/>
        <w:right w:val="none" w:sz="0" w:space="0" w:color="auto"/>
      </w:divBdr>
    </w:div>
    <w:div w:id="144666267">
      <w:bodyDiv w:val="1"/>
      <w:marLeft w:val="0"/>
      <w:marRight w:val="0"/>
      <w:marTop w:val="0"/>
      <w:marBottom w:val="0"/>
      <w:divBdr>
        <w:top w:val="none" w:sz="0" w:space="0" w:color="auto"/>
        <w:left w:val="none" w:sz="0" w:space="0" w:color="auto"/>
        <w:bottom w:val="none" w:sz="0" w:space="0" w:color="auto"/>
        <w:right w:val="none" w:sz="0" w:space="0" w:color="auto"/>
      </w:divBdr>
    </w:div>
    <w:div w:id="146481566">
      <w:bodyDiv w:val="1"/>
      <w:marLeft w:val="0"/>
      <w:marRight w:val="0"/>
      <w:marTop w:val="0"/>
      <w:marBottom w:val="0"/>
      <w:divBdr>
        <w:top w:val="none" w:sz="0" w:space="0" w:color="auto"/>
        <w:left w:val="none" w:sz="0" w:space="0" w:color="auto"/>
        <w:bottom w:val="none" w:sz="0" w:space="0" w:color="auto"/>
        <w:right w:val="none" w:sz="0" w:space="0" w:color="auto"/>
      </w:divBdr>
    </w:div>
    <w:div w:id="146827100">
      <w:bodyDiv w:val="1"/>
      <w:marLeft w:val="0"/>
      <w:marRight w:val="0"/>
      <w:marTop w:val="0"/>
      <w:marBottom w:val="0"/>
      <w:divBdr>
        <w:top w:val="none" w:sz="0" w:space="0" w:color="auto"/>
        <w:left w:val="none" w:sz="0" w:space="0" w:color="auto"/>
        <w:bottom w:val="none" w:sz="0" w:space="0" w:color="auto"/>
        <w:right w:val="none" w:sz="0" w:space="0" w:color="auto"/>
      </w:divBdr>
    </w:div>
    <w:div w:id="146868771">
      <w:bodyDiv w:val="1"/>
      <w:marLeft w:val="0"/>
      <w:marRight w:val="0"/>
      <w:marTop w:val="0"/>
      <w:marBottom w:val="0"/>
      <w:divBdr>
        <w:top w:val="none" w:sz="0" w:space="0" w:color="auto"/>
        <w:left w:val="none" w:sz="0" w:space="0" w:color="auto"/>
        <w:bottom w:val="none" w:sz="0" w:space="0" w:color="auto"/>
        <w:right w:val="none" w:sz="0" w:space="0" w:color="auto"/>
      </w:divBdr>
    </w:div>
    <w:div w:id="147332443">
      <w:bodyDiv w:val="1"/>
      <w:marLeft w:val="0"/>
      <w:marRight w:val="0"/>
      <w:marTop w:val="0"/>
      <w:marBottom w:val="0"/>
      <w:divBdr>
        <w:top w:val="none" w:sz="0" w:space="0" w:color="auto"/>
        <w:left w:val="none" w:sz="0" w:space="0" w:color="auto"/>
        <w:bottom w:val="none" w:sz="0" w:space="0" w:color="auto"/>
        <w:right w:val="none" w:sz="0" w:space="0" w:color="auto"/>
      </w:divBdr>
    </w:div>
    <w:div w:id="147524196">
      <w:bodyDiv w:val="1"/>
      <w:marLeft w:val="0"/>
      <w:marRight w:val="0"/>
      <w:marTop w:val="0"/>
      <w:marBottom w:val="0"/>
      <w:divBdr>
        <w:top w:val="none" w:sz="0" w:space="0" w:color="auto"/>
        <w:left w:val="none" w:sz="0" w:space="0" w:color="auto"/>
        <w:bottom w:val="none" w:sz="0" w:space="0" w:color="auto"/>
        <w:right w:val="none" w:sz="0" w:space="0" w:color="auto"/>
      </w:divBdr>
    </w:div>
    <w:div w:id="147525930">
      <w:bodyDiv w:val="1"/>
      <w:marLeft w:val="0"/>
      <w:marRight w:val="0"/>
      <w:marTop w:val="0"/>
      <w:marBottom w:val="0"/>
      <w:divBdr>
        <w:top w:val="none" w:sz="0" w:space="0" w:color="auto"/>
        <w:left w:val="none" w:sz="0" w:space="0" w:color="auto"/>
        <w:bottom w:val="none" w:sz="0" w:space="0" w:color="auto"/>
        <w:right w:val="none" w:sz="0" w:space="0" w:color="auto"/>
      </w:divBdr>
    </w:div>
    <w:div w:id="149563822">
      <w:bodyDiv w:val="1"/>
      <w:marLeft w:val="0"/>
      <w:marRight w:val="0"/>
      <w:marTop w:val="0"/>
      <w:marBottom w:val="0"/>
      <w:divBdr>
        <w:top w:val="none" w:sz="0" w:space="0" w:color="auto"/>
        <w:left w:val="none" w:sz="0" w:space="0" w:color="auto"/>
        <w:bottom w:val="none" w:sz="0" w:space="0" w:color="auto"/>
        <w:right w:val="none" w:sz="0" w:space="0" w:color="auto"/>
      </w:divBdr>
    </w:div>
    <w:div w:id="149636095">
      <w:bodyDiv w:val="1"/>
      <w:marLeft w:val="0"/>
      <w:marRight w:val="0"/>
      <w:marTop w:val="0"/>
      <w:marBottom w:val="0"/>
      <w:divBdr>
        <w:top w:val="none" w:sz="0" w:space="0" w:color="auto"/>
        <w:left w:val="none" w:sz="0" w:space="0" w:color="auto"/>
        <w:bottom w:val="none" w:sz="0" w:space="0" w:color="auto"/>
        <w:right w:val="none" w:sz="0" w:space="0" w:color="auto"/>
      </w:divBdr>
    </w:div>
    <w:div w:id="149716251">
      <w:bodyDiv w:val="1"/>
      <w:marLeft w:val="0"/>
      <w:marRight w:val="0"/>
      <w:marTop w:val="0"/>
      <w:marBottom w:val="0"/>
      <w:divBdr>
        <w:top w:val="none" w:sz="0" w:space="0" w:color="auto"/>
        <w:left w:val="none" w:sz="0" w:space="0" w:color="auto"/>
        <w:bottom w:val="none" w:sz="0" w:space="0" w:color="auto"/>
        <w:right w:val="none" w:sz="0" w:space="0" w:color="auto"/>
      </w:divBdr>
    </w:div>
    <w:div w:id="150409579">
      <w:bodyDiv w:val="1"/>
      <w:marLeft w:val="0"/>
      <w:marRight w:val="0"/>
      <w:marTop w:val="0"/>
      <w:marBottom w:val="0"/>
      <w:divBdr>
        <w:top w:val="none" w:sz="0" w:space="0" w:color="auto"/>
        <w:left w:val="none" w:sz="0" w:space="0" w:color="auto"/>
        <w:bottom w:val="none" w:sz="0" w:space="0" w:color="auto"/>
        <w:right w:val="none" w:sz="0" w:space="0" w:color="auto"/>
      </w:divBdr>
    </w:div>
    <w:div w:id="150610323">
      <w:bodyDiv w:val="1"/>
      <w:marLeft w:val="0"/>
      <w:marRight w:val="0"/>
      <w:marTop w:val="0"/>
      <w:marBottom w:val="0"/>
      <w:divBdr>
        <w:top w:val="none" w:sz="0" w:space="0" w:color="auto"/>
        <w:left w:val="none" w:sz="0" w:space="0" w:color="auto"/>
        <w:bottom w:val="none" w:sz="0" w:space="0" w:color="auto"/>
        <w:right w:val="none" w:sz="0" w:space="0" w:color="auto"/>
      </w:divBdr>
    </w:div>
    <w:div w:id="151607738">
      <w:bodyDiv w:val="1"/>
      <w:marLeft w:val="0"/>
      <w:marRight w:val="0"/>
      <w:marTop w:val="0"/>
      <w:marBottom w:val="0"/>
      <w:divBdr>
        <w:top w:val="none" w:sz="0" w:space="0" w:color="auto"/>
        <w:left w:val="none" w:sz="0" w:space="0" w:color="auto"/>
        <w:bottom w:val="none" w:sz="0" w:space="0" w:color="auto"/>
        <w:right w:val="none" w:sz="0" w:space="0" w:color="auto"/>
      </w:divBdr>
    </w:div>
    <w:div w:id="151676824">
      <w:bodyDiv w:val="1"/>
      <w:marLeft w:val="0"/>
      <w:marRight w:val="0"/>
      <w:marTop w:val="0"/>
      <w:marBottom w:val="0"/>
      <w:divBdr>
        <w:top w:val="none" w:sz="0" w:space="0" w:color="auto"/>
        <w:left w:val="none" w:sz="0" w:space="0" w:color="auto"/>
        <w:bottom w:val="none" w:sz="0" w:space="0" w:color="auto"/>
        <w:right w:val="none" w:sz="0" w:space="0" w:color="auto"/>
      </w:divBdr>
    </w:div>
    <w:div w:id="152843805">
      <w:bodyDiv w:val="1"/>
      <w:marLeft w:val="0"/>
      <w:marRight w:val="0"/>
      <w:marTop w:val="0"/>
      <w:marBottom w:val="0"/>
      <w:divBdr>
        <w:top w:val="none" w:sz="0" w:space="0" w:color="auto"/>
        <w:left w:val="none" w:sz="0" w:space="0" w:color="auto"/>
        <w:bottom w:val="none" w:sz="0" w:space="0" w:color="auto"/>
        <w:right w:val="none" w:sz="0" w:space="0" w:color="auto"/>
      </w:divBdr>
    </w:div>
    <w:div w:id="153882378">
      <w:bodyDiv w:val="1"/>
      <w:marLeft w:val="0"/>
      <w:marRight w:val="0"/>
      <w:marTop w:val="0"/>
      <w:marBottom w:val="0"/>
      <w:divBdr>
        <w:top w:val="none" w:sz="0" w:space="0" w:color="auto"/>
        <w:left w:val="none" w:sz="0" w:space="0" w:color="auto"/>
        <w:bottom w:val="none" w:sz="0" w:space="0" w:color="auto"/>
        <w:right w:val="none" w:sz="0" w:space="0" w:color="auto"/>
      </w:divBdr>
    </w:div>
    <w:div w:id="153910176">
      <w:bodyDiv w:val="1"/>
      <w:marLeft w:val="0"/>
      <w:marRight w:val="0"/>
      <w:marTop w:val="0"/>
      <w:marBottom w:val="0"/>
      <w:divBdr>
        <w:top w:val="none" w:sz="0" w:space="0" w:color="auto"/>
        <w:left w:val="none" w:sz="0" w:space="0" w:color="auto"/>
        <w:bottom w:val="none" w:sz="0" w:space="0" w:color="auto"/>
        <w:right w:val="none" w:sz="0" w:space="0" w:color="auto"/>
      </w:divBdr>
    </w:div>
    <w:div w:id="154227145">
      <w:bodyDiv w:val="1"/>
      <w:marLeft w:val="0"/>
      <w:marRight w:val="0"/>
      <w:marTop w:val="0"/>
      <w:marBottom w:val="0"/>
      <w:divBdr>
        <w:top w:val="none" w:sz="0" w:space="0" w:color="auto"/>
        <w:left w:val="none" w:sz="0" w:space="0" w:color="auto"/>
        <w:bottom w:val="none" w:sz="0" w:space="0" w:color="auto"/>
        <w:right w:val="none" w:sz="0" w:space="0" w:color="auto"/>
      </w:divBdr>
    </w:div>
    <w:div w:id="154541505">
      <w:bodyDiv w:val="1"/>
      <w:marLeft w:val="0"/>
      <w:marRight w:val="0"/>
      <w:marTop w:val="0"/>
      <w:marBottom w:val="0"/>
      <w:divBdr>
        <w:top w:val="none" w:sz="0" w:space="0" w:color="auto"/>
        <w:left w:val="none" w:sz="0" w:space="0" w:color="auto"/>
        <w:bottom w:val="none" w:sz="0" w:space="0" w:color="auto"/>
        <w:right w:val="none" w:sz="0" w:space="0" w:color="auto"/>
      </w:divBdr>
    </w:div>
    <w:div w:id="155190227">
      <w:bodyDiv w:val="1"/>
      <w:marLeft w:val="0"/>
      <w:marRight w:val="0"/>
      <w:marTop w:val="0"/>
      <w:marBottom w:val="0"/>
      <w:divBdr>
        <w:top w:val="none" w:sz="0" w:space="0" w:color="auto"/>
        <w:left w:val="none" w:sz="0" w:space="0" w:color="auto"/>
        <w:bottom w:val="none" w:sz="0" w:space="0" w:color="auto"/>
        <w:right w:val="none" w:sz="0" w:space="0" w:color="auto"/>
      </w:divBdr>
    </w:div>
    <w:div w:id="155221045">
      <w:bodyDiv w:val="1"/>
      <w:marLeft w:val="0"/>
      <w:marRight w:val="0"/>
      <w:marTop w:val="0"/>
      <w:marBottom w:val="0"/>
      <w:divBdr>
        <w:top w:val="none" w:sz="0" w:space="0" w:color="auto"/>
        <w:left w:val="none" w:sz="0" w:space="0" w:color="auto"/>
        <w:bottom w:val="none" w:sz="0" w:space="0" w:color="auto"/>
        <w:right w:val="none" w:sz="0" w:space="0" w:color="auto"/>
      </w:divBdr>
    </w:div>
    <w:div w:id="156043595">
      <w:bodyDiv w:val="1"/>
      <w:marLeft w:val="0"/>
      <w:marRight w:val="0"/>
      <w:marTop w:val="0"/>
      <w:marBottom w:val="0"/>
      <w:divBdr>
        <w:top w:val="none" w:sz="0" w:space="0" w:color="auto"/>
        <w:left w:val="none" w:sz="0" w:space="0" w:color="auto"/>
        <w:bottom w:val="none" w:sz="0" w:space="0" w:color="auto"/>
        <w:right w:val="none" w:sz="0" w:space="0" w:color="auto"/>
      </w:divBdr>
    </w:div>
    <w:div w:id="156729026">
      <w:bodyDiv w:val="1"/>
      <w:marLeft w:val="0"/>
      <w:marRight w:val="0"/>
      <w:marTop w:val="0"/>
      <w:marBottom w:val="0"/>
      <w:divBdr>
        <w:top w:val="none" w:sz="0" w:space="0" w:color="auto"/>
        <w:left w:val="none" w:sz="0" w:space="0" w:color="auto"/>
        <w:bottom w:val="none" w:sz="0" w:space="0" w:color="auto"/>
        <w:right w:val="none" w:sz="0" w:space="0" w:color="auto"/>
      </w:divBdr>
    </w:div>
    <w:div w:id="157040469">
      <w:bodyDiv w:val="1"/>
      <w:marLeft w:val="0"/>
      <w:marRight w:val="0"/>
      <w:marTop w:val="0"/>
      <w:marBottom w:val="0"/>
      <w:divBdr>
        <w:top w:val="none" w:sz="0" w:space="0" w:color="auto"/>
        <w:left w:val="none" w:sz="0" w:space="0" w:color="auto"/>
        <w:bottom w:val="none" w:sz="0" w:space="0" w:color="auto"/>
        <w:right w:val="none" w:sz="0" w:space="0" w:color="auto"/>
      </w:divBdr>
    </w:div>
    <w:div w:id="157768160">
      <w:bodyDiv w:val="1"/>
      <w:marLeft w:val="0"/>
      <w:marRight w:val="0"/>
      <w:marTop w:val="0"/>
      <w:marBottom w:val="0"/>
      <w:divBdr>
        <w:top w:val="none" w:sz="0" w:space="0" w:color="auto"/>
        <w:left w:val="none" w:sz="0" w:space="0" w:color="auto"/>
        <w:bottom w:val="none" w:sz="0" w:space="0" w:color="auto"/>
        <w:right w:val="none" w:sz="0" w:space="0" w:color="auto"/>
      </w:divBdr>
    </w:div>
    <w:div w:id="158233504">
      <w:bodyDiv w:val="1"/>
      <w:marLeft w:val="0"/>
      <w:marRight w:val="0"/>
      <w:marTop w:val="0"/>
      <w:marBottom w:val="0"/>
      <w:divBdr>
        <w:top w:val="none" w:sz="0" w:space="0" w:color="auto"/>
        <w:left w:val="none" w:sz="0" w:space="0" w:color="auto"/>
        <w:bottom w:val="none" w:sz="0" w:space="0" w:color="auto"/>
        <w:right w:val="none" w:sz="0" w:space="0" w:color="auto"/>
      </w:divBdr>
    </w:div>
    <w:div w:id="158617989">
      <w:bodyDiv w:val="1"/>
      <w:marLeft w:val="0"/>
      <w:marRight w:val="0"/>
      <w:marTop w:val="0"/>
      <w:marBottom w:val="0"/>
      <w:divBdr>
        <w:top w:val="none" w:sz="0" w:space="0" w:color="auto"/>
        <w:left w:val="none" w:sz="0" w:space="0" w:color="auto"/>
        <w:bottom w:val="none" w:sz="0" w:space="0" w:color="auto"/>
        <w:right w:val="none" w:sz="0" w:space="0" w:color="auto"/>
      </w:divBdr>
    </w:div>
    <w:div w:id="158618931">
      <w:bodyDiv w:val="1"/>
      <w:marLeft w:val="0"/>
      <w:marRight w:val="0"/>
      <w:marTop w:val="0"/>
      <w:marBottom w:val="0"/>
      <w:divBdr>
        <w:top w:val="none" w:sz="0" w:space="0" w:color="auto"/>
        <w:left w:val="none" w:sz="0" w:space="0" w:color="auto"/>
        <w:bottom w:val="none" w:sz="0" w:space="0" w:color="auto"/>
        <w:right w:val="none" w:sz="0" w:space="0" w:color="auto"/>
      </w:divBdr>
    </w:div>
    <w:div w:id="158733047">
      <w:bodyDiv w:val="1"/>
      <w:marLeft w:val="0"/>
      <w:marRight w:val="0"/>
      <w:marTop w:val="0"/>
      <w:marBottom w:val="0"/>
      <w:divBdr>
        <w:top w:val="none" w:sz="0" w:space="0" w:color="auto"/>
        <w:left w:val="none" w:sz="0" w:space="0" w:color="auto"/>
        <w:bottom w:val="none" w:sz="0" w:space="0" w:color="auto"/>
        <w:right w:val="none" w:sz="0" w:space="0" w:color="auto"/>
      </w:divBdr>
    </w:div>
    <w:div w:id="159471151">
      <w:bodyDiv w:val="1"/>
      <w:marLeft w:val="0"/>
      <w:marRight w:val="0"/>
      <w:marTop w:val="0"/>
      <w:marBottom w:val="0"/>
      <w:divBdr>
        <w:top w:val="none" w:sz="0" w:space="0" w:color="auto"/>
        <w:left w:val="none" w:sz="0" w:space="0" w:color="auto"/>
        <w:bottom w:val="none" w:sz="0" w:space="0" w:color="auto"/>
        <w:right w:val="none" w:sz="0" w:space="0" w:color="auto"/>
      </w:divBdr>
    </w:div>
    <w:div w:id="161510629">
      <w:bodyDiv w:val="1"/>
      <w:marLeft w:val="0"/>
      <w:marRight w:val="0"/>
      <w:marTop w:val="0"/>
      <w:marBottom w:val="0"/>
      <w:divBdr>
        <w:top w:val="none" w:sz="0" w:space="0" w:color="auto"/>
        <w:left w:val="none" w:sz="0" w:space="0" w:color="auto"/>
        <w:bottom w:val="none" w:sz="0" w:space="0" w:color="auto"/>
        <w:right w:val="none" w:sz="0" w:space="0" w:color="auto"/>
      </w:divBdr>
    </w:div>
    <w:div w:id="161512097">
      <w:bodyDiv w:val="1"/>
      <w:marLeft w:val="0"/>
      <w:marRight w:val="0"/>
      <w:marTop w:val="0"/>
      <w:marBottom w:val="0"/>
      <w:divBdr>
        <w:top w:val="none" w:sz="0" w:space="0" w:color="auto"/>
        <w:left w:val="none" w:sz="0" w:space="0" w:color="auto"/>
        <w:bottom w:val="none" w:sz="0" w:space="0" w:color="auto"/>
        <w:right w:val="none" w:sz="0" w:space="0" w:color="auto"/>
      </w:divBdr>
    </w:div>
    <w:div w:id="164319820">
      <w:bodyDiv w:val="1"/>
      <w:marLeft w:val="0"/>
      <w:marRight w:val="0"/>
      <w:marTop w:val="0"/>
      <w:marBottom w:val="0"/>
      <w:divBdr>
        <w:top w:val="none" w:sz="0" w:space="0" w:color="auto"/>
        <w:left w:val="none" w:sz="0" w:space="0" w:color="auto"/>
        <w:bottom w:val="none" w:sz="0" w:space="0" w:color="auto"/>
        <w:right w:val="none" w:sz="0" w:space="0" w:color="auto"/>
      </w:divBdr>
    </w:div>
    <w:div w:id="164589077">
      <w:bodyDiv w:val="1"/>
      <w:marLeft w:val="0"/>
      <w:marRight w:val="0"/>
      <w:marTop w:val="0"/>
      <w:marBottom w:val="0"/>
      <w:divBdr>
        <w:top w:val="none" w:sz="0" w:space="0" w:color="auto"/>
        <w:left w:val="none" w:sz="0" w:space="0" w:color="auto"/>
        <w:bottom w:val="none" w:sz="0" w:space="0" w:color="auto"/>
        <w:right w:val="none" w:sz="0" w:space="0" w:color="auto"/>
      </w:divBdr>
    </w:div>
    <w:div w:id="165941204">
      <w:bodyDiv w:val="1"/>
      <w:marLeft w:val="0"/>
      <w:marRight w:val="0"/>
      <w:marTop w:val="0"/>
      <w:marBottom w:val="0"/>
      <w:divBdr>
        <w:top w:val="none" w:sz="0" w:space="0" w:color="auto"/>
        <w:left w:val="none" w:sz="0" w:space="0" w:color="auto"/>
        <w:bottom w:val="none" w:sz="0" w:space="0" w:color="auto"/>
        <w:right w:val="none" w:sz="0" w:space="0" w:color="auto"/>
      </w:divBdr>
    </w:div>
    <w:div w:id="166942249">
      <w:bodyDiv w:val="1"/>
      <w:marLeft w:val="0"/>
      <w:marRight w:val="0"/>
      <w:marTop w:val="0"/>
      <w:marBottom w:val="0"/>
      <w:divBdr>
        <w:top w:val="none" w:sz="0" w:space="0" w:color="auto"/>
        <w:left w:val="none" w:sz="0" w:space="0" w:color="auto"/>
        <w:bottom w:val="none" w:sz="0" w:space="0" w:color="auto"/>
        <w:right w:val="none" w:sz="0" w:space="0" w:color="auto"/>
      </w:divBdr>
    </w:div>
    <w:div w:id="168179771">
      <w:bodyDiv w:val="1"/>
      <w:marLeft w:val="0"/>
      <w:marRight w:val="0"/>
      <w:marTop w:val="0"/>
      <w:marBottom w:val="0"/>
      <w:divBdr>
        <w:top w:val="none" w:sz="0" w:space="0" w:color="auto"/>
        <w:left w:val="none" w:sz="0" w:space="0" w:color="auto"/>
        <w:bottom w:val="none" w:sz="0" w:space="0" w:color="auto"/>
        <w:right w:val="none" w:sz="0" w:space="0" w:color="auto"/>
      </w:divBdr>
    </w:div>
    <w:div w:id="168257795">
      <w:bodyDiv w:val="1"/>
      <w:marLeft w:val="0"/>
      <w:marRight w:val="0"/>
      <w:marTop w:val="0"/>
      <w:marBottom w:val="0"/>
      <w:divBdr>
        <w:top w:val="none" w:sz="0" w:space="0" w:color="auto"/>
        <w:left w:val="none" w:sz="0" w:space="0" w:color="auto"/>
        <w:bottom w:val="none" w:sz="0" w:space="0" w:color="auto"/>
        <w:right w:val="none" w:sz="0" w:space="0" w:color="auto"/>
      </w:divBdr>
    </w:div>
    <w:div w:id="168375151">
      <w:bodyDiv w:val="1"/>
      <w:marLeft w:val="0"/>
      <w:marRight w:val="0"/>
      <w:marTop w:val="0"/>
      <w:marBottom w:val="0"/>
      <w:divBdr>
        <w:top w:val="none" w:sz="0" w:space="0" w:color="auto"/>
        <w:left w:val="none" w:sz="0" w:space="0" w:color="auto"/>
        <w:bottom w:val="none" w:sz="0" w:space="0" w:color="auto"/>
        <w:right w:val="none" w:sz="0" w:space="0" w:color="auto"/>
      </w:divBdr>
    </w:div>
    <w:div w:id="168715491">
      <w:bodyDiv w:val="1"/>
      <w:marLeft w:val="0"/>
      <w:marRight w:val="0"/>
      <w:marTop w:val="0"/>
      <w:marBottom w:val="0"/>
      <w:divBdr>
        <w:top w:val="none" w:sz="0" w:space="0" w:color="auto"/>
        <w:left w:val="none" w:sz="0" w:space="0" w:color="auto"/>
        <w:bottom w:val="none" w:sz="0" w:space="0" w:color="auto"/>
        <w:right w:val="none" w:sz="0" w:space="0" w:color="auto"/>
      </w:divBdr>
    </w:div>
    <w:div w:id="168955395">
      <w:bodyDiv w:val="1"/>
      <w:marLeft w:val="0"/>
      <w:marRight w:val="0"/>
      <w:marTop w:val="0"/>
      <w:marBottom w:val="0"/>
      <w:divBdr>
        <w:top w:val="none" w:sz="0" w:space="0" w:color="auto"/>
        <w:left w:val="none" w:sz="0" w:space="0" w:color="auto"/>
        <w:bottom w:val="none" w:sz="0" w:space="0" w:color="auto"/>
        <w:right w:val="none" w:sz="0" w:space="0" w:color="auto"/>
      </w:divBdr>
    </w:div>
    <w:div w:id="169756265">
      <w:bodyDiv w:val="1"/>
      <w:marLeft w:val="0"/>
      <w:marRight w:val="0"/>
      <w:marTop w:val="0"/>
      <w:marBottom w:val="0"/>
      <w:divBdr>
        <w:top w:val="none" w:sz="0" w:space="0" w:color="auto"/>
        <w:left w:val="none" w:sz="0" w:space="0" w:color="auto"/>
        <w:bottom w:val="none" w:sz="0" w:space="0" w:color="auto"/>
        <w:right w:val="none" w:sz="0" w:space="0" w:color="auto"/>
      </w:divBdr>
    </w:div>
    <w:div w:id="170608442">
      <w:bodyDiv w:val="1"/>
      <w:marLeft w:val="0"/>
      <w:marRight w:val="0"/>
      <w:marTop w:val="0"/>
      <w:marBottom w:val="0"/>
      <w:divBdr>
        <w:top w:val="none" w:sz="0" w:space="0" w:color="auto"/>
        <w:left w:val="none" w:sz="0" w:space="0" w:color="auto"/>
        <w:bottom w:val="none" w:sz="0" w:space="0" w:color="auto"/>
        <w:right w:val="none" w:sz="0" w:space="0" w:color="auto"/>
      </w:divBdr>
    </w:div>
    <w:div w:id="172037381">
      <w:bodyDiv w:val="1"/>
      <w:marLeft w:val="0"/>
      <w:marRight w:val="0"/>
      <w:marTop w:val="0"/>
      <w:marBottom w:val="0"/>
      <w:divBdr>
        <w:top w:val="none" w:sz="0" w:space="0" w:color="auto"/>
        <w:left w:val="none" w:sz="0" w:space="0" w:color="auto"/>
        <w:bottom w:val="none" w:sz="0" w:space="0" w:color="auto"/>
        <w:right w:val="none" w:sz="0" w:space="0" w:color="auto"/>
      </w:divBdr>
    </w:div>
    <w:div w:id="172188848">
      <w:bodyDiv w:val="1"/>
      <w:marLeft w:val="0"/>
      <w:marRight w:val="0"/>
      <w:marTop w:val="0"/>
      <w:marBottom w:val="0"/>
      <w:divBdr>
        <w:top w:val="none" w:sz="0" w:space="0" w:color="auto"/>
        <w:left w:val="none" w:sz="0" w:space="0" w:color="auto"/>
        <w:bottom w:val="none" w:sz="0" w:space="0" w:color="auto"/>
        <w:right w:val="none" w:sz="0" w:space="0" w:color="auto"/>
      </w:divBdr>
    </w:div>
    <w:div w:id="172305734">
      <w:bodyDiv w:val="1"/>
      <w:marLeft w:val="0"/>
      <w:marRight w:val="0"/>
      <w:marTop w:val="0"/>
      <w:marBottom w:val="0"/>
      <w:divBdr>
        <w:top w:val="none" w:sz="0" w:space="0" w:color="auto"/>
        <w:left w:val="none" w:sz="0" w:space="0" w:color="auto"/>
        <w:bottom w:val="none" w:sz="0" w:space="0" w:color="auto"/>
        <w:right w:val="none" w:sz="0" w:space="0" w:color="auto"/>
      </w:divBdr>
    </w:div>
    <w:div w:id="172689612">
      <w:bodyDiv w:val="1"/>
      <w:marLeft w:val="0"/>
      <w:marRight w:val="0"/>
      <w:marTop w:val="0"/>
      <w:marBottom w:val="0"/>
      <w:divBdr>
        <w:top w:val="none" w:sz="0" w:space="0" w:color="auto"/>
        <w:left w:val="none" w:sz="0" w:space="0" w:color="auto"/>
        <w:bottom w:val="none" w:sz="0" w:space="0" w:color="auto"/>
        <w:right w:val="none" w:sz="0" w:space="0" w:color="auto"/>
      </w:divBdr>
    </w:div>
    <w:div w:id="174661588">
      <w:bodyDiv w:val="1"/>
      <w:marLeft w:val="0"/>
      <w:marRight w:val="0"/>
      <w:marTop w:val="0"/>
      <w:marBottom w:val="0"/>
      <w:divBdr>
        <w:top w:val="none" w:sz="0" w:space="0" w:color="auto"/>
        <w:left w:val="none" w:sz="0" w:space="0" w:color="auto"/>
        <w:bottom w:val="none" w:sz="0" w:space="0" w:color="auto"/>
        <w:right w:val="none" w:sz="0" w:space="0" w:color="auto"/>
      </w:divBdr>
    </w:div>
    <w:div w:id="176121067">
      <w:bodyDiv w:val="1"/>
      <w:marLeft w:val="0"/>
      <w:marRight w:val="0"/>
      <w:marTop w:val="0"/>
      <w:marBottom w:val="0"/>
      <w:divBdr>
        <w:top w:val="none" w:sz="0" w:space="0" w:color="auto"/>
        <w:left w:val="none" w:sz="0" w:space="0" w:color="auto"/>
        <w:bottom w:val="none" w:sz="0" w:space="0" w:color="auto"/>
        <w:right w:val="none" w:sz="0" w:space="0" w:color="auto"/>
      </w:divBdr>
    </w:div>
    <w:div w:id="176192032">
      <w:bodyDiv w:val="1"/>
      <w:marLeft w:val="0"/>
      <w:marRight w:val="0"/>
      <w:marTop w:val="0"/>
      <w:marBottom w:val="0"/>
      <w:divBdr>
        <w:top w:val="none" w:sz="0" w:space="0" w:color="auto"/>
        <w:left w:val="none" w:sz="0" w:space="0" w:color="auto"/>
        <w:bottom w:val="none" w:sz="0" w:space="0" w:color="auto"/>
        <w:right w:val="none" w:sz="0" w:space="0" w:color="auto"/>
      </w:divBdr>
    </w:div>
    <w:div w:id="176970700">
      <w:bodyDiv w:val="1"/>
      <w:marLeft w:val="0"/>
      <w:marRight w:val="0"/>
      <w:marTop w:val="0"/>
      <w:marBottom w:val="0"/>
      <w:divBdr>
        <w:top w:val="none" w:sz="0" w:space="0" w:color="auto"/>
        <w:left w:val="none" w:sz="0" w:space="0" w:color="auto"/>
        <w:bottom w:val="none" w:sz="0" w:space="0" w:color="auto"/>
        <w:right w:val="none" w:sz="0" w:space="0" w:color="auto"/>
      </w:divBdr>
    </w:div>
    <w:div w:id="177044764">
      <w:bodyDiv w:val="1"/>
      <w:marLeft w:val="0"/>
      <w:marRight w:val="0"/>
      <w:marTop w:val="0"/>
      <w:marBottom w:val="0"/>
      <w:divBdr>
        <w:top w:val="none" w:sz="0" w:space="0" w:color="auto"/>
        <w:left w:val="none" w:sz="0" w:space="0" w:color="auto"/>
        <w:bottom w:val="none" w:sz="0" w:space="0" w:color="auto"/>
        <w:right w:val="none" w:sz="0" w:space="0" w:color="auto"/>
      </w:divBdr>
    </w:div>
    <w:div w:id="177161747">
      <w:bodyDiv w:val="1"/>
      <w:marLeft w:val="0"/>
      <w:marRight w:val="0"/>
      <w:marTop w:val="0"/>
      <w:marBottom w:val="0"/>
      <w:divBdr>
        <w:top w:val="none" w:sz="0" w:space="0" w:color="auto"/>
        <w:left w:val="none" w:sz="0" w:space="0" w:color="auto"/>
        <w:bottom w:val="none" w:sz="0" w:space="0" w:color="auto"/>
        <w:right w:val="none" w:sz="0" w:space="0" w:color="auto"/>
      </w:divBdr>
    </w:div>
    <w:div w:id="178008070">
      <w:bodyDiv w:val="1"/>
      <w:marLeft w:val="0"/>
      <w:marRight w:val="0"/>
      <w:marTop w:val="0"/>
      <w:marBottom w:val="0"/>
      <w:divBdr>
        <w:top w:val="none" w:sz="0" w:space="0" w:color="auto"/>
        <w:left w:val="none" w:sz="0" w:space="0" w:color="auto"/>
        <w:bottom w:val="none" w:sz="0" w:space="0" w:color="auto"/>
        <w:right w:val="none" w:sz="0" w:space="0" w:color="auto"/>
      </w:divBdr>
    </w:div>
    <w:div w:id="179055489">
      <w:bodyDiv w:val="1"/>
      <w:marLeft w:val="0"/>
      <w:marRight w:val="0"/>
      <w:marTop w:val="0"/>
      <w:marBottom w:val="0"/>
      <w:divBdr>
        <w:top w:val="none" w:sz="0" w:space="0" w:color="auto"/>
        <w:left w:val="none" w:sz="0" w:space="0" w:color="auto"/>
        <w:bottom w:val="none" w:sz="0" w:space="0" w:color="auto"/>
        <w:right w:val="none" w:sz="0" w:space="0" w:color="auto"/>
      </w:divBdr>
    </w:div>
    <w:div w:id="179201121">
      <w:bodyDiv w:val="1"/>
      <w:marLeft w:val="0"/>
      <w:marRight w:val="0"/>
      <w:marTop w:val="0"/>
      <w:marBottom w:val="0"/>
      <w:divBdr>
        <w:top w:val="none" w:sz="0" w:space="0" w:color="auto"/>
        <w:left w:val="none" w:sz="0" w:space="0" w:color="auto"/>
        <w:bottom w:val="none" w:sz="0" w:space="0" w:color="auto"/>
        <w:right w:val="none" w:sz="0" w:space="0" w:color="auto"/>
      </w:divBdr>
    </w:div>
    <w:div w:id="179516130">
      <w:bodyDiv w:val="1"/>
      <w:marLeft w:val="0"/>
      <w:marRight w:val="0"/>
      <w:marTop w:val="0"/>
      <w:marBottom w:val="0"/>
      <w:divBdr>
        <w:top w:val="none" w:sz="0" w:space="0" w:color="auto"/>
        <w:left w:val="none" w:sz="0" w:space="0" w:color="auto"/>
        <w:bottom w:val="none" w:sz="0" w:space="0" w:color="auto"/>
        <w:right w:val="none" w:sz="0" w:space="0" w:color="auto"/>
      </w:divBdr>
    </w:div>
    <w:div w:id="179517563">
      <w:bodyDiv w:val="1"/>
      <w:marLeft w:val="0"/>
      <w:marRight w:val="0"/>
      <w:marTop w:val="0"/>
      <w:marBottom w:val="0"/>
      <w:divBdr>
        <w:top w:val="none" w:sz="0" w:space="0" w:color="auto"/>
        <w:left w:val="none" w:sz="0" w:space="0" w:color="auto"/>
        <w:bottom w:val="none" w:sz="0" w:space="0" w:color="auto"/>
        <w:right w:val="none" w:sz="0" w:space="0" w:color="auto"/>
      </w:divBdr>
    </w:div>
    <w:div w:id="181166951">
      <w:bodyDiv w:val="1"/>
      <w:marLeft w:val="0"/>
      <w:marRight w:val="0"/>
      <w:marTop w:val="0"/>
      <w:marBottom w:val="0"/>
      <w:divBdr>
        <w:top w:val="none" w:sz="0" w:space="0" w:color="auto"/>
        <w:left w:val="none" w:sz="0" w:space="0" w:color="auto"/>
        <w:bottom w:val="none" w:sz="0" w:space="0" w:color="auto"/>
        <w:right w:val="none" w:sz="0" w:space="0" w:color="auto"/>
      </w:divBdr>
    </w:div>
    <w:div w:id="182323658">
      <w:bodyDiv w:val="1"/>
      <w:marLeft w:val="0"/>
      <w:marRight w:val="0"/>
      <w:marTop w:val="0"/>
      <w:marBottom w:val="0"/>
      <w:divBdr>
        <w:top w:val="none" w:sz="0" w:space="0" w:color="auto"/>
        <w:left w:val="none" w:sz="0" w:space="0" w:color="auto"/>
        <w:bottom w:val="none" w:sz="0" w:space="0" w:color="auto"/>
        <w:right w:val="none" w:sz="0" w:space="0" w:color="auto"/>
      </w:divBdr>
    </w:div>
    <w:div w:id="183595745">
      <w:bodyDiv w:val="1"/>
      <w:marLeft w:val="0"/>
      <w:marRight w:val="0"/>
      <w:marTop w:val="0"/>
      <w:marBottom w:val="0"/>
      <w:divBdr>
        <w:top w:val="none" w:sz="0" w:space="0" w:color="auto"/>
        <w:left w:val="none" w:sz="0" w:space="0" w:color="auto"/>
        <w:bottom w:val="none" w:sz="0" w:space="0" w:color="auto"/>
        <w:right w:val="none" w:sz="0" w:space="0" w:color="auto"/>
      </w:divBdr>
    </w:div>
    <w:div w:id="183787264">
      <w:bodyDiv w:val="1"/>
      <w:marLeft w:val="0"/>
      <w:marRight w:val="0"/>
      <w:marTop w:val="0"/>
      <w:marBottom w:val="0"/>
      <w:divBdr>
        <w:top w:val="none" w:sz="0" w:space="0" w:color="auto"/>
        <w:left w:val="none" w:sz="0" w:space="0" w:color="auto"/>
        <w:bottom w:val="none" w:sz="0" w:space="0" w:color="auto"/>
        <w:right w:val="none" w:sz="0" w:space="0" w:color="auto"/>
      </w:divBdr>
    </w:div>
    <w:div w:id="183902812">
      <w:bodyDiv w:val="1"/>
      <w:marLeft w:val="0"/>
      <w:marRight w:val="0"/>
      <w:marTop w:val="0"/>
      <w:marBottom w:val="0"/>
      <w:divBdr>
        <w:top w:val="none" w:sz="0" w:space="0" w:color="auto"/>
        <w:left w:val="none" w:sz="0" w:space="0" w:color="auto"/>
        <w:bottom w:val="none" w:sz="0" w:space="0" w:color="auto"/>
        <w:right w:val="none" w:sz="0" w:space="0" w:color="auto"/>
      </w:divBdr>
    </w:div>
    <w:div w:id="183904930">
      <w:bodyDiv w:val="1"/>
      <w:marLeft w:val="0"/>
      <w:marRight w:val="0"/>
      <w:marTop w:val="0"/>
      <w:marBottom w:val="0"/>
      <w:divBdr>
        <w:top w:val="none" w:sz="0" w:space="0" w:color="auto"/>
        <w:left w:val="none" w:sz="0" w:space="0" w:color="auto"/>
        <w:bottom w:val="none" w:sz="0" w:space="0" w:color="auto"/>
        <w:right w:val="none" w:sz="0" w:space="0" w:color="auto"/>
      </w:divBdr>
    </w:div>
    <w:div w:id="183980500">
      <w:bodyDiv w:val="1"/>
      <w:marLeft w:val="0"/>
      <w:marRight w:val="0"/>
      <w:marTop w:val="0"/>
      <w:marBottom w:val="0"/>
      <w:divBdr>
        <w:top w:val="none" w:sz="0" w:space="0" w:color="auto"/>
        <w:left w:val="none" w:sz="0" w:space="0" w:color="auto"/>
        <w:bottom w:val="none" w:sz="0" w:space="0" w:color="auto"/>
        <w:right w:val="none" w:sz="0" w:space="0" w:color="auto"/>
      </w:divBdr>
    </w:div>
    <w:div w:id="185337234">
      <w:bodyDiv w:val="1"/>
      <w:marLeft w:val="0"/>
      <w:marRight w:val="0"/>
      <w:marTop w:val="0"/>
      <w:marBottom w:val="0"/>
      <w:divBdr>
        <w:top w:val="none" w:sz="0" w:space="0" w:color="auto"/>
        <w:left w:val="none" w:sz="0" w:space="0" w:color="auto"/>
        <w:bottom w:val="none" w:sz="0" w:space="0" w:color="auto"/>
        <w:right w:val="none" w:sz="0" w:space="0" w:color="auto"/>
      </w:divBdr>
    </w:div>
    <w:div w:id="185797000">
      <w:bodyDiv w:val="1"/>
      <w:marLeft w:val="0"/>
      <w:marRight w:val="0"/>
      <w:marTop w:val="0"/>
      <w:marBottom w:val="0"/>
      <w:divBdr>
        <w:top w:val="none" w:sz="0" w:space="0" w:color="auto"/>
        <w:left w:val="none" w:sz="0" w:space="0" w:color="auto"/>
        <w:bottom w:val="none" w:sz="0" w:space="0" w:color="auto"/>
        <w:right w:val="none" w:sz="0" w:space="0" w:color="auto"/>
      </w:divBdr>
    </w:div>
    <w:div w:id="186874306">
      <w:bodyDiv w:val="1"/>
      <w:marLeft w:val="0"/>
      <w:marRight w:val="0"/>
      <w:marTop w:val="0"/>
      <w:marBottom w:val="0"/>
      <w:divBdr>
        <w:top w:val="none" w:sz="0" w:space="0" w:color="auto"/>
        <w:left w:val="none" w:sz="0" w:space="0" w:color="auto"/>
        <w:bottom w:val="none" w:sz="0" w:space="0" w:color="auto"/>
        <w:right w:val="none" w:sz="0" w:space="0" w:color="auto"/>
      </w:divBdr>
    </w:div>
    <w:div w:id="187110112">
      <w:bodyDiv w:val="1"/>
      <w:marLeft w:val="0"/>
      <w:marRight w:val="0"/>
      <w:marTop w:val="0"/>
      <w:marBottom w:val="0"/>
      <w:divBdr>
        <w:top w:val="none" w:sz="0" w:space="0" w:color="auto"/>
        <w:left w:val="none" w:sz="0" w:space="0" w:color="auto"/>
        <w:bottom w:val="none" w:sz="0" w:space="0" w:color="auto"/>
        <w:right w:val="none" w:sz="0" w:space="0" w:color="auto"/>
      </w:divBdr>
    </w:div>
    <w:div w:id="187647334">
      <w:bodyDiv w:val="1"/>
      <w:marLeft w:val="0"/>
      <w:marRight w:val="0"/>
      <w:marTop w:val="0"/>
      <w:marBottom w:val="0"/>
      <w:divBdr>
        <w:top w:val="none" w:sz="0" w:space="0" w:color="auto"/>
        <w:left w:val="none" w:sz="0" w:space="0" w:color="auto"/>
        <w:bottom w:val="none" w:sz="0" w:space="0" w:color="auto"/>
        <w:right w:val="none" w:sz="0" w:space="0" w:color="auto"/>
      </w:divBdr>
    </w:div>
    <w:div w:id="187715892">
      <w:bodyDiv w:val="1"/>
      <w:marLeft w:val="0"/>
      <w:marRight w:val="0"/>
      <w:marTop w:val="0"/>
      <w:marBottom w:val="0"/>
      <w:divBdr>
        <w:top w:val="none" w:sz="0" w:space="0" w:color="auto"/>
        <w:left w:val="none" w:sz="0" w:space="0" w:color="auto"/>
        <w:bottom w:val="none" w:sz="0" w:space="0" w:color="auto"/>
        <w:right w:val="none" w:sz="0" w:space="0" w:color="auto"/>
      </w:divBdr>
    </w:div>
    <w:div w:id="187791431">
      <w:bodyDiv w:val="1"/>
      <w:marLeft w:val="0"/>
      <w:marRight w:val="0"/>
      <w:marTop w:val="0"/>
      <w:marBottom w:val="0"/>
      <w:divBdr>
        <w:top w:val="none" w:sz="0" w:space="0" w:color="auto"/>
        <w:left w:val="none" w:sz="0" w:space="0" w:color="auto"/>
        <w:bottom w:val="none" w:sz="0" w:space="0" w:color="auto"/>
        <w:right w:val="none" w:sz="0" w:space="0" w:color="auto"/>
      </w:divBdr>
    </w:div>
    <w:div w:id="188027215">
      <w:bodyDiv w:val="1"/>
      <w:marLeft w:val="0"/>
      <w:marRight w:val="0"/>
      <w:marTop w:val="0"/>
      <w:marBottom w:val="0"/>
      <w:divBdr>
        <w:top w:val="none" w:sz="0" w:space="0" w:color="auto"/>
        <w:left w:val="none" w:sz="0" w:space="0" w:color="auto"/>
        <w:bottom w:val="none" w:sz="0" w:space="0" w:color="auto"/>
        <w:right w:val="none" w:sz="0" w:space="0" w:color="auto"/>
      </w:divBdr>
    </w:div>
    <w:div w:id="188226178">
      <w:bodyDiv w:val="1"/>
      <w:marLeft w:val="0"/>
      <w:marRight w:val="0"/>
      <w:marTop w:val="0"/>
      <w:marBottom w:val="0"/>
      <w:divBdr>
        <w:top w:val="none" w:sz="0" w:space="0" w:color="auto"/>
        <w:left w:val="none" w:sz="0" w:space="0" w:color="auto"/>
        <w:bottom w:val="none" w:sz="0" w:space="0" w:color="auto"/>
        <w:right w:val="none" w:sz="0" w:space="0" w:color="auto"/>
      </w:divBdr>
    </w:div>
    <w:div w:id="189299172">
      <w:bodyDiv w:val="1"/>
      <w:marLeft w:val="0"/>
      <w:marRight w:val="0"/>
      <w:marTop w:val="0"/>
      <w:marBottom w:val="0"/>
      <w:divBdr>
        <w:top w:val="none" w:sz="0" w:space="0" w:color="auto"/>
        <w:left w:val="none" w:sz="0" w:space="0" w:color="auto"/>
        <w:bottom w:val="none" w:sz="0" w:space="0" w:color="auto"/>
        <w:right w:val="none" w:sz="0" w:space="0" w:color="auto"/>
      </w:divBdr>
    </w:div>
    <w:div w:id="190143255">
      <w:bodyDiv w:val="1"/>
      <w:marLeft w:val="0"/>
      <w:marRight w:val="0"/>
      <w:marTop w:val="0"/>
      <w:marBottom w:val="0"/>
      <w:divBdr>
        <w:top w:val="none" w:sz="0" w:space="0" w:color="auto"/>
        <w:left w:val="none" w:sz="0" w:space="0" w:color="auto"/>
        <w:bottom w:val="none" w:sz="0" w:space="0" w:color="auto"/>
        <w:right w:val="none" w:sz="0" w:space="0" w:color="auto"/>
      </w:divBdr>
    </w:div>
    <w:div w:id="190345648">
      <w:bodyDiv w:val="1"/>
      <w:marLeft w:val="0"/>
      <w:marRight w:val="0"/>
      <w:marTop w:val="0"/>
      <w:marBottom w:val="0"/>
      <w:divBdr>
        <w:top w:val="none" w:sz="0" w:space="0" w:color="auto"/>
        <w:left w:val="none" w:sz="0" w:space="0" w:color="auto"/>
        <w:bottom w:val="none" w:sz="0" w:space="0" w:color="auto"/>
        <w:right w:val="none" w:sz="0" w:space="0" w:color="auto"/>
      </w:divBdr>
    </w:div>
    <w:div w:id="190731429">
      <w:bodyDiv w:val="1"/>
      <w:marLeft w:val="0"/>
      <w:marRight w:val="0"/>
      <w:marTop w:val="0"/>
      <w:marBottom w:val="0"/>
      <w:divBdr>
        <w:top w:val="none" w:sz="0" w:space="0" w:color="auto"/>
        <w:left w:val="none" w:sz="0" w:space="0" w:color="auto"/>
        <w:bottom w:val="none" w:sz="0" w:space="0" w:color="auto"/>
        <w:right w:val="none" w:sz="0" w:space="0" w:color="auto"/>
      </w:divBdr>
    </w:div>
    <w:div w:id="190799581">
      <w:bodyDiv w:val="1"/>
      <w:marLeft w:val="0"/>
      <w:marRight w:val="0"/>
      <w:marTop w:val="0"/>
      <w:marBottom w:val="0"/>
      <w:divBdr>
        <w:top w:val="none" w:sz="0" w:space="0" w:color="auto"/>
        <w:left w:val="none" w:sz="0" w:space="0" w:color="auto"/>
        <w:bottom w:val="none" w:sz="0" w:space="0" w:color="auto"/>
        <w:right w:val="none" w:sz="0" w:space="0" w:color="auto"/>
      </w:divBdr>
    </w:div>
    <w:div w:id="192112631">
      <w:bodyDiv w:val="1"/>
      <w:marLeft w:val="0"/>
      <w:marRight w:val="0"/>
      <w:marTop w:val="0"/>
      <w:marBottom w:val="0"/>
      <w:divBdr>
        <w:top w:val="none" w:sz="0" w:space="0" w:color="auto"/>
        <w:left w:val="none" w:sz="0" w:space="0" w:color="auto"/>
        <w:bottom w:val="none" w:sz="0" w:space="0" w:color="auto"/>
        <w:right w:val="none" w:sz="0" w:space="0" w:color="auto"/>
      </w:divBdr>
    </w:div>
    <w:div w:id="193034754">
      <w:bodyDiv w:val="1"/>
      <w:marLeft w:val="0"/>
      <w:marRight w:val="0"/>
      <w:marTop w:val="0"/>
      <w:marBottom w:val="0"/>
      <w:divBdr>
        <w:top w:val="none" w:sz="0" w:space="0" w:color="auto"/>
        <w:left w:val="none" w:sz="0" w:space="0" w:color="auto"/>
        <w:bottom w:val="none" w:sz="0" w:space="0" w:color="auto"/>
        <w:right w:val="none" w:sz="0" w:space="0" w:color="auto"/>
      </w:divBdr>
    </w:div>
    <w:div w:id="193462627">
      <w:bodyDiv w:val="1"/>
      <w:marLeft w:val="0"/>
      <w:marRight w:val="0"/>
      <w:marTop w:val="0"/>
      <w:marBottom w:val="0"/>
      <w:divBdr>
        <w:top w:val="none" w:sz="0" w:space="0" w:color="auto"/>
        <w:left w:val="none" w:sz="0" w:space="0" w:color="auto"/>
        <w:bottom w:val="none" w:sz="0" w:space="0" w:color="auto"/>
        <w:right w:val="none" w:sz="0" w:space="0" w:color="auto"/>
      </w:divBdr>
    </w:div>
    <w:div w:id="195124629">
      <w:bodyDiv w:val="1"/>
      <w:marLeft w:val="0"/>
      <w:marRight w:val="0"/>
      <w:marTop w:val="0"/>
      <w:marBottom w:val="0"/>
      <w:divBdr>
        <w:top w:val="none" w:sz="0" w:space="0" w:color="auto"/>
        <w:left w:val="none" w:sz="0" w:space="0" w:color="auto"/>
        <w:bottom w:val="none" w:sz="0" w:space="0" w:color="auto"/>
        <w:right w:val="none" w:sz="0" w:space="0" w:color="auto"/>
      </w:divBdr>
    </w:div>
    <w:div w:id="195392994">
      <w:bodyDiv w:val="1"/>
      <w:marLeft w:val="0"/>
      <w:marRight w:val="0"/>
      <w:marTop w:val="0"/>
      <w:marBottom w:val="0"/>
      <w:divBdr>
        <w:top w:val="none" w:sz="0" w:space="0" w:color="auto"/>
        <w:left w:val="none" w:sz="0" w:space="0" w:color="auto"/>
        <w:bottom w:val="none" w:sz="0" w:space="0" w:color="auto"/>
        <w:right w:val="none" w:sz="0" w:space="0" w:color="auto"/>
      </w:divBdr>
    </w:div>
    <w:div w:id="195506787">
      <w:bodyDiv w:val="1"/>
      <w:marLeft w:val="0"/>
      <w:marRight w:val="0"/>
      <w:marTop w:val="0"/>
      <w:marBottom w:val="0"/>
      <w:divBdr>
        <w:top w:val="none" w:sz="0" w:space="0" w:color="auto"/>
        <w:left w:val="none" w:sz="0" w:space="0" w:color="auto"/>
        <w:bottom w:val="none" w:sz="0" w:space="0" w:color="auto"/>
        <w:right w:val="none" w:sz="0" w:space="0" w:color="auto"/>
      </w:divBdr>
    </w:div>
    <w:div w:id="195889850">
      <w:bodyDiv w:val="1"/>
      <w:marLeft w:val="0"/>
      <w:marRight w:val="0"/>
      <w:marTop w:val="0"/>
      <w:marBottom w:val="0"/>
      <w:divBdr>
        <w:top w:val="none" w:sz="0" w:space="0" w:color="auto"/>
        <w:left w:val="none" w:sz="0" w:space="0" w:color="auto"/>
        <w:bottom w:val="none" w:sz="0" w:space="0" w:color="auto"/>
        <w:right w:val="none" w:sz="0" w:space="0" w:color="auto"/>
      </w:divBdr>
    </w:div>
    <w:div w:id="198054362">
      <w:bodyDiv w:val="1"/>
      <w:marLeft w:val="0"/>
      <w:marRight w:val="0"/>
      <w:marTop w:val="0"/>
      <w:marBottom w:val="0"/>
      <w:divBdr>
        <w:top w:val="none" w:sz="0" w:space="0" w:color="auto"/>
        <w:left w:val="none" w:sz="0" w:space="0" w:color="auto"/>
        <w:bottom w:val="none" w:sz="0" w:space="0" w:color="auto"/>
        <w:right w:val="none" w:sz="0" w:space="0" w:color="auto"/>
      </w:divBdr>
    </w:div>
    <w:div w:id="198981198">
      <w:bodyDiv w:val="1"/>
      <w:marLeft w:val="0"/>
      <w:marRight w:val="0"/>
      <w:marTop w:val="0"/>
      <w:marBottom w:val="0"/>
      <w:divBdr>
        <w:top w:val="none" w:sz="0" w:space="0" w:color="auto"/>
        <w:left w:val="none" w:sz="0" w:space="0" w:color="auto"/>
        <w:bottom w:val="none" w:sz="0" w:space="0" w:color="auto"/>
        <w:right w:val="none" w:sz="0" w:space="0" w:color="auto"/>
      </w:divBdr>
    </w:div>
    <w:div w:id="198981335">
      <w:bodyDiv w:val="1"/>
      <w:marLeft w:val="0"/>
      <w:marRight w:val="0"/>
      <w:marTop w:val="0"/>
      <w:marBottom w:val="0"/>
      <w:divBdr>
        <w:top w:val="none" w:sz="0" w:space="0" w:color="auto"/>
        <w:left w:val="none" w:sz="0" w:space="0" w:color="auto"/>
        <w:bottom w:val="none" w:sz="0" w:space="0" w:color="auto"/>
        <w:right w:val="none" w:sz="0" w:space="0" w:color="auto"/>
      </w:divBdr>
    </w:div>
    <w:div w:id="199707665">
      <w:bodyDiv w:val="1"/>
      <w:marLeft w:val="0"/>
      <w:marRight w:val="0"/>
      <w:marTop w:val="0"/>
      <w:marBottom w:val="0"/>
      <w:divBdr>
        <w:top w:val="none" w:sz="0" w:space="0" w:color="auto"/>
        <w:left w:val="none" w:sz="0" w:space="0" w:color="auto"/>
        <w:bottom w:val="none" w:sz="0" w:space="0" w:color="auto"/>
        <w:right w:val="none" w:sz="0" w:space="0" w:color="auto"/>
      </w:divBdr>
    </w:div>
    <w:div w:id="200359737">
      <w:bodyDiv w:val="1"/>
      <w:marLeft w:val="0"/>
      <w:marRight w:val="0"/>
      <w:marTop w:val="0"/>
      <w:marBottom w:val="0"/>
      <w:divBdr>
        <w:top w:val="none" w:sz="0" w:space="0" w:color="auto"/>
        <w:left w:val="none" w:sz="0" w:space="0" w:color="auto"/>
        <w:bottom w:val="none" w:sz="0" w:space="0" w:color="auto"/>
        <w:right w:val="none" w:sz="0" w:space="0" w:color="auto"/>
      </w:divBdr>
    </w:div>
    <w:div w:id="201676526">
      <w:bodyDiv w:val="1"/>
      <w:marLeft w:val="0"/>
      <w:marRight w:val="0"/>
      <w:marTop w:val="0"/>
      <w:marBottom w:val="0"/>
      <w:divBdr>
        <w:top w:val="none" w:sz="0" w:space="0" w:color="auto"/>
        <w:left w:val="none" w:sz="0" w:space="0" w:color="auto"/>
        <w:bottom w:val="none" w:sz="0" w:space="0" w:color="auto"/>
        <w:right w:val="none" w:sz="0" w:space="0" w:color="auto"/>
      </w:divBdr>
    </w:div>
    <w:div w:id="202210501">
      <w:bodyDiv w:val="1"/>
      <w:marLeft w:val="0"/>
      <w:marRight w:val="0"/>
      <w:marTop w:val="0"/>
      <w:marBottom w:val="0"/>
      <w:divBdr>
        <w:top w:val="none" w:sz="0" w:space="0" w:color="auto"/>
        <w:left w:val="none" w:sz="0" w:space="0" w:color="auto"/>
        <w:bottom w:val="none" w:sz="0" w:space="0" w:color="auto"/>
        <w:right w:val="none" w:sz="0" w:space="0" w:color="auto"/>
      </w:divBdr>
    </w:div>
    <w:div w:id="203294028">
      <w:bodyDiv w:val="1"/>
      <w:marLeft w:val="0"/>
      <w:marRight w:val="0"/>
      <w:marTop w:val="0"/>
      <w:marBottom w:val="0"/>
      <w:divBdr>
        <w:top w:val="none" w:sz="0" w:space="0" w:color="auto"/>
        <w:left w:val="none" w:sz="0" w:space="0" w:color="auto"/>
        <w:bottom w:val="none" w:sz="0" w:space="0" w:color="auto"/>
        <w:right w:val="none" w:sz="0" w:space="0" w:color="auto"/>
      </w:divBdr>
    </w:div>
    <w:div w:id="205021581">
      <w:bodyDiv w:val="1"/>
      <w:marLeft w:val="0"/>
      <w:marRight w:val="0"/>
      <w:marTop w:val="0"/>
      <w:marBottom w:val="0"/>
      <w:divBdr>
        <w:top w:val="none" w:sz="0" w:space="0" w:color="auto"/>
        <w:left w:val="none" w:sz="0" w:space="0" w:color="auto"/>
        <w:bottom w:val="none" w:sz="0" w:space="0" w:color="auto"/>
        <w:right w:val="none" w:sz="0" w:space="0" w:color="auto"/>
      </w:divBdr>
    </w:div>
    <w:div w:id="205603459">
      <w:bodyDiv w:val="1"/>
      <w:marLeft w:val="0"/>
      <w:marRight w:val="0"/>
      <w:marTop w:val="0"/>
      <w:marBottom w:val="0"/>
      <w:divBdr>
        <w:top w:val="none" w:sz="0" w:space="0" w:color="auto"/>
        <w:left w:val="none" w:sz="0" w:space="0" w:color="auto"/>
        <w:bottom w:val="none" w:sz="0" w:space="0" w:color="auto"/>
        <w:right w:val="none" w:sz="0" w:space="0" w:color="auto"/>
      </w:divBdr>
    </w:div>
    <w:div w:id="206256782">
      <w:bodyDiv w:val="1"/>
      <w:marLeft w:val="0"/>
      <w:marRight w:val="0"/>
      <w:marTop w:val="0"/>
      <w:marBottom w:val="0"/>
      <w:divBdr>
        <w:top w:val="none" w:sz="0" w:space="0" w:color="auto"/>
        <w:left w:val="none" w:sz="0" w:space="0" w:color="auto"/>
        <w:bottom w:val="none" w:sz="0" w:space="0" w:color="auto"/>
        <w:right w:val="none" w:sz="0" w:space="0" w:color="auto"/>
      </w:divBdr>
    </w:div>
    <w:div w:id="207760830">
      <w:bodyDiv w:val="1"/>
      <w:marLeft w:val="0"/>
      <w:marRight w:val="0"/>
      <w:marTop w:val="0"/>
      <w:marBottom w:val="0"/>
      <w:divBdr>
        <w:top w:val="none" w:sz="0" w:space="0" w:color="auto"/>
        <w:left w:val="none" w:sz="0" w:space="0" w:color="auto"/>
        <w:bottom w:val="none" w:sz="0" w:space="0" w:color="auto"/>
        <w:right w:val="none" w:sz="0" w:space="0" w:color="auto"/>
      </w:divBdr>
    </w:div>
    <w:div w:id="208610626">
      <w:bodyDiv w:val="1"/>
      <w:marLeft w:val="0"/>
      <w:marRight w:val="0"/>
      <w:marTop w:val="0"/>
      <w:marBottom w:val="0"/>
      <w:divBdr>
        <w:top w:val="none" w:sz="0" w:space="0" w:color="auto"/>
        <w:left w:val="none" w:sz="0" w:space="0" w:color="auto"/>
        <w:bottom w:val="none" w:sz="0" w:space="0" w:color="auto"/>
        <w:right w:val="none" w:sz="0" w:space="0" w:color="auto"/>
      </w:divBdr>
    </w:div>
    <w:div w:id="208732381">
      <w:bodyDiv w:val="1"/>
      <w:marLeft w:val="0"/>
      <w:marRight w:val="0"/>
      <w:marTop w:val="0"/>
      <w:marBottom w:val="0"/>
      <w:divBdr>
        <w:top w:val="none" w:sz="0" w:space="0" w:color="auto"/>
        <w:left w:val="none" w:sz="0" w:space="0" w:color="auto"/>
        <w:bottom w:val="none" w:sz="0" w:space="0" w:color="auto"/>
        <w:right w:val="none" w:sz="0" w:space="0" w:color="auto"/>
      </w:divBdr>
    </w:div>
    <w:div w:id="208735374">
      <w:bodyDiv w:val="1"/>
      <w:marLeft w:val="0"/>
      <w:marRight w:val="0"/>
      <w:marTop w:val="0"/>
      <w:marBottom w:val="0"/>
      <w:divBdr>
        <w:top w:val="none" w:sz="0" w:space="0" w:color="auto"/>
        <w:left w:val="none" w:sz="0" w:space="0" w:color="auto"/>
        <w:bottom w:val="none" w:sz="0" w:space="0" w:color="auto"/>
        <w:right w:val="none" w:sz="0" w:space="0" w:color="auto"/>
      </w:divBdr>
    </w:div>
    <w:div w:id="209390877">
      <w:bodyDiv w:val="1"/>
      <w:marLeft w:val="0"/>
      <w:marRight w:val="0"/>
      <w:marTop w:val="0"/>
      <w:marBottom w:val="0"/>
      <w:divBdr>
        <w:top w:val="none" w:sz="0" w:space="0" w:color="auto"/>
        <w:left w:val="none" w:sz="0" w:space="0" w:color="auto"/>
        <w:bottom w:val="none" w:sz="0" w:space="0" w:color="auto"/>
        <w:right w:val="none" w:sz="0" w:space="0" w:color="auto"/>
      </w:divBdr>
    </w:div>
    <w:div w:id="209461129">
      <w:bodyDiv w:val="1"/>
      <w:marLeft w:val="0"/>
      <w:marRight w:val="0"/>
      <w:marTop w:val="0"/>
      <w:marBottom w:val="0"/>
      <w:divBdr>
        <w:top w:val="none" w:sz="0" w:space="0" w:color="auto"/>
        <w:left w:val="none" w:sz="0" w:space="0" w:color="auto"/>
        <w:bottom w:val="none" w:sz="0" w:space="0" w:color="auto"/>
        <w:right w:val="none" w:sz="0" w:space="0" w:color="auto"/>
      </w:divBdr>
    </w:div>
    <w:div w:id="210118539">
      <w:bodyDiv w:val="1"/>
      <w:marLeft w:val="0"/>
      <w:marRight w:val="0"/>
      <w:marTop w:val="0"/>
      <w:marBottom w:val="0"/>
      <w:divBdr>
        <w:top w:val="none" w:sz="0" w:space="0" w:color="auto"/>
        <w:left w:val="none" w:sz="0" w:space="0" w:color="auto"/>
        <w:bottom w:val="none" w:sz="0" w:space="0" w:color="auto"/>
        <w:right w:val="none" w:sz="0" w:space="0" w:color="auto"/>
      </w:divBdr>
    </w:div>
    <w:div w:id="210384136">
      <w:bodyDiv w:val="1"/>
      <w:marLeft w:val="0"/>
      <w:marRight w:val="0"/>
      <w:marTop w:val="0"/>
      <w:marBottom w:val="0"/>
      <w:divBdr>
        <w:top w:val="none" w:sz="0" w:space="0" w:color="auto"/>
        <w:left w:val="none" w:sz="0" w:space="0" w:color="auto"/>
        <w:bottom w:val="none" w:sz="0" w:space="0" w:color="auto"/>
        <w:right w:val="none" w:sz="0" w:space="0" w:color="auto"/>
      </w:divBdr>
    </w:div>
    <w:div w:id="210653040">
      <w:bodyDiv w:val="1"/>
      <w:marLeft w:val="0"/>
      <w:marRight w:val="0"/>
      <w:marTop w:val="0"/>
      <w:marBottom w:val="0"/>
      <w:divBdr>
        <w:top w:val="none" w:sz="0" w:space="0" w:color="auto"/>
        <w:left w:val="none" w:sz="0" w:space="0" w:color="auto"/>
        <w:bottom w:val="none" w:sz="0" w:space="0" w:color="auto"/>
        <w:right w:val="none" w:sz="0" w:space="0" w:color="auto"/>
      </w:divBdr>
    </w:div>
    <w:div w:id="211187836">
      <w:bodyDiv w:val="1"/>
      <w:marLeft w:val="0"/>
      <w:marRight w:val="0"/>
      <w:marTop w:val="0"/>
      <w:marBottom w:val="0"/>
      <w:divBdr>
        <w:top w:val="none" w:sz="0" w:space="0" w:color="auto"/>
        <w:left w:val="none" w:sz="0" w:space="0" w:color="auto"/>
        <w:bottom w:val="none" w:sz="0" w:space="0" w:color="auto"/>
        <w:right w:val="none" w:sz="0" w:space="0" w:color="auto"/>
      </w:divBdr>
    </w:div>
    <w:div w:id="211894184">
      <w:bodyDiv w:val="1"/>
      <w:marLeft w:val="0"/>
      <w:marRight w:val="0"/>
      <w:marTop w:val="0"/>
      <w:marBottom w:val="0"/>
      <w:divBdr>
        <w:top w:val="none" w:sz="0" w:space="0" w:color="auto"/>
        <w:left w:val="none" w:sz="0" w:space="0" w:color="auto"/>
        <w:bottom w:val="none" w:sz="0" w:space="0" w:color="auto"/>
        <w:right w:val="none" w:sz="0" w:space="0" w:color="auto"/>
      </w:divBdr>
    </w:div>
    <w:div w:id="212083317">
      <w:bodyDiv w:val="1"/>
      <w:marLeft w:val="0"/>
      <w:marRight w:val="0"/>
      <w:marTop w:val="0"/>
      <w:marBottom w:val="0"/>
      <w:divBdr>
        <w:top w:val="none" w:sz="0" w:space="0" w:color="auto"/>
        <w:left w:val="none" w:sz="0" w:space="0" w:color="auto"/>
        <w:bottom w:val="none" w:sz="0" w:space="0" w:color="auto"/>
        <w:right w:val="none" w:sz="0" w:space="0" w:color="auto"/>
      </w:divBdr>
    </w:div>
    <w:div w:id="212738630">
      <w:bodyDiv w:val="1"/>
      <w:marLeft w:val="0"/>
      <w:marRight w:val="0"/>
      <w:marTop w:val="0"/>
      <w:marBottom w:val="0"/>
      <w:divBdr>
        <w:top w:val="none" w:sz="0" w:space="0" w:color="auto"/>
        <w:left w:val="none" w:sz="0" w:space="0" w:color="auto"/>
        <w:bottom w:val="none" w:sz="0" w:space="0" w:color="auto"/>
        <w:right w:val="none" w:sz="0" w:space="0" w:color="auto"/>
      </w:divBdr>
    </w:div>
    <w:div w:id="212810438">
      <w:bodyDiv w:val="1"/>
      <w:marLeft w:val="0"/>
      <w:marRight w:val="0"/>
      <w:marTop w:val="0"/>
      <w:marBottom w:val="0"/>
      <w:divBdr>
        <w:top w:val="none" w:sz="0" w:space="0" w:color="auto"/>
        <w:left w:val="none" w:sz="0" w:space="0" w:color="auto"/>
        <w:bottom w:val="none" w:sz="0" w:space="0" w:color="auto"/>
        <w:right w:val="none" w:sz="0" w:space="0" w:color="auto"/>
      </w:divBdr>
    </w:div>
    <w:div w:id="213394593">
      <w:bodyDiv w:val="1"/>
      <w:marLeft w:val="0"/>
      <w:marRight w:val="0"/>
      <w:marTop w:val="0"/>
      <w:marBottom w:val="0"/>
      <w:divBdr>
        <w:top w:val="none" w:sz="0" w:space="0" w:color="auto"/>
        <w:left w:val="none" w:sz="0" w:space="0" w:color="auto"/>
        <w:bottom w:val="none" w:sz="0" w:space="0" w:color="auto"/>
        <w:right w:val="none" w:sz="0" w:space="0" w:color="auto"/>
      </w:divBdr>
    </w:div>
    <w:div w:id="213586087">
      <w:bodyDiv w:val="1"/>
      <w:marLeft w:val="0"/>
      <w:marRight w:val="0"/>
      <w:marTop w:val="0"/>
      <w:marBottom w:val="0"/>
      <w:divBdr>
        <w:top w:val="none" w:sz="0" w:space="0" w:color="auto"/>
        <w:left w:val="none" w:sz="0" w:space="0" w:color="auto"/>
        <w:bottom w:val="none" w:sz="0" w:space="0" w:color="auto"/>
        <w:right w:val="none" w:sz="0" w:space="0" w:color="auto"/>
      </w:divBdr>
    </w:div>
    <w:div w:id="213739327">
      <w:bodyDiv w:val="1"/>
      <w:marLeft w:val="0"/>
      <w:marRight w:val="0"/>
      <w:marTop w:val="0"/>
      <w:marBottom w:val="0"/>
      <w:divBdr>
        <w:top w:val="none" w:sz="0" w:space="0" w:color="auto"/>
        <w:left w:val="none" w:sz="0" w:space="0" w:color="auto"/>
        <w:bottom w:val="none" w:sz="0" w:space="0" w:color="auto"/>
        <w:right w:val="none" w:sz="0" w:space="0" w:color="auto"/>
      </w:divBdr>
    </w:div>
    <w:div w:id="214976797">
      <w:bodyDiv w:val="1"/>
      <w:marLeft w:val="0"/>
      <w:marRight w:val="0"/>
      <w:marTop w:val="0"/>
      <w:marBottom w:val="0"/>
      <w:divBdr>
        <w:top w:val="none" w:sz="0" w:space="0" w:color="auto"/>
        <w:left w:val="none" w:sz="0" w:space="0" w:color="auto"/>
        <w:bottom w:val="none" w:sz="0" w:space="0" w:color="auto"/>
        <w:right w:val="none" w:sz="0" w:space="0" w:color="auto"/>
      </w:divBdr>
    </w:div>
    <w:div w:id="215163630">
      <w:bodyDiv w:val="1"/>
      <w:marLeft w:val="0"/>
      <w:marRight w:val="0"/>
      <w:marTop w:val="0"/>
      <w:marBottom w:val="0"/>
      <w:divBdr>
        <w:top w:val="none" w:sz="0" w:space="0" w:color="auto"/>
        <w:left w:val="none" w:sz="0" w:space="0" w:color="auto"/>
        <w:bottom w:val="none" w:sz="0" w:space="0" w:color="auto"/>
        <w:right w:val="none" w:sz="0" w:space="0" w:color="auto"/>
      </w:divBdr>
    </w:div>
    <w:div w:id="215556306">
      <w:bodyDiv w:val="1"/>
      <w:marLeft w:val="0"/>
      <w:marRight w:val="0"/>
      <w:marTop w:val="0"/>
      <w:marBottom w:val="0"/>
      <w:divBdr>
        <w:top w:val="none" w:sz="0" w:space="0" w:color="auto"/>
        <w:left w:val="none" w:sz="0" w:space="0" w:color="auto"/>
        <w:bottom w:val="none" w:sz="0" w:space="0" w:color="auto"/>
        <w:right w:val="none" w:sz="0" w:space="0" w:color="auto"/>
      </w:divBdr>
    </w:div>
    <w:div w:id="215700888">
      <w:bodyDiv w:val="1"/>
      <w:marLeft w:val="0"/>
      <w:marRight w:val="0"/>
      <w:marTop w:val="0"/>
      <w:marBottom w:val="0"/>
      <w:divBdr>
        <w:top w:val="none" w:sz="0" w:space="0" w:color="auto"/>
        <w:left w:val="none" w:sz="0" w:space="0" w:color="auto"/>
        <w:bottom w:val="none" w:sz="0" w:space="0" w:color="auto"/>
        <w:right w:val="none" w:sz="0" w:space="0" w:color="auto"/>
      </w:divBdr>
    </w:div>
    <w:div w:id="215898504">
      <w:bodyDiv w:val="1"/>
      <w:marLeft w:val="0"/>
      <w:marRight w:val="0"/>
      <w:marTop w:val="0"/>
      <w:marBottom w:val="0"/>
      <w:divBdr>
        <w:top w:val="none" w:sz="0" w:space="0" w:color="auto"/>
        <w:left w:val="none" w:sz="0" w:space="0" w:color="auto"/>
        <w:bottom w:val="none" w:sz="0" w:space="0" w:color="auto"/>
        <w:right w:val="none" w:sz="0" w:space="0" w:color="auto"/>
      </w:divBdr>
    </w:div>
    <w:div w:id="217283268">
      <w:bodyDiv w:val="1"/>
      <w:marLeft w:val="0"/>
      <w:marRight w:val="0"/>
      <w:marTop w:val="0"/>
      <w:marBottom w:val="0"/>
      <w:divBdr>
        <w:top w:val="none" w:sz="0" w:space="0" w:color="auto"/>
        <w:left w:val="none" w:sz="0" w:space="0" w:color="auto"/>
        <w:bottom w:val="none" w:sz="0" w:space="0" w:color="auto"/>
        <w:right w:val="none" w:sz="0" w:space="0" w:color="auto"/>
      </w:divBdr>
    </w:div>
    <w:div w:id="217866989">
      <w:bodyDiv w:val="1"/>
      <w:marLeft w:val="0"/>
      <w:marRight w:val="0"/>
      <w:marTop w:val="0"/>
      <w:marBottom w:val="0"/>
      <w:divBdr>
        <w:top w:val="none" w:sz="0" w:space="0" w:color="auto"/>
        <w:left w:val="none" w:sz="0" w:space="0" w:color="auto"/>
        <w:bottom w:val="none" w:sz="0" w:space="0" w:color="auto"/>
        <w:right w:val="none" w:sz="0" w:space="0" w:color="auto"/>
      </w:divBdr>
    </w:div>
    <w:div w:id="217978579">
      <w:bodyDiv w:val="1"/>
      <w:marLeft w:val="0"/>
      <w:marRight w:val="0"/>
      <w:marTop w:val="0"/>
      <w:marBottom w:val="0"/>
      <w:divBdr>
        <w:top w:val="none" w:sz="0" w:space="0" w:color="auto"/>
        <w:left w:val="none" w:sz="0" w:space="0" w:color="auto"/>
        <w:bottom w:val="none" w:sz="0" w:space="0" w:color="auto"/>
        <w:right w:val="none" w:sz="0" w:space="0" w:color="auto"/>
      </w:divBdr>
    </w:div>
    <w:div w:id="217979411">
      <w:bodyDiv w:val="1"/>
      <w:marLeft w:val="0"/>
      <w:marRight w:val="0"/>
      <w:marTop w:val="0"/>
      <w:marBottom w:val="0"/>
      <w:divBdr>
        <w:top w:val="none" w:sz="0" w:space="0" w:color="auto"/>
        <w:left w:val="none" w:sz="0" w:space="0" w:color="auto"/>
        <w:bottom w:val="none" w:sz="0" w:space="0" w:color="auto"/>
        <w:right w:val="none" w:sz="0" w:space="0" w:color="auto"/>
      </w:divBdr>
    </w:div>
    <w:div w:id="219292077">
      <w:bodyDiv w:val="1"/>
      <w:marLeft w:val="0"/>
      <w:marRight w:val="0"/>
      <w:marTop w:val="0"/>
      <w:marBottom w:val="0"/>
      <w:divBdr>
        <w:top w:val="none" w:sz="0" w:space="0" w:color="auto"/>
        <w:left w:val="none" w:sz="0" w:space="0" w:color="auto"/>
        <w:bottom w:val="none" w:sz="0" w:space="0" w:color="auto"/>
        <w:right w:val="none" w:sz="0" w:space="0" w:color="auto"/>
      </w:divBdr>
    </w:div>
    <w:div w:id="219442207">
      <w:bodyDiv w:val="1"/>
      <w:marLeft w:val="0"/>
      <w:marRight w:val="0"/>
      <w:marTop w:val="0"/>
      <w:marBottom w:val="0"/>
      <w:divBdr>
        <w:top w:val="none" w:sz="0" w:space="0" w:color="auto"/>
        <w:left w:val="none" w:sz="0" w:space="0" w:color="auto"/>
        <w:bottom w:val="none" w:sz="0" w:space="0" w:color="auto"/>
        <w:right w:val="none" w:sz="0" w:space="0" w:color="auto"/>
      </w:divBdr>
    </w:div>
    <w:div w:id="219557602">
      <w:bodyDiv w:val="1"/>
      <w:marLeft w:val="0"/>
      <w:marRight w:val="0"/>
      <w:marTop w:val="0"/>
      <w:marBottom w:val="0"/>
      <w:divBdr>
        <w:top w:val="none" w:sz="0" w:space="0" w:color="auto"/>
        <w:left w:val="none" w:sz="0" w:space="0" w:color="auto"/>
        <w:bottom w:val="none" w:sz="0" w:space="0" w:color="auto"/>
        <w:right w:val="none" w:sz="0" w:space="0" w:color="auto"/>
      </w:divBdr>
    </w:div>
    <w:div w:id="220287186">
      <w:bodyDiv w:val="1"/>
      <w:marLeft w:val="0"/>
      <w:marRight w:val="0"/>
      <w:marTop w:val="0"/>
      <w:marBottom w:val="0"/>
      <w:divBdr>
        <w:top w:val="none" w:sz="0" w:space="0" w:color="auto"/>
        <w:left w:val="none" w:sz="0" w:space="0" w:color="auto"/>
        <w:bottom w:val="none" w:sz="0" w:space="0" w:color="auto"/>
        <w:right w:val="none" w:sz="0" w:space="0" w:color="auto"/>
      </w:divBdr>
    </w:div>
    <w:div w:id="220485248">
      <w:bodyDiv w:val="1"/>
      <w:marLeft w:val="0"/>
      <w:marRight w:val="0"/>
      <w:marTop w:val="0"/>
      <w:marBottom w:val="0"/>
      <w:divBdr>
        <w:top w:val="none" w:sz="0" w:space="0" w:color="auto"/>
        <w:left w:val="none" w:sz="0" w:space="0" w:color="auto"/>
        <w:bottom w:val="none" w:sz="0" w:space="0" w:color="auto"/>
        <w:right w:val="none" w:sz="0" w:space="0" w:color="auto"/>
      </w:divBdr>
    </w:div>
    <w:div w:id="221448462">
      <w:bodyDiv w:val="1"/>
      <w:marLeft w:val="0"/>
      <w:marRight w:val="0"/>
      <w:marTop w:val="0"/>
      <w:marBottom w:val="0"/>
      <w:divBdr>
        <w:top w:val="none" w:sz="0" w:space="0" w:color="auto"/>
        <w:left w:val="none" w:sz="0" w:space="0" w:color="auto"/>
        <w:bottom w:val="none" w:sz="0" w:space="0" w:color="auto"/>
        <w:right w:val="none" w:sz="0" w:space="0" w:color="auto"/>
      </w:divBdr>
    </w:div>
    <w:div w:id="221525693">
      <w:bodyDiv w:val="1"/>
      <w:marLeft w:val="0"/>
      <w:marRight w:val="0"/>
      <w:marTop w:val="0"/>
      <w:marBottom w:val="0"/>
      <w:divBdr>
        <w:top w:val="none" w:sz="0" w:space="0" w:color="auto"/>
        <w:left w:val="none" w:sz="0" w:space="0" w:color="auto"/>
        <w:bottom w:val="none" w:sz="0" w:space="0" w:color="auto"/>
        <w:right w:val="none" w:sz="0" w:space="0" w:color="auto"/>
      </w:divBdr>
    </w:div>
    <w:div w:id="222838054">
      <w:bodyDiv w:val="1"/>
      <w:marLeft w:val="0"/>
      <w:marRight w:val="0"/>
      <w:marTop w:val="0"/>
      <w:marBottom w:val="0"/>
      <w:divBdr>
        <w:top w:val="none" w:sz="0" w:space="0" w:color="auto"/>
        <w:left w:val="none" w:sz="0" w:space="0" w:color="auto"/>
        <w:bottom w:val="none" w:sz="0" w:space="0" w:color="auto"/>
        <w:right w:val="none" w:sz="0" w:space="0" w:color="auto"/>
      </w:divBdr>
    </w:div>
    <w:div w:id="223182229">
      <w:bodyDiv w:val="1"/>
      <w:marLeft w:val="0"/>
      <w:marRight w:val="0"/>
      <w:marTop w:val="0"/>
      <w:marBottom w:val="0"/>
      <w:divBdr>
        <w:top w:val="none" w:sz="0" w:space="0" w:color="auto"/>
        <w:left w:val="none" w:sz="0" w:space="0" w:color="auto"/>
        <w:bottom w:val="none" w:sz="0" w:space="0" w:color="auto"/>
        <w:right w:val="none" w:sz="0" w:space="0" w:color="auto"/>
      </w:divBdr>
    </w:div>
    <w:div w:id="223413701">
      <w:bodyDiv w:val="1"/>
      <w:marLeft w:val="0"/>
      <w:marRight w:val="0"/>
      <w:marTop w:val="0"/>
      <w:marBottom w:val="0"/>
      <w:divBdr>
        <w:top w:val="none" w:sz="0" w:space="0" w:color="auto"/>
        <w:left w:val="none" w:sz="0" w:space="0" w:color="auto"/>
        <w:bottom w:val="none" w:sz="0" w:space="0" w:color="auto"/>
        <w:right w:val="none" w:sz="0" w:space="0" w:color="auto"/>
      </w:divBdr>
    </w:div>
    <w:div w:id="223761164">
      <w:bodyDiv w:val="1"/>
      <w:marLeft w:val="0"/>
      <w:marRight w:val="0"/>
      <w:marTop w:val="0"/>
      <w:marBottom w:val="0"/>
      <w:divBdr>
        <w:top w:val="none" w:sz="0" w:space="0" w:color="auto"/>
        <w:left w:val="none" w:sz="0" w:space="0" w:color="auto"/>
        <w:bottom w:val="none" w:sz="0" w:space="0" w:color="auto"/>
        <w:right w:val="none" w:sz="0" w:space="0" w:color="auto"/>
      </w:divBdr>
    </w:div>
    <w:div w:id="223835539">
      <w:bodyDiv w:val="1"/>
      <w:marLeft w:val="0"/>
      <w:marRight w:val="0"/>
      <w:marTop w:val="0"/>
      <w:marBottom w:val="0"/>
      <w:divBdr>
        <w:top w:val="none" w:sz="0" w:space="0" w:color="auto"/>
        <w:left w:val="none" w:sz="0" w:space="0" w:color="auto"/>
        <w:bottom w:val="none" w:sz="0" w:space="0" w:color="auto"/>
        <w:right w:val="none" w:sz="0" w:space="0" w:color="auto"/>
      </w:divBdr>
    </w:div>
    <w:div w:id="223952631">
      <w:bodyDiv w:val="1"/>
      <w:marLeft w:val="0"/>
      <w:marRight w:val="0"/>
      <w:marTop w:val="0"/>
      <w:marBottom w:val="0"/>
      <w:divBdr>
        <w:top w:val="none" w:sz="0" w:space="0" w:color="auto"/>
        <w:left w:val="none" w:sz="0" w:space="0" w:color="auto"/>
        <w:bottom w:val="none" w:sz="0" w:space="0" w:color="auto"/>
        <w:right w:val="none" w:sz="0" w:space="0" w:color="auto"/>
      </w:divBdr>
    </w:div>
    <w:div w:id="225069065">
      <w:bodyDiv w:val="1"/>
      <w:marLeft w:val="0"/>
      <w:marRight w:val="0"/>
      <w:marTop w:val="0"/>
      <w:marBottom w:val="0"/>
      <w:divBdr>
        <w:top w:val="none" w:sz="0" w:space="0" w:color="auto"/>
        <w:left w:val="none" w:sz="0" w:space="0" w:color="auto"/>
        <w:bottom w:val="none" w:sz="0" w:space="0" w:color="auto"/>
        <w:right w:val="none" w:sz="0" w:space="0" w:color="auto"/>
      </w:divBdr>
    </w:div>
    <w:div w:id="225186796">
      <w:bodyDiv w:val="1"/>
      <w:marLeft w:val="0"/>
      <w:marRight w:val="0"/>
      <w:marTop w:val="0"/>
      <w:marBottom w:val="0"/>
      <w:divBdr>
        <w:top w:val="none" w:sz="0" w:space="0" w:color="auto"/>
        <w:left w:val="none" w:sz="0" w:space="0" w:color="auto"/>
        <w:bottom w:val="none" w:sz="0" w:space="0" w:color="auto"/>
        <w:right w:val="none" w:sz="0" w:space="0" w:color="auto"/>
      </w:divBdr>
    </w:div>
    <w:div w:id="225335608">
      <w:bodyDiv w:val="1"/>
      <w:marLeft w:val="0"/>
      <w:marRight w:val="0"/>
      <w:marTop w:val="0"/>
      <w:marBottom w:val="0"/>
      <w:divBdr>
        <w:top w:val="none" w:sz="0" w:space="0" w:color="auto"/>
        <w:left w:val="none" w:sz="0" w:space="0" w:color="auto"/>
        <w:bottom w:val="none" w:sz="0" w:space="0" w:color="auto"/>
        <w:right w:val="none" w:sz="0" w:space="0" w:color="auto"/>
      </w:divBdr>
    </w:div>
    <w:div w:id="225457569">
      <w:bodyDiv w:val="1"/>
      <w:marLeft w:val="0"/>
      <w:marRight w:val="0"/>
      <w:marTop w:val="0"/>
      <w:marBottom w:val="0"/>
      <w:divBdr>
        <w:top w:val="none" w:sz="0" w:space="0" w:color="auto"/>
        <w:left w:val="none" w:sz="0" w:space="0" w:color="auto"/>
        <w:bottom w:val="none" w:sz="0" w:space="0" w:color="auto"/>
        <w:right w:val="none" w:sz="0" w:space="0" w:color="auto"/>
      </w:divBdr>
    </w:div>
    <w:div w:id="226845968">
      <w:bodyDiv w:val="1"/>
      <w:marLeft w:val="0"/>
      <w:marRight w:val="0"/>
      <w:marTop w:val="0"/>
      <w:marBottom w:val="0"/>
      <w:divBdr>
        <w:top w:val="none" w:sz="0" w:space="0" w:color="auto"/>
        <w:left w:val="none" w:sz="0" w:space="0" w:color="auto"/>
        <w:bottom w:val="none" w:sz="0" w:space="0" w:color="auto"/>
        <w:right w:val="none" w:sz="0" w:space="0" w:color="auto"/>
      </w:divBdr>
    </w:div>
    <w:div w:id="226965182">
      <w:bodyDiv w:val="1"/>
      <w:marLeft w:val="0"/>
      <w:marRight w:val="0"/>
      <w:marTop w:val="0"/>
      <w:marBottom w:val="0"/>
      <w:divBdr>
        <w:top w:val="none" w:sz="0" w:space="0" w:color="auto"/>
        <w:left w:val="none" w:sz="0" w:space="0" w:color="auto"/>
        <w:bottom w:val="none" w:sz="0" w:space="0" w:color="auto"/>
        <w:right w:val="none" w:sz="0" w:space="0" w:color="auto"/>
      </w:divBdr>
    </w:div>
    <w:div w:id="227573501">
      <w:bodyDiv w:val="1"/>
      <w:marLeft w:val="0"/>
      <w:marRight w:val="0"/>
      <w:marTop w:val="0"/>
      <w:marBottom w:val="0"/>
      <w:divBdr>
        <w:top w:val="none" w:sz="0" w:space="0" w:color="auto"/>
        <w:left w:val="none" w:sz="0" w:space="0" w:color="auto"/>
        <w:bottom w:val="none" w:sz="0" w:space="0" w:color="auto"/>
        <w:right w:val="none" w:sz="0" w:space="0" w:color="auto"/>
      </w:divBdr>
    </w:div>
    <w:div w:id="228156477">
      <w:bodyDiv w:val="1"/>
      <w:marLeft w:val="0"/>
      <w:marRight w:val="0"/>
      <w:marTop w:val="0"/>
      <w:marBottom w:val="0"/>
      <w:divBdr>
        <w:top w:val="none" w:sz="0" w:space="0" w:color="auto"/>
        <w:left w:val="none" w:sz="0" w:space="0" w:color="auto"/>
        <w:bottom w:val="none" w:sz="0" w:space="0" w:color="auto"/>
        <w:right w:val="none" w:sz="0" w:space="0" w:color="auto"/>
      </w:divBdr>
    </w:div>
    <w:div w:id="228611607">
      <w:bodyDiv w:val="1"/>
      <w:marLeft w:val="0"/>
      <w:marRight w:val="0"/>
      <w:marTop w:val="0"/>
      <w:marBottom w:val="0"/>
      <w:divBdr>
        <w:top w:val="none" w:sz="0" w:space="0" w:color="auto"/>
        <w:left w:val="none" w:sz="0" w:space="0" w:color="auto"/>
        <w:bottom w:val="none" w:sz="0" w:space="0" w:color="auto"/>
        <w:right w:val="none" w:sz="0" w:space="0" w:color="auto"/>
      </w:divBdr>
    </w:div>
    <w:div w:id="228616386">
      <w:bodyDiv w:val="1"/>
      <w:marLeft w:val="0"/>
      <w:marRight w:val="0"/>
      <w:marTop w:val="0"/>
      <w:marBottom w:val="0"/>
      <w:divBdr>
        <w:top w:val="none" w:sz="0" w:space="0" w:color="auto"/>
        <w:left w:val="none" w:sz="0" w:space="0" w:color="auto"/>
        <w:bottom w:val="none" w:sz="0" w:space="0" w:color="auto"/>
        <w:right w:val="none" w:sz="0" w:space="0" w:color="auto"/>
      </w:divBdr>
    </w:div>
    <w:div w:id="230970227">
      <w:bodyDiv w:val="1"/>
      <w:marLeft w:val="0"/>
      <w:marRight w:val="0"/>
      <w:marTop w:val="0"/>
      <w:marBottom w:val="0"/>
      <w:divBdr>
        <w:top w:val="none" w:sz="0" w:space="0" w:color="auto"/>
        <w:left w:val="none" w:sz="0" w:space="0" w:color="auto"/>
        <w:bottom w:val="none" w:sz="0" w:space="0" w:color="auto"/>
        <w:right w:val="none" w:sz="0" w:space="0" w:color="auto"/>
      </w:divBdr>
    </w:div>
    <w:div w:id="231694164">
      <w:bodyDiv w:val="1"/>
      <w:marLeft w:val="0"/>
      <w:marRight w:val="0"/>
      <w:marTop w:val="0"/>
      <w:marBottom w:val="0"/>
      <w:divBdr>
        <w:top w:val="none" w:sz="0" w:space="0" w:color="auto"/>
        <w:left w:val="none" w:sz="0" w:space="0" w:color="auto"/>
        <w:bottom w:val="none" w:sz="0" w:space="0" w:color="auto"/>
        <w:right w:val="none" w:sz="0" w:space="0" w:color="auto"/>
      </w:divBdr>
    </w:div>
    <w:div w:id="232083300">
      <w:bodyDiv w:val="1"/>
      <w:marLeft w:val="0"/>
      <w:marRight w:val="0"/>
      <w:marTop w:val="0"/>
      <w:marBottom w:val="0"/>
      <w:divBdr>
        <w:top w:val="none" w:sz="0" w:space="0" w:color="auto"/>
        <w:left w:val="none" w:sz="0" w:space="0" w:color="auto"/>
        <w:bottom w:val="none" w:sz="0" w:space="0" w:color="auto"/>
        <w:right w:val="none" w:sz="0" w:space="0" w:color="auto"/>
      </w:divBdr>
    </w:div>
    <w:div w:id="232618499">
      <w:bodyDiv w:val="1"/>
      <w:marLeft w:val="0"/>
      <w:marRight w:val="0"/>
      <w:marTop w:val="0"/>
      <w:marBottom w:val="0"/>
      <w:divBdr>
        <w:top w:val="none" w:sz="0" w:space="0" w:color="auto"/>
        <w:left w:val="none" w:sz="0" w:space="0" w:color="auto"/>
        <w:bottom w:val="none" w:sz="0" w:space="0" w:color="auto"/>
        <w:right w:val="none" w:sz="0" w:space="0" w:color="auto"/>
      </w:divBdr>
    </w:div>
    <w:div w:id="232938330">
      <w:bodyDiv w:val="1"/>
      <w:marLeft w:val="0"/>
      <w:marRight w:val="0"/>
      <w:marTop w:val="0"/>
      <w:marBottom w:val="0"/>
      <w:divBdr>
        <w:top w:val="none" w:sz="0" w:space="0" w:color="auto"/>
        <w:left w:val="none" w:sz="0" w:space="0" w:color="auto"/>
        <w:bottom w:val="none" w:sz="0" w:space="0" w:color="auto"/>
        <w:right w:val="none" w:sz="0" w:space="0" w:color="auto"/>
      </w:divBdr>
    </w:div>
    <w:div w:id="233048973">
      <w:bodyDiv w:val="1"/>
      <w:marLeft w:val="0"/>
      <w:marRight w:val="0"/>
      <w:marTop w:val="0"/>
      <w:marBottom w:val="0"/>
      <w:divBdr>
        <w:top w:val="none" w:sz="0" w:space="0" w:color="auto"/>
        <w:left w:val="none" w:sz="0" w:space="0" w:color="auto"/>
        <w:bottom w:val="none" w:sz="0" w:space="0" w:color="auto"/>
        <w:right w:val="none" w:sz="0" w:space="0" w:color="auto"/>
      </w:divBdr>
    </w:div>
    <w:div w:id="233126498">
      <w:bodyDiv w:val="1"/>
      <w:marLeft w:val="0"/>
      <w:marRight w:val="0"/>
      <w:marTop w:val="0"/>
      <w:marBottom w:val="0"/>
      <w:divBdr>
        <w:top w:val="none" w:sz="0" w:space="0" w:color="auto"/>
        <w:left w:val="none" w:sz="0" w:space="0" w:color="auto"/>
        <w:bottom w:val="none" w:sz="0" w:space="0" w:color="auto"/>
        <w:right w:val="none" w:sz="0" w:space="0" w:color="auto"/>
      </w:divBdr>
    </w:div>
    <w:div w:id="234318834">
      <w:bodyDiv w:val="1"/>
      <w:marLeft w:val="0"/>
      <w:marRight w:val="0"/>
      <w:marTop w:val="0"/>
      <w:marBottom w:val="0"/>
      <w:divBdr>
        <w:top w:val="none" w:sz="0" w:space="0" w:color="auto"/>
        <w:left w:val="none" w:sz="0" w:space="0" w:color="auto"/>
        <w:bottom w:val="none" w:sz="0" w:space="0" w:color="auto"/>
        <w:right w:val="none" w:sz="0" w:space="0" w:color="auto"/>
      </w:divBdr>
    </w:div>
    <w:div w:id="236061624">
      <w:bodyDiv w:val="1"/>
      <w:marLeft w:val="0"/>
      <w:marRight w:val="0"/>
      <w:marTop w:val="0"/>
      <w:marBottom w:val="0"/>
      <w:divBdr>
        <w:top w:val="none" w:sz="0" w:space="0" w:color="auto"/>
        <w:left w:val="none" w:sz="0" w:space="0" w:color="auto"/>
        <w:bottom w:val="none" w:sz="0" w:space="0" w:color="auto"/>
        <w:right w:val="none" w:sz="0" w:space="0" w:color="auto"/>
      </w:divBdr>
    </w:div>
    <w:div w:id="236673893">
      <w:bodyDiv w:val="1"/>
      <w:marLeft w:val="0"/>
      <w:marRight w:val="0"/>
      <w:marTop w:val="0"/>
      <w:marBottom w:val="0"/>
      <w:divBdr>
        <w:top w:val="none" w:sz="0" w:space="0" w:color="auto"/>
        <w:left w:val="none" w:sz="0" w:space="0" w:color="auto"/>
        <w:bottom w:val="none" w:sz="0" w:space="0" w:color="auto"/>
        <w:right w:val="none" w:sz="0" w:space="0" w:color="auto"/>
      </w:divBdr>
    </w:div>
    <w:div w:id="236794284">
      <w:bodyDiv w:val="1"/>
      <w:marLeft w:val="0"/>
      <w:marRight w:val="0"/>
      <w:marTop w:val="0"/>
      <w:marBottom w:val="0"/>
      <w:divBdr>
        <w:top w:val="none" w:sz="0" w:space="0" w:color="auto"/>
        <w:left w:val="none" w:sz="0" w:space="0" w:color="auto"/>
        <w:bottom w:val="none" w:sz="0" w:space="0" w:color="auto"/>
        <w:right w:val="none" w:sz="0" w:space="0" w:color="auto"/>
      </w:divBdr>
    </w:div>
    <w:div w:id="237398812">
      <w:bodyDiv w:val="1"/>
      <w:marLeft w:val="0"/>
      <w:marRight w:val="0"/>
      <w:marTop w:val="0"/>
      <w:marBottom w:val="0"/>
      <w:divBdr>
        <w:top w:val="none" w:sz="0" w:space="0" w:color="auto"/>
        <w:left w:val="none" w:sz="0" w:space="0" w:color="auto"/>
        <w:bottom w:val="none" w:sz="0" w:space="0" w:color="auto"/>
        <w:right w:val="none" w:sz="0" w:space="0" w:color="auto"/>
      </w:divBdr>
    </w:div>
    <w:div w:id="237448760">
      <w:bodyDiv w:val="1"/>
      <w:marLeft w:val="0"/>
      <w:marRight w:val="0"/>
      <w:marTop w:val="0"/>
      <w:marBottom w:val="0"/>
      <w:divBdr>
        <w:top w:val="none" w:sz="0" w:space="0" w:color="auto"/>
        <w:left w:val="none" w:sz="0" w:space="0" w:color="auto"/>
        <w:bottom w:val="none" w:sz="0" w:space="0" w:color="auto"/>
        <w:right w:val="none" w:sz="0" w:space="0" w:color="auto"/>
      </w:divBdr>
    </w:div>
    <w:div w:id="237903098">
      <w:bodyDiv w:val="1"/>
      <w:marLeft w:val="0"/>
      <w:marRight w:val="0"/>
      <w:marTop w:val="0"/>
      <w:marBottom w:val="0"/>
      <w:divBdr>
        <w:top w:val="none" w:sz="0" w:space="0" w:color="auto"/>
        <w:left w:val="none" w:sz="0" w:space="0" w:color="auto"/>
        <w:bottom w:val="none" w:sz="0" w:space="0" w:color="auto"/>
        <w:right w:val="none" w:sz="0" w:space="0" w:color="auto"/>
      </w:divBdr>
    </w:div>
    <w:div w:id="238057258">
      <w:bodyDiv w:val="1"/>
      <w:marLeft w:val="0"/>
      <w:marRight w:val="0"/>
      <w:marTop w:val="0"/>
      <w:marBottom w:val="0"/>
      <w:divBdr>
        <w:top w:val="none" w:sz="0" w:space="0" w:color="auto"/>
        <w:left w:val="none" w:sz="0" w:space="0" w:color="auto"/>
        <w:bottom w:val="none" w:sz="0" w:space="0" w:color="auto"/>
        <w:right w:val="none" w:sz="0" w:space="0" w:color="auto"/>
      </w:divBdr>
    </w:div>
    <w:div w:id="239604982">
      <w:bodyDiv w:val="1"/>
      <w:marLeft w:val="0"/>
      <w:marRight w:val="0"/>
      <w:marTop w:val="0"/>
      <w:marBottom w:val="0"/>
      <w:divBdr>
        <w:top w:val="none" w:sz="0" w:space="0" w:color="auto"/>
        <w:left w:val="none" w:sz="0" w:space="0" w:color="auto"/>
        <w:bottom w:val="none" w:sz="0" w:space="0" w:color="auto"/>
        <w:right w:val="none" w:sz="0" w:space="0" w:color="auto"/>
      </w:divBdr>
    </w:div>
    <w:div w:id="240723533">
      <w:bodyDiv w:val="1"/>
      <w:marLeft w:val="0"/>
      <w:marRight w:val="0"/>
      <w:marTop w:val="0"/>
      <w:marBottom w:val="0"/>
      <w:divBdr>
        <w:top w:val="none" w:sz="0" w:space="0" w:color="auto"/>
        <w:left w:val="none" w:sz="0" w:space="0" w:color="auto"/>
        <w:bottom w:val="none" w:sz="0" w:space="0" w:color="auto"/>
        <w:right w:val="none" w:sz="0" w:space="0" w:color="auto"/>
      </w:divBdr>
    </w:div>
    <w:div w:id="240799559">
      <w:bodyDiv w:val="1"/>
      <w:marLeft w:val="0"/>
      <w:marRight w:val="0"/>
      <w:marTop w:val="0"/>
      <w:marBottom w:val="0"/>
      <w:divBdr>
        <w:top w:val="none" w:sz="0" w:space="0" w:color="auto"/>
        <w:left w:val="none" w:sz="0" w:space="0" w:color="auto"/>
        <w:bottom w:val="none" w:sz="0" w:space="0" w:color="auto"/>
        <w:right w:val="none" w:sz="0" w:space="0" w:color="auto"/>
      </w:divBdr>
    </w:div>
    <w:div w:id="241109587">
      <w:bodyDiv w:val="1"/>
      <w:marLeft w:val="0"/>
      <w:marRight w:val="0"/>
      <w:marTop w:val="0"/>
      <w:marBottom w:val="0"/>
      <w:divBdr>
        <w:top w:val="none" w:sz="0" w:space="0" w:color="auto"/>
        <w:left w:val="none" w:sz="0" w:space="0" w:color="auto"/>
        <w:bottom w:val="none" w:sz="0" w:space="0" w:color="auto"/>
        <w:right w:val="none" w:sz="0" w:space="0" w:color="auto"/>
      </w:divBdr>
    </w:div>
    <w:div w:id="241260322">
      <w:bodyDiv w:val="1"/>
      <w:marLeft w:val="0"/>
      <w:marRight w:val="0"/>
      <w:marTop w:val="0"/>
      <w:marBottom w:val="0"/>
      <w:divBdr>
        <w:top w:val="none" w:sz="0" w:space="0" w:color="auto"/>
        <w:left w:val="none" w:sz="0" w:space="0" w:color="auto"/>
        <w:bottom w:val="none" w:sz="0" w:space="0" w:color="auto"/>
        <w:right w:val="none" w:sz="0" w:space="0" w:color="auto"/>
      </w:divBdr>
    </w:div>
    <w:div w:id="241647279">
      <w:bodyDiv w:val="1"/>
      <w:marLeft w:val="0"/>
      <w:marRight w:val="0"/>
      <w:marTop w:val="0"/>
      <w:marBottom w:val="0"/>
      <w:divBdr>
        <w:top w:val="none" w:sz="0" w:space="0" w:color="auto"/>
        <w:left w:val="none" w:sz="0" w:space="0" w:color="auto"/>
        <w:bottom w:val="none" w:sz="0" w:space="0" w:color="auto"/>
        <w:right w:val="none" w:sz="0" w:space="0" w:color="auto"/>
      </w:divBdr>
    </w:div>
    <w:div w:id="243488705">
      <w:bodyDiv w:val="1"/>
      <w:marLeft w:val="0"/>
      <w:marRight w:val="0"/>
      <w:marTop w:val="0"/>
      <w:marBottom w:val="0"/>
      <w:divBdr>
        <w:top w:val="none" w:sz="0" w:space="0" w:color="auto"/>
        <w:left w:val="none" w:sz="0" w:space="0" w:color="auto"/>
        <w:bottom w:val="none" w:sz="0" w:space="0" w:color="auto"/>
        <w:right w:val="none" w:sz="0" w:space="0" w:color="auto"/>
      </w:divBdr>
    </w:div>
    <w:div w:id="243538196">
      <w:bodyDiv w:val="1"/>
      <w:marLeft w:val="0"/>
      <w:marRight w:val="0"/>
      <w:marTop w:val="0"/>
      <w:marBottom w:val="0"/>
      <w:divBdr>
        <w:top w:val="none" w:sz="0" w:space="0" w:color="auto"/>
        <w:left w:val="none" w:sz="0" w:space="0" w:color="auto"/>
        <w:bottom w:val="none" w:sz="0" w:space="0" w:color="auto"/>
        <w:right w:val="none" w:sz="0" w:space="0" w:color="auto"/>
      </w:divBdr>
    </w:div>
    <w:div w:id="243733762">
      <w:bodyDiv w:val="1"/>
      <w:marLeft w:val="0"/>
      <w:marRight w:val="0"/>
      <w:marTop w:val="0"/>
      <w:marBottom w:val="0"/>
      <w:divBdr>
        <w:top w:val="none" w:sz="0" w:space="0" w:color="auto"/>
        <w:left w:val="none" w:sz="0" w:space="0" w:color="auto"/>
        <w:bottom w:val="none" w:sz="0" w:space="0" w:color="auto"/>
        <w:right w:val="none" w:sz="0" w:space="0" w:color="auto"/>
      </w:divBdr>
    </w:div>
    <w:div w:id="244000196">
      <w:bodyDiv w:val="1"/>
      <w:marLeft w:val="0"/>
      <w:marRight w:val="0"/>
      <w:marTop w:val="0"/>
      <w:marBottom w:val="0"/>
      <w:divBdr>
        <w:top w:val="none" w:sz="0" w:space="0" w:color="auto"/>
        <w:left w:val="none" w:sz="0" w:space="0" w:color="auto"/>
        <w:bottom w:val="none" w:sz="0" w:space="0" w:color="auto"/>
        <w:right w:val="none" w:sz="0" w:space="0" w:color="auto"/>
      </w:divBdr>
    </w:div>
    <w:div w:id="244070701">
      <w:bodyDiv w:val="1"/>
      <w:marLeft w:val="0"/>
      <w:marRight w:val="0"/>
      <w:marTop w:val="0"/>
      <w:marBottom w:val="0"/>
      <w:divBdr>
        <w:top w:val="none" w:sz="0" w:space="0" w:color="auto"/>
        <w:left w:val="none" w:sz="0" w:space="0" w:color="auto"/>
        <w:bottom w:val="none" w:sz="0" w:space="0" w:color="auto"/>
        <w:right w:val="none" w:sz="0" w:space="0" w:color="auto"/>
      </w:divBdr>
    </w:div>
    <w:div w:id="244147523">
      <w:bodyDiv w:val="1"/>
      <w:marLeft w:val="0"/>
      <w:marRight w:val="0"/>
      <w:marTop w:val="0"/>
      <w:marBottom w:val="0"/>
      <w:divBdr>
        <w:top w:val="none" w:sz="0" w:space="0" w:color="auto"/>
        <w:left w:val="none" w:sz="0" w:space="0" w:color="auto"/>
        <w:bottom w:val="none" w:sz="0" w:space="0" w:color="auto"/>
        <w:right w:val="none" w:sz="0" w:space="0" w:color="auto"/>
      </w:divBdr>
    </w:div>
    <w:div w:id="244346556">
      <w:bodyDiv w:val="1"/>
      <w:marLeft w:val="0"/>
      <w:marRight w:val="0"/>
      <w:marTop w:val="0"/>
      <w:marBottom w:val="0"/>
      <w:divBdr>
        <w:top w:val="none" w:sz="0" w:space="0" w:color="auto"/>
        <w:left w:val="none" w:sz="0" w:space="0" w:color="auto"/>
        <w:bottom w:val="none" w:sz="0" w:space="0" w:color="auto"/>
        <w:right w:val="none" w:sz="0" w:space="0" w:color="auto"/>
      </w:divBdr>
    </w:div>
    <w:div w:id="245695533">
      <w:bodyDiv w:val="1"/>
      <w:marLeft w:val="0"/>
      <w:marRight w:val="0"/>
      <w:marTop w:val="0"/>
      <w:marBottom w:val="0"/>
      <w:divBdr>
        <w:top w:val="none" w:sz="0" w:space="0" w:color="auto"/>
        <w:left w:val="none" w:sz="0" w:space="0" w:color="auto"/>
        <w:bottom w:val="none" w:sz="0" w:space="0" w:color="auto"/>
        <w:right w:val="none" w:sz="0" w:space="0" w:color="auto"/>
      </w:divBdr>
    </w:div>
    <w:div w:id="247229449">
      <w:bodyDiv w:val="1"/>
      <w:marLeft w:val="0"/>
      <w:marRight w:val="0"/>
      <w:marTop w:val="0"/>
      <w:marBottom w:val="0"/>
      <w:divBdr>
        <w:top w:val="none" w:sz="0" w:space="0" w:color="auto"/>
        <w:left w:val="none" w:sz="0" w:space="0" w:color="auto"/>
        <w:bottom w:val="none" w:sz="0" w:space="0" w:color="auto"/>
        <w:right w:val="none" w:sz="0" w:space="0" w:color="auto"/>
      </w:divBdr>
    </w:div>
    <w:div w:id="248084546">
      <w:bodyDiv w:val="1"/>
      <w:marLeft w:val="0"/>
      <w:marRight w:val="0"/>
      <w:marTop w:val="0"/>
      <w:marBottom w:val="0"/>
      <w:divBdr>
        <w:top w:val="none" w:sz="0" w:space="0" w:color="auto"/>
        <w:left w:val="none" w:sz="0" w:space="0" w:color="auto"/>
        <w:bottom w:val="none" w:sz="0" w:space="0" w:color="auto"/>
        <w:right w:val="none" w:sz="0" w:space="0" w:color="auto"/>
      </w:divBdr>
    </w:div>
    <w:div w:id="249238519">
      <w:bodyDiv w:val="1"/>
      <w:marLeft w:val="0"/>
      <w:marRight w:val="0"/>
      <w:marTop w:val="0"/>
      <w:marBottom w:val="0"/>
      <w:divBdr>
        <w:top w:val="none" w:sz="0" w:space="0" w:color="auto"/>
        <w:left w:val="none" w:sz="0" w:space="0" w:color="auto"/>
        <w:bottom w:val="none" w:sz="0" w:space="0" w:color="auto"/>
        <w:right w:val="none" w:sz="0" w:space="0" w:color="auto"/>
      </w:divBdr>
    </w:div>
    <w:div w:id="249971955">
      <w:bodyDiv w:val="1"/>
      <w:marLeft w:val="0"/>
      <w:marRight w:val="0"/>
      <w:marTop w:val="0"/>
      <w:marBottom w:val="0"/>
      <w:divBdr>
        <w:top w:val="none" w:sz="0" w:space="0" w:color="auto"/>
        <w:left w:val="none" w:sz="0" w:space="0" w:color="auto"/>
        <w:bottom w:val="none" w:sz="0" w:space="0" w:color="auto"/>
        <w:right w:val="none" w:sz="0" w:space="0" w:color="auto"/>
      </w:divBdr>
    </w:div>
    <w:div w:id="251396369">
      <w:bodyDiv w:val="1"/>
      <w:marLeft w:val="0"/>
      <w:marRight w:val="0"/>
      <w:marTop w:val="0"/>
      <w:marBottom w:val="0"/>
      <w:divBdr>
        <w:top w:val="none" w:sz="0" w:space="0" w:color="auto"/>
        <w:left w:val="none" w:sz="0" w:space="0" w:color="auto"/>
        <w:bottom w:val="none" w:sz="0" w:space="0" w:color="auto"/>
        <w:right w:val="none" w:sz="0" w:space="0" w:color="auto"/>
      </w:divBdr>
    </w:div>
    <w:div w:id="252396220">
      <w:bodyDiv w:val="1"/>
      <w:marLeft w:val="0"/>
      <w:marRight w:val="0"/>
      <w:marTop w:val="0"/>
      <w:marBottom w:val="0"/>
      <w:divBdr>
        <w:top w:val="none" w:sz="0" w:space="0" w:color="auto"/>
        <w:left w:val="none" w:sz="0" w:space="0" w:color="auto"/>
        <w:bottom w:val="none" w:sz="0" w:space="0" w:color="auto"/>
        <w:right w:val="none" w:sz="0" w:space="0" w:color="auto"/>
      </w:divBdr>
    </w:div>
    <w:div w:id="252593311">
      <w:bodyDiv w:val="1"/>
      <w:marLeft w:val="0"/>
      <w:marRight w:val="0"/>
      <w:marTop w:val="0"/>
      <w:marBottom w:val="0"/>
      <w:divBdr>
        <w:top w:val="none" w:sz="0" w:space="0" w:color="auto"/>
        <w:left w:val="none" w:sz="0" w:space="0" w:color="auto"/>
        <w:bottom w:val="none" w:sz="0" w:space="0" w:color="auto"/>
        <w:right w:val="none" w:sz="0" w:space="0" w:color="auto"/>
      </w:divBdr>
    </w:div>
    <w:div w:id="253903121">
      <w:bodyDiv w:val="1"/>
      <w:marLeft w:val="0"/>
      <w:marRight w:val="0"/>
      <w:marTop w:val="0"/>
      <w:marBottom w:val="0"/>
      <w:divBdr>
        <w:top w:val="none" w:sz="0" w:space="0" w:color="auto"/>
        <w:left w:val="none" w:sz="0" w:space="0" w:color="auto"/>
        <w:bottom w:val="none" w:sz="0" w:space="0" w:color="auto"/>
        <w:right w:val="none" w:sz="0" w:space="0" w:color="auto"/>
      </w:divBdr>
    </w:div>
    <w:div w:id="255287027">
      <w:bodyDiv w:val="1"/>
      <w:marLeft w:val="0"/>
      <w:marRight w:val="0"/>
      <w:marTop w:val="0"/>
      <w:marBottom w:val="0"/>
      <w:divBdr>
        <w:top w:val="none" w:sz="0" w:space="0" w:color="auto"/>
        <w:left w:val="none" w:sz="0" w:space="0" w:color="auto"/>
        <w:bottom w:val="none" w:sz="0" w:space="0" w:color="auto"/>
        <w:right w:val="none" w:sz="0" w:space="0" w:color="auto"/>
      </w:divBdr>
    </w:div>
    <w:div w:id="256329443">
      <w:bodyDiv w:val="1"/>
      <w:marLeft w:val="0"/>
      <w:marRight w:val="0"/>
      <w:marTop w:val="0"/>
      <w:marBottom w:val="0"/>
      <w:divBdr>
        <w:top w:val="none" w:sz="0" w:space="0" w:color="auto"/>
        <w:left w:val="none" w:sz="0" w:space="0" w:color="auto"/>
        <w:bottom w:val="none" w:sz="0" w:space="0" w:color="auto"/>
        <w:right w:val="none" w:sz="0" w:space="0" w:color="auto"/>
      </w:divBdr>
    </w:div>
    <w:div w:id="256596102">
      <w:bodyDiv w:val="1"/>
      <w:marLeft w:val="0"/>
      <w:marRight w:val="0"/>
      <w:marTop w:val="0"/>
      <w:marBottom w:val="0"/>
      <w:divBdr>
        <w:top w:val="none" w:sz="0" w:space="0" w:color="auto"/>
        <w:left w:val="none" w:sz="0" w:space="0" w:color="auto"/>
        <w:bottom w:val="none" w:sz="0" w:space="0" w:color="auto"/>
        <w:right w:val="none" w:sz="0" w:space="0" w:color="auto"/>
      </w:divBdr>
    </w:div>
    <w:div w:id="256717203">
      <w:bodyDiv w:val="1"/>
      <w:marLeft w:val="0"/>
      <w:marRight w:val="0"/>
      <w:marTop w:val="0"/>
      <w:marBottom w:val="0"/>
      <w:divBdr>
        <w:top w:val="none" w:sz="0" w:space="0" w:color="auto"/>
        <w:left w:val="none" w:sz="0" w:space="0" w:color="auto"/>
        <w:bottom w:val="none" w:sz="0" w:space="0" w:color="auto"/>
        <w:right w:val="none" w:sz="0" w:space="0" w:color="auto"/>
      </w:divBdr>
    </w:div>
    <w:div w:id="258486156">
      <w:bodyDiv w:val="1"/>
      <w:marLeft w:val="0"/>
      <w:marRight w:val="0"/>
      <w:marTop w:val="0"/>
      <w:marBottom w:val="0"/>
      <w:divBdr>
        <w:top w:val="none" w:sz="0" w:space="0" w:color="auto"/>
        <w:left w:val="none" w:sz="0" w:space="0" w:color="auto"/>
        <w:bottom w:val="none" w:sz="0" w:space="0" w:color="auto"/>
        <w:right w:val="none" w:sz="0" w:space="0" w:color="auto"/>
      </w:divBdr>
    </w:div>
    <w:div w:id="258759236">
      <w:bodyDiv w:val="1"/>
      <w:marLeft w:val="0"/>
      <w:marRight w:val="0"/>
      <w:marTop w:val="0"/>
      <w:marBottom w:val="0"/>
      <w:divBdr>
        <w:top w:val="none" w:sz="0" w:space="0" w:color="auto"/>
        <w:left w:val="none" w:sz="0" w:space="0" w:color="auto"/>
        <w:bottom w:val="none" w:sz="0" w:space="0" w:color="auto"/>
        <w:right w:val="none" w:sz="0" w:space="0" w:color="auto"/>
      </w:divBdr>
    </w:div>
    <w:div w:id="258871818">
      <w:bodyDiv w:val="1"/>
      <w:marLeft w:val="0"/>
      <w:marRight w:val="0"/>
      <w:marTop w:val="0"/>
      <w:marBottom w:val="0"/>
      <w:divBdr>
        <w:top w:val="none" w:sz="0" w:space="0" w:color="auto"/>
        <w:left w:val="none" w:sz="0" w:space="0" w:color="auto"/>
        <w:bottom w:val="none" w:sz="0" w:space="0" w:color="auto"/>
        <w:right w:val="none" w:sz="0" w:space="0" w:color="auto"/>
      </w:divBdr>
    </w:div>
    <w:div w:id="259223554">
      <w:bodyDiv w:val="1"/>
      <w:marLeft w:val="0"/>
      <w:marRight w:val="0"/>
      <w:marTop w:val="0"/>
      <w:marBottom w:val="0"/>
      <w:divBdr>
        <w:top w:val="none" w:sz="0" w:space="0" w:color="auto"/>
        <w:left w:val="none" w:sz="0" w:space="0" w:color="auto"/>
        <w:bottom w:val="none" w:sz="0" w:space="0" w:color="auto"/>
        <w:right w:val="none" w:sz="0" w:space="0" w:color="auto"/>
      </w:divBdr>
    </w:div>
    <w:div w:id="260072135">
      <w:bodyDiv w:val="1"/>
      <w:marLeft w:val="0"/>
      <w:marRight w:val="0"/>
      <w:marTop w:val="0"/>
      <w:marBottom w:val="0"/>
      <w:divBdr>
        <w:top w:val="none" w:sz="0" w:space="0" w:color="auto"/>
        <w:left w:val="none" w:sz="0" w:space="0" w:color="auto"/>
        <w:bottom w:val="none" w:sz="0" w:space="0" w:color="auto"/>
        <w:right w:val="none" w:sz="0" w:space="0" w:color="auto"/>
      </w:divBdr>
    </w:div>
    <w:div w:id="260263848">
      <w:bodyDiv w:val="1"/>
      <w:marLeft w:val="0"/>
      <w:marRight w:val="0"/>
      <w:marTop w:val="0"/>
      <w:marBottom w:val="0"/>
      <w:divBdr>
        <w:top w:val="none" w:sz="0" w:space="0" w:color="auto"/>
        <w:left w:val="none" w:sz="0" w:space="0" w:color="auto"/>
        <w:bottom w:val="none" w:sz="0" w:space="0" w:color="auto"/>
        <w:right w:val="none" w:sz="0" w:space="0" w:color="auto"/>
      </w:divBdr>
    </w:div>
    <w:div w:id="261955405">
      <w:bodyDiv w:val="1"/>
      <w:marLeft w:val="0"/>
      <w:marRight w:val="0"/>
      <w:marTop w:val="0"/>
      <w:marBottom w:val="0"/>
      <w:divBdr>
        <w:top w:val="none" w:sz="0" w:space="0" w:color="auto"/>
        <w:left w:val="none" w:sz="0" w:space="0" w:color="auto"/>
        <w:bottom w:val="none" w:sz="0" w:space="0" w:color="auto"/>
        <w:right w:val="none" w:sz="0" w:space="0" w:color="auto"/>
      </w:divBdr>
    </w:div>
    <w:div w:id="263266275">
      <w:bodyDiv w:val="1"/>
      <w:marLeft w:val="0"/>
      <w:marRight w:val="0"/>
      <w:marTop w:val="0"/>
      <w:marBottom w:val="0"/>
      <w:divBdr>
        <w:top w:val="none" w:sz="0" w:space="0" w:color="auto"/>
        <w:left w:val="none" w:sz="0" w:space="0" w:color="auto"/>
        <w:bottom w:val="none" w:sz="0" w:space="0" w:color="auto"/>
        <w:right w:val="none" w:sz="0" w:space="0" w:color="auto"/>
      </w:divBdr>
    </w:div>
    <w:div w:id="263342856">
      <w:bodyDiv w:val="1"/>
      <w:marLeft w:val="0"/>
      <w:marRight w:val="0"/>
      <w:marTop w:val="0"/>
      <w:marBottom w:val="0"/>
      <w:divBdr>
        <w:top w:val="none" w:sz="0" w:space="0" w:color="auto"/>
        <w:left w:val="none" w:sz="0" w:space="0" w:color="auto"/>
        <w:bottom w:val="none" w:sz="0" w:space="0" w:color="auto"/>
        <w:right w:val="none" w:sz="0" w:space="0" w:color="auto"/>
      </w:divBdr>
    </w:div>
    <w:div w:id="263736292">
      <w:bodyDiv w:val="1"/>
      <w:marLeft w:val="0"/>
      <w:marRight w:val="0"/>
      <w:marTop w:val="0"/>
      <w:marBottom w:val="0"/>
      <w:divBdr>
        <w:top w:val="none" w:sz="0" w:space="0" w:color="auto"/>
        <w:left w:val="none" w:sz="0" w:space="0" w:color="auto"/>
        <w:bottom w:val="none" w:sz="0" w:space="0" w:color="auto"/>
        <w:right w:val="none" w:sz="0" w:space="0" w:color="auto"/>
      </w:divBdr>
    </w:div>
    <w:div w:id="265964572">
      <w:bodyDiv w:val="1"/>
      <w:marLeft w:val="0"/>
      <w:marRight w:val="0"/>
      <w:marTop w:val="0"/>
      <w:marBottom w:val="0"/>
      <w:divBdr>
        <w:top w:val="none" w:sz="0" w:space="0" w:color="auto"/>
        <w:left w:val="none" w:sz="0" w:space="0" w:color="auto"/>
        <w:bottom w:val="none" w:sz="0" w:space="0" w:color="auto"/>
        <w:right w:val="none" w:sz="0" w:space="0" w:color="auto"/>
      </w:divBdr>
    </w:div>
    <w:div w:id="266811870">
      <w:bodyDiv w:val="1"/>
      <w:marLeft w:val="0"/>
      <w:marRight w:val="0"/>
      <w:marTop w:val="0"/>
      <w:marBottom w:val="0"/>
      <w:divBdr>
        <w:top w:val="none" w:sz="0" w:space="0" w:color="auto"/>
        <w:left w:val="none" w:sz="0" w:space="0" w:color="auto"/>
        <w:bottom w:val="none" w:sz="0" w:space="0" w:color="auto"/>
        <w:right w:val="none" w:sz="0" w:space="0" w:color="auto"/>
      </w:divBdr>
    </w:div>
    <w:div w:id="267783286">
      <w:bodyDiv w:val="1"/>
      <w:marLeft w:val="0"/>
      <w:marRight w:val="0"/>
      <w:marTop w:val="0"/>
      <w:marBottom w:val="0"/>
      <w:divBdr>
        <w:top w:val="none" w:sz="0" w:space="0" w:color="auto"/>
        <w:left w:val="none" w:sz="0" w:space="0" w:color="auto"/>
        <w:bottom w:val="none" w:sz="0" w:space="0" w:color="auto"/>
        <w:right w:val="none" w:sz="0" w:space="0" w:color="auto"/>
      </w:divBdr>
    </w:div>
    <w:div w:id="268048068">
      <w:bodyDiv w:val="1"/>
      <w:marLeft w:val="0"/>
      <w:marRight w:val="0"/>
      <w:marTop w:val="0"/>
      <w:marBottom w:val="0"/>
      <w:divBdr>
        <w:top w:val="none" w:sz="0" w:space="0" w:color="auto"/>
        <w:left w:val="none" w:sz="0" w:space="0" w:color="auto"/>
        <w:bottom w:val="none" w:sz="0" w:space="0" w:color="auto"/>
        <w:right w:val="none" w:sz="0" w:space="0" w:color="auto"/>
      </w:divBdr>
    </w:div>
    <w:div w:id="268509480">
      <w:bodyDiv w:val="1"/>
      <w:marLeft w:val="0"/>
      <w:marRight w:val="0"/>
      <w:marTop w:val="0"/>
      <w:marBottom w:val="0"/>
      <w:divBdr>
        <w:top w:val="none" w:sz="0" w:space="0" w:color="auto"/>
        <w:left w:val="none" w:sz="0" w:space="0" w:color="auto"/>
        <w:bottom w:val="none" w:sz="0" w:space="0" w:color="auto"/>
        <w:right w:val="none" w:sz="0" w:space="0" w:color="auto"/>
      </w:divBdr>
    </w:div>
    <w:div w:id="269704709">
      <w:bodyDiv w:val="1"/>
      <w:marLeft w:val="0"/>
      <w:marRight w:val="0"/>
      <w:marTop w:val="0"/>
      <w:marBottom w:val="0"/>
      <w:divBdr>
        <w:top w:val="none" w:sz="0" w:space="0" w:color="auto"/>
        <w:left w:val="none" w:sz="0" w:space="0" w:color="auto"/>
        <w:bottom w:val="none" w:sz="0" w:space="0" w:color="auto"/>
        <w:right w:val="none" w:sz="0" w:space="0" w:color="auto"/>
      </w:divBdr>
    </w:div>
    <w:div w:id="270162447">
      <w:bodyDiv w:val="1"/>
      <w:marLeft w:val="0"/>
      <w:marRight w:val="0"/>
      <w:marTop w:val="0"/>
      <w:marBottom w:val="0"/>
      <w:divBdr>
        <w:top w:val="none" w:sz="0" w:space="0" w:color="auto"/>
        <w:left w:val="none" w:sz="0" w:space="0" w:color="auto"/>
        <w:bottom w:val="none" w:sz="0" w:space="0" w:color="auto"/>
        <w:right w:val="none" w:sz="0" w:space="0" w:color="auto"/>
      </w:divBdr>
    </w:div>
    <w:div w:id="271208292">
      <w:bodyDiv w:val="1"/>
      <w:marLeft w:val="0"/>
      <w:marRight w:val="0"/>
      <w:marTop w:val="0"/>
      <w:marBottom w:val="0"/>
      <w:divBdr>
        <w:top w:val="none" w:sz="0" w:space="0" w:color="auto"/>
        <w:left w:val="none" w:sz="0" w:space="0" w:color="auto"/>
        <w:bottom w:val="none" w:sz="0" w:space="0" w:color="auto"/>
        <w:right w:val="none" w:sz="0" w:space="0" w:color="auto"/>
      </w:divBdr>
    </w:div>
    <w:div w:id="272369120">
      <w:bodyDiv w:val="1"/>
      <w:marLeft w:val="0"/>
      <w:marRight w:val="0"/>
      <w:marTop w:val="0"/>
      <w:marBottom w:val="0"/>
      <w:divBdr>
        <w:top w:val="none" w:sz="0" w:space="0" w:color="auto"/>
        <w:left w:val="none" w:sz="0" w:space="0" w:color="auto"/>
        <w:bottom w:val="none" w:sz="0" w:space="0" w:color="auto"/>
        <w:right w:val="none" w:sz="0" w:space="0" w:color="auto"/>
      </w:divBdr>
    </w:div>
    <w:div w:id="272595496">
      <w:bodyDiv w:val="1"/>
      <w:marLeft w:val="0"/>
      <w:marRight w:val="0"/>
      <w:marTop w:val="0"/>
      <w:marBottom w:val="0"/>
      <w:divBdr>
        <w:top w:val="none" w:sz="0" w:space="0" w:color="auto"/>
        <w:left w:val="none" w:sz="0" w:space="0" w:color="auto"/>
        <w:bottom w:val="none" w:sz="0" w:space="0" w:color="auto"/>
        <w:right w:val="none" w:sz="0" w:space="0" w:color="auto"/>
      </w:divBdr>
    </w:div>
    <w:div w:id="272632174">
      <w:bodyDiv w:val="1"/>
      <w:marLeft w:val="0"/>
      <w:marRight w:val="0"/>
      <w:marTop w:val="0"/>
      <w:marBottom w:val="0"/>
      <w:divBdr>
        <w:top w:val="none" w:sz="0" w:space="0" w:color="auto"/>
        <w:left w:val="none" w:sz="0" w:space="0" w:color="auto"/>
        <w:bottom w:val="none" w:sz="0" w:space="0" w:color="auto"/>
        <w:right w:val="none" w:sz="0" w:space="0" w:color="auto"/>
      </w:divBdr>
    </w:div>
    <w:div w:id="273053757">
      <w:bodyDiv w:val="1"/>
      <w:marLeft w:val="0"/>
      <w:marRight w:val="0"/>
      <w:marTop w:val="0"/>
      <w:marBottom w:val="0"/>
      <w:divBdr>
        <w:top w:val="none" w:sz="0" w:space="0" w:color="auto"/>
        <w:left w:val="none" w:sz="0" w:space="0" w:color="auto"/>
        <w:bottom w:val="none" w:sz="0" w:space="0" w:color="auto"/>
        <w:right w:val="none" w:sz="0" w:space="0" w:color="auto"/>
      </w:divBdr>
    </w:div>
    <w:div w:id="273251717">
      <w:bodyDiv w:val="1"/>
      <w:marLeft w:val="0"/>
      <w:marRight w:val="0"/>
      <w:marTop w:val="0"/>
      <w:marBottom w:val="0"/>
      <w:divBdr>
        <w:top w:val="none" w:sz="0" w:space="0" w:color="auto"/>
        <w:left w:val="none" w:sz="0" w:space="0" w:color="auto"/>
        <w:bottom w:val="none" w:sz="0" w:space="0" w:color="auto"/>
        <w:right w:val="none" w:sz="0" w:space="0" w:color="auto"/>
      </w:divBdr>
    </w:div>
    <w:div w:id="273825034">
      <w:bodyDiv w:val="1"/>
      <w:marLeft w:val="0"/>
      <w:marRight w:val="0"/>
      <w:marTop w:val="0"/>
      <w:marBottom w:val="0"/>
      <w:divBdr>
        <w:top w:val="none" w:sz="0" w:space="0" w:color="auto"/>
        <w:left w:val="none" w:sz="0" w:space="0" w:color="auto"/>
        <w:bottom w:val="none" w:sz="0" w:space="0" w:color="auto"/>
        <w:right w:val="none" w:sz="0" w:space="0" w:color="auto"/>
      </w:divBdr>
    </w:div>
    <w:div w:id="273832363">
      <w:bodyDiv w:val="1"/>
      <w:marLeft w:val="0"/>
      <w:marRight w:val="0"/>
      <w:marTop w:val="0"/>
      <w:marBottom w:val="0"/>
      <w:divBdr>
        <w:top w:val="none" w:sz="0" w:space="0" w:color="auto"/>
        <w:left w:val="none" w:sz="0" w:space="0" w:color="auto"/>
        <w:bottom w:val="none" w:sz="0" w:space="0" w:color="auto"/>
        <w:right w:val="none" w:sz="0" w:space="0" w:color="auto"/>
      </w:divBdr>
    </w:div>
    <w:div w:id="274554861">
      <w:bodyDiv w:val="1"/>
      <w:marLeft w:val="0"/>
      <w:marRight w:val="0"/>
      <w:marTop w:val="0"/>
      <w:marBottom w:val="0"/>
      <w:divBdr>
        <w:top w:val="none" w:sz="0" w:space="0" w:color="auto"/>
        <w:left w:val="none" w:sz="0" w:space="0" w:color="auto"/>
        <w:bottom w:val="none" w:sz="0" w:space="0" w:color="auto"/>
        <w:right w:val="none" w:sz="0" w:space="0" w:color="auto"/>
      </w:divBdr>
    </w:div>
    <w:div w:id="276374595">
      <w:bodyDiv w:val="1"/>
      <w:marLeft w:val="0"/>
      <w:marRight w:val="0"/>
      <w:marTop w:val="0"/>
      <w:marBottom w:val="0"/>
      <w:divBdr>
        <w:top w:val="none" w:sz="0" w:space="0" w:color="auto"/>
        <w:left w:val="none" w:sz="0" w:space="0" w:color="auto"/>
        <w:bottom w:val="none" w:sz="0" w:space="0" w:color="auto"/>
        <w:right w:val="none" w:sz="0" w:space="0" w:color="auto"/>
      </w:divBdr>
    </w:div>
    <w:div w:id="277373545">
      <w:bodyDiv w:val="1"/>
      <w:marLeft w:val="0"/>
      <w:marRight w:val="0"/>
      <w:marTop w:val="0"/>
      <w:marBottom w:val="0"/>
      <w:divBdr>
        <w:top w:val="none" w:sz="0" w:space="0" w:color="auto"/>
        <w:left w:val="none" w:sz="0" w:space="0" w:color="auto"/>
        <w:bottom w:val="none" w:sz="0" w:space="0" w:color="auto"/>
        <w:right w:val="none" w:sz="0" w:space="0" w:color="auto"/>
      </w:divBdr>
    </w:div>
    <w:div w:id="277495701">
      <w:bodyDiv w:val="1"/>
      <w:marLeft w:val="0"/>
      <w:marRight w:val="0"/>
      <w:marTop w:val="0"/>
      <w:marBottom w:val="0"/>
      <w:divBdr>
        <w:top w:val="none" w:sz="0" w:space="0" w:color="auto"/>
        <w:left w:val="none" w:sz="0" w:space="0" w:color="auto"/>
        <w:bottom w:val="none" w:sz="0" w:space="0" w:color="auto"/>
        <w:right w:val="none" w:sz="0" w:space="0" w:color="auto"/>
      </w:divBdr>
    </w:div>
    <w:div w:id="278143826">
      <w:bodyDiv w:val="1"/>
      <w:marLeft w:val="0"/>
      <w:marRight w:val="0"/>
      <w:marTop w:val="0"/>
      <w:marBottom w:val="0"/>
      <w:divBdr>
        <w:top w:val="none" w:sz="0" w:space="0" w:color="auto"/>
        <w:left w:val="none" w:sz="0" w:space="0" w:color="auto"/>
        <w:bottom w:val="none" w:sz="0" w:space="0" w:color="auto"/>
        <w:right w:val="none" w:sz="0" w:space="0" w:color="auto"/>
      </w:divBdr>
    </w:div>
    <w:div w:id="278877863">
      <w:bodyDiv w:val="1"/>
      <w:marLeft w:val="0"/>
      <w:marRight w:val="0"/>
      <w:marTop w:val="0"/>
      <w:marBottom w:val="0"/>
      <w:divBdr>
        <w:top w:val="none" w:sz="0" w:space="0" w:color="auto"/>
        <w:left w:val="none" w:sz="0" w:space="0" w:color="auto"/>
        <w:bottom w:val="none" w:sz="0" w:space="0" w:color="auto"/>
        <w:right w:val="none" w:sz="0" w:space="0" w:color="auto"/>
      </w:divBdr>
    </w:div>
    <w:div w:id="278995181">
      <w:bodyDiv w:val="1"/>
      <w:marLeft w:val="0"/>
      <w:marRight w:val="0"/>
      <w:marTop w:val="0"/>
      <w:marBottom w:val="0"/>
      <w:divBdr>
        <w:top w:val="none" w:sz="0" w:space="0" w:color="auto"/>
        <w:left w:val="none" w:sz="0" w:space="0" w:color="auto"/>
        <w:bottom w:val="none" w:sz="0" w:space="0" w:color="auto"/>
        <w:right w:val="none" w:sz="0" w:space="0" w:color="auto"/>
      </w:divBdr>
    </w:div>
    <w:div w:id="279384603">
      <w:bodyDiv w:val="1"/>
      <w:marLeft w:val="0"/>
      <w:marRight w:val="0"/>
      <w:marTop w:val="0"/>
      <w:marBottom w:val="0"/>
      <w:divBdr>
        <w:top w:val="none" w:sz="0" w:space="0" w:color="auto"/>
        <w:left w:val="none" w:sz="0" w:space="0" w:color="auto"/>
        <w:bottom w:val="none" w:sz="0" w:space="0" w:color="auto"/>
        <w:right w:val="none" w:sz="0" w:space="0" w:color="auto"/>
      </w:divBdr>
    </w:div>
    <w:div w:id="280841550">
      <w:bodyDiv w:val="1"/>
      <w:marLeft w:val="0"/>
      <w:marRight w:val="0"/>
      <w:marTop w:val="0"/>
      <w:marBottom w:val="0"/>
      <w:divBdr>
        <w:top w:val="none" w:sz="0" w:space="0" w:color="auto"/>
        <w:left w:val="none" w:sz="0" w:space="0" w:color="auto"/>
        <w:bottom w:val="none" w:sz="0" w:space="0" w:color="auto"/>
        <w:right w:val="none" w:sz="0" w:space="0" w:color="auto"/>
      </w:divBdr>
    </w:div>
    <w:div w:id="281692896">
      <w:bodyDiv w:val="1"/>
      <w:marLeft w:val="0"/>
      <w:marRight w:val="0"/>
      <w:marTop w:val="0"/>
      <w:marBottom w:val="0"/>
      <w:divBdr>
        <w:top w:val="none" w:sz="0" w:space="0" w:color="auto"/>
        <w:left w:val="none" w:sz="0" w:space="0" w:color="auto"/>
        <w:bottom w:val="none" w:sz="0" w:space="0" w:color="auto"/>
        <w:right w:val="none" w:sz="0" w:space="0" w:color="auto"/>
      </w:divBdr>
    </w:div>
    <w:div w:id="282469606">
      <w:bodyDiv w:val="1"/>
      <w:marLeft w:val="0"/>
      <w:marRight w:val="0"/>
      <w:marTop w:val="0"/>
      <w:marBottom w:val="0"/>
      <w:divBdr>
        <w:top w:val="none" w:sz="0" w:space="0" w:color="auto"/>
        <w:left w:val="none" w:sz="0" w:space="0" w:color="auto"/>
        <w:bottom w:val="none" w:sz="0" w:space="0" w:color="auto"/>
        <w:right w:val="none" w:sz="0" w:space="0" w:color="auto"/>
      </w:divBdr>
    </w:div>
    <w:div w:id="283580327">
      <w:bodyDiv w:val="1"/>
      <w:marLeft w:val="0"/>
      <w:marRight w:val="0"/>
      <w:marTop w:val="0"/>
      <w:marBottom w:val="0"/>
      <w:divBdr>
        <w:top w:val="none" w:sz="0" w:space="0" w:color="auto"/>
        <w:left w:val="none" w:sz="0" w:space="0" w:color="auto"/>
        <w:bottom w:val="none" w:sz="0" w:space="0" w:color="auto"/>
        <w:right w:val="none" w:sz="0" w:space="0" w:color="auto"/>
      </w:divBdr>
    </w:div>
    <w:div w:id="283854524">
      <w:bodyDiv w:val="1"/>
      <w:marLeft w:val="0"/>
      <w:marRight w:val="0"/>
      <w:marTop w:val="0"/>
      <w:marBottom w:val="0"/>
      <w:divBdr>
        <w:top w:val="none" w:sz="0" w:space="0" w:color="auto"/>
        <w:left w:val="none" w:sz="0" w:space="0" w:color="auto"/>
        <w:bottom w:val="none" w:sz="0" w:space="0" w:color="auto"/>
        <w:right w:val="none" w:sz="0" w:space="0" w:color="auto"/>
      </w:divBdr>
    </w:div>
    <w:div w:id="284578676">
      <w:bodyDiv w:val="1"/>
      <w:marLeft w:val="0"/>
      <w:marRight w:val="0"/>
      <w:marTop w:val="0"/>
      <w:marBottom w:val="0"/>
      <w:divBdr>
        <w:top w:val="none" w:sz="0" w:space="0" w:color="auto"/>
        <w:left w:val="none" w:sz="0" w:space="0" w:color="auto"/>
        <w:bottom w:val="none" w:sz="0" w:space="0" w:color="auto"/>
        <w:right w:val="none" w:sz="0" w:space="0" w:color="auto"/>
      </w:divBdr>
    </w:div>
    <w:div w:id="285039459">
      <w:bodyDiv w:val="1"/>
      <w:marLeft w:val="0"/>
      <w:marRight w:val="0"/>
      <w:marTop w:val="0"/>
      <w:marBottom w:val="0"/>
      <w:divBdr>
        <w:top w:val="none" w:sz="0" w:space="0" w:color="auto"/>
        <w:left w:val="none" w:sz="0" w:space="0" w:color="auto"/>
        <w:bottom w:val="none" w:sz="0" w:space="0" w:color="auto"/>
        <w:right w:val="none" w:sz="0" w:space="0" w:color="auto"/>
      </w:divBdr>
    </w:div>
    <w:div w:id="285041974">
      <w:bodyDiv w:val="1"/>
      <w:marLeft w:val="0"/>
      <w:marRight w:val="0"/>
      <w:marTop w:val="0"/>
      <w:marBottom w:val="0"/>
      <w:divBdr>
        <w:top w:val="none" w:sz="0" w:space="0" w:color="auto"/>
        <w:left w:val="none" w:sz="0" w:space="0" w:color="auto"/>
        <w:bottom w:val="none" w:sz="0" w:space="0" w:color="auto"/>
        <w:right w:val="none" w:sz="0" w:space="0" w:color="auto"/>
      </w:divBdr>
    </w:div>
    <w:div w:id="287707062">
      <w:bodyDiv w:val="1"/>
      <w:marLeft w:val="0"/>
      <w:marRight w:val="0"/>
      <w:marTop w:val="0"/>
      <w:marBottom w:val="0"/>
      <w:divBdr>
        <w:top w:val="none" w:sz="0" w:space="0" w:color="auto"/>
        <w:left w:val="none" w:sz="0" w:space="0" w:color="auto"/>
        <w:bottom w:val="none" w:sz="0" w:space="0" w:color="auto"/>
        <w:right w:val="none" w:sz="0" w:space="0" w:color="auto"/>
      </w:divBdr>
    </w:div>
    <w:div w:id="287904523">
      <w:bodyDiv w:val="1"/>
      <w:marLeft w:val="0"/>
      <w:marRight w:val="0"/>
      <w:marTop w:val="0"/>
      <w:marBottom w:val="0"/>
      <w:divBdr>
        <w:top w:val="none" w:sz="0" w:space="0" w:color="auto"/>
        <w:left w:val="none" w:sz="0" w:space="0" w:color="auto"/>
        <w:bottom w:val="none" w:sz="0" w:space="0" w:color="auto"/>
        <w:right w:val="none" w:sz="0" w:space="0" w:color="auto"/>
      </w:divBdr>
    </w:div>
    <w:div w:id="287976952">
      <w:bodyDiv w:val="1"/>
      <w:marLeft w:val="0"/>
      <w:marRight w:val="0"/>
      <w:marTop w:val="0"/>
      <w:marBottom w:val="0"/>
      <w:divBdr>
        <w:top w:val="none" w:sz="0" w:space="0" w:color="auto"/>
        <w:left w:val="none" w:sz="0" w:space="0" w:color="auto"/>
        <w:bottom w:val="none" w:sz="0" w:space="0" w:color="auto"/>
        <w:right w:val="none" w:sz="0" w:space="0" w:color="auto"/>
      </w:divBdr>
    </w:div>
    <w:div w:id="288098214">
      <w:bodyDiv w:val="1"/>
      <w:marLeft w:val="0"/>
      <w:marRight w:val="0"/>
      <w:marTop w:val="0"/>
      <w:marBottom w:val="0"/>
      <w:divBdr>
        <w:top w:val="none" w:sz="0" w:space="0" w:color="auto"/>
        <w:left w:val="none" w:sz="0" w:space="0" w:color="auto"/>
        <w:bottom w:val="none" w:sz="0" w:space="0" w:color="auto"/>
        <w:right w:val="none" w:sz="0" w:space="0" w:color="auto"/>
      </w:divBdr>
    </w:div>
    <w:div w:id="288511028">
      <w:bodyDiv w:val="1"/>
      <w:marLeft w:val="0"/>
      <w:marRight w:val="0"/>
      <w:marTop w:val="0"/>
      <w:marBottom w:val="0"/>
      <w:divBdr>
        <w:top w:val="none" w:sz="0" w:space="0" w:color="auto"/>
        <w:left w:val="none" w:sz="0" w:space="0" w:color="auto"/>
        <w:bottom w:val="none" w:sz="0" w:space="0" w:color="auto"/>
        <w:right w:val="none" w:sz="0" w:space="0" w:color="auto"/>
      </w:divBdr>
    </w:div>
    <w:div w:id="288754328">
      <w:bodyDiv w:val="1"/>
      <w:marLeft w:val="0"/>
      <w:marRight w:val="0"/>
      <w:marTop w:val="0"/>
      <w:marBottom w:val="0"/>
      <w:divBdr>
        <w:top w:val="none" w:sz="0" w:space="0" w:color="auto"/>
        <w:left w:val="none" w:sz="0" w:space="0" w:color="auto"/>
        <w:bottom w:val="none" w:sz="0" w:space="0" w:color="auto"/>
        <w:right w:val="none" w:sz="0" w:space="0" w:color="auto"/>
      </w:divBdr>
    </w:div>
    <w:div w:id="289941880">
      <w:bodyDiv w:val="1"/>
      <w:marLeft w:val="0"/>
      <w:marRight w:val="0"/>
      <w:marTop w:val="0"/>
      <w:marBottom w:val="0"/>
      <w:divBdr>
        <w:top w:val="none" w:sz="0" w:space="0" w:color="auto"/>
        <w:left w:val="none" w:sz="0" w:space="0" w:color="auto"/>
        <w:bottom w:val="none" w:sz="0" w:space="0" w:color="auto"/>
        <w:right w:val="none" w:sz="0" w:space="0" w:color="auto"/>
      </w:divBdr>
    </w:div>
    <w:div w:id="290282368">
      <w:bodyDiv w:val="1"/>
      <w:marLeft w:val="0"/>
      <w:marRight w:val="0"/>
      <w:marTop w:val="0"/>
      <w:marBottom w:val="0"/>
      <w:divBdr>
        <w:top w:val="none" w:sz="0" w:space="0" w:color="auto"/>
        <w:left w:val="none" w:sz="0" w:space="0" w:color="auto"/>
        <w:bottom w:val="none" w:sz="0" w:space="0" w:color="auto"/>
        <w:right w:val="none" w:sz="0" w:space="0" w:color="auto"/>
      </w:divBdr>
    </w:div>
    <w:div w:id="290987762">
      <w:bodyDiv w:val="1"/>
      <w:marLeft w:val="0"/>
      <w:marRight w:val="0"/>
      <w:marTop w:val="0"/>
      <w:marBottom w:val="0"/>
      <w:divBdr>
        <w:top w:val="none" w:sz="0" w:space="0" w:color="auto"/>
        <w:left w:val="none" w:sz="0" w:space="0" w:color="auto"/>
        <w:bottom w:val="none" w:sz="0" w:space="0" w:color="auto"/>
        <w:right w:val="none" w:sz="0" w:space="0" w:color="auto"/>
      </w:divBdr>
    </w:div>
    <w:div w:id="291180635">
      <w:bodyDiv w:val="1"/>
      <w:marLeft w:val="0"/>
      <w:marRight w:val="0"/>
      <w:marTop w:val="0"/>
      <w:marBottom w:val="0"/>
      <w:divBdr>
        <w:top w:val="none" w:sz="0" w:space="0" w:color="auto"/>
        <w:left w:val="none" w:sz="0" w:space="0" w:color="auto"/>
        <w:bottom w:val="none" w:sz="0" w:space="0" w:color="auto"/>
        <w:right w:val="none" w:sz="0" w:space="0" w:color="auto"/>
      </w:divBdr>
    </w:div>
    <w:div w:id="291598352">
      <w:bodyDiv w:val="1"/>
      <w:marLeft w:val="0"/>
      <w:marRight w:val="0"/>
      <w:marTop w:val="0"/>
      <w:marBottom w:val="0"/>
      <w:divBdr>
        <w:top w:val="none" w:sz="0" w:space="0" w:color="auto"/>
        <w:left w:val="none" w:sz="0" w:space="0" w:color="auto"/>
        <w:bottom w:val="none" w:sz="0" w:space="0" w:color="auto"/>
        <w:right w:val="none" w:sz="0" w:space="0" w:color="auto"/>
      </w:divBdr>
    </w:div>
    <w:div w:id="291637054">
      <w:bodyDiv w:val="1"/>
      <w:marLeft w:val="0"/>
      <w:marRight w:val="0"/>
      <w:marTop w:val="0"/>
      <w:marBottom w:val="0"/>
      <w:divBdr>
        <w:top w:val="none" w:sz="0" w:space="0" w:color="auto"/>
        <w:left w:val="none" w:sz="0" w:space="0" w:color="auto"/>
        <w:bottom w:val="none" w:sz="0" w:space="0" w:color="auto"/>
        <w:right w:val="none" w:sz="0" w:space="0" w:color="auto"/>
      </w:divBdr>
    </w:div>
    <w:div w:id="291643089">
      <w:bodyDiv w:val="1"/>
      <w:marLeft w:val="0"/>
      <w:marRight w:val="0"/>
      <w:marTop w:val="0"/>
      <w:marBottom w:val="0"/>
      <w:divBdr>
        <w:top w:val="none" w:sz="0" w:space="0" w:color="auto"/>
        <w:left w:val="none" w:sz="0" w:space="0" w:color="auto"/>
        <w:bottom w:val="none" w:sz="0" w:space="0" w:color="auto"/>
        <w:right w:val="none" w:sz="0" w:space="0" w:color="auto"/>
      </w:divBdr>
    </w:div>
    <w:div w:id="292172356">
      <w:bodyDiv w:val="1"/>
      <w:marLeft w:val="0"/>
      <w:marRight w:val="0"/>
      <w:marTop w:val="0"/>
      <w:marBottom w:val="0"/>
      <w:divBdr>
        <w:top w:val="none" w:sz="0" w:space="0" w:color="auto"/>
        <w:left w:val="none" w:sz="0" w:space="0" w:color="auto"/>
        <w:bottom w:val="none" w:sz="0" w:space="0" w:color="auto"/>
        <w:right w:val="none" w:sz="0" w:space="0" w:color="auto"/>
      </w:divBdr>
    </w:div>
    <w:div w:id="292323154">
      <w:bodyDiv w:val="1"/>
      <w:marLeft w:val="0"/>
      <w:marRight w:val="0"/>
      <w:marTop w:val="0"/>
      <w:marBottom w:val="0"/>
      <w:divBdr>
        <w:top w:val="none" w:sz="0" w:space="0" w:color="auto"/>
        <w:left w:val="none" w:sz="0" w:space="0" w:color="auto"/>
        <w:bottom w:val="none" w:sz="0" w:space="0" w:color="auto"/>
        <w:right w:val="none" w:sz="0" w:space="0" w:color="auto"/>
      </w:divBdr>
    </w:div>
    <w:div w:id="292908496">
      <w:bodyDiv w:val="1"/>
      <w:marLeft w:val="0"/>
      <w:marRight w:val="0"/>
      <w:marTop w:val="0"/>
      <w:marBottom w:val="0"/>
      <w:divBdr>
        <w:top w:val="none" w:sz="0" w:space="0" w:color="auto"/>
        <w:left w:val="none" w:sz="0" w:space="0" w:color="auto"/>
        <w:bottom w:val="none" w:sz="0" w:space="0" w:color="auto"/>
        <w:right w:val="none" w:sz="0" w:space="0" w:color="auto"/>
      </w:divBdr>
    </w:div>
    <w:div w:id="293104392">
      <w:bodyDiv w:val="1"/>
      <w:marLeft w:val="0"/>
      <w:marRight w:val="0"/>
      <w:marTop w:val="0"/>
      <w:marBottom w:val="0"/>
      <w:divBdr>
        <w:top w:val="none" w:sz="0" w:space="0" w:color="auto"/>
        <w:left w:val="none" w:sz="0" w:space="0" w:color="auto"/>
        <w:bottom w:val="none" w:sz="0" w:space="0" w:color="auto"/>
        <w:right w:val="none" w:sz="0" w:space="0" w:color="auto"/>
      </w:divBdr>
    </w:div>
    <w:div w:id="295071268">
      <w:bodyDiv w:val="1"/>
      <w:marLeft w:val="0"/>
      <w:marRight w:val="0"/>
      <w:marTop w:val="0"/>
      <w:marBottom w:val="0"/>
      <w:divBdr>
        <w:top w:val="none" w:sz="0" w:space="0" w:color="auto"/>
        <w:left w:val="none" w:sz="0" w:space="0" w:color="auto"/>
        <w:bottom w:val="none" w:sz="0" w:space="0" w:color="auto"/>
        <w:right w:val="none" w:sz="0" w:space="0" w:color="auto"/>
      </w:divBdr>
    </w:div>
    <w:div w:id="295263441">
      <w:bodyDiv w:val="1"/>
      <w:marLeft w:val="0"/>
      <w:marRight w:val="0"/>
      <w:marTop w:val="0"/>
      <w:marBottom w:val="0"/>
      <w:divBdr>
        <w:top w:val="none" w:sz="0" w:space="0" w:color="auto"/>
        <w:left w:val="none" w:sz="0" w:space="0" w:color="auto"/>
        <w:bottom w:val="none" w:sz="0" w:space="0" w:color="auto"/>
        <w:right w:val="none" w:sz="0" w:space="0" w:color="auto"/>
      </w:divBdr>
    </w:div>
    <w:div w:id="296112745">
      <w:bodyDiv w:val="1"/>
      <w:marLeft w:val="0"/>
      <w:marRight w:val="0"/>
      <w:marTop w:val="0"/>
      <w:marBottom w:val="0"/>
      <w:divBdr>
        <w:top w:val="none" w:sz="0" w:space="0" w:color="auto"/>
        <w:left w:val="none" w:sz="0" w:space="0" w:color="auto"/>
        <w:bottom w:val="none" w:sz="0" w:space="0" w:color="auto"/>
        <w:right w:val="none" w:sz="0" w:space="0" w:color="auto"/>
      </w:divBdr>
    </w:div>
    <w:div w:id="296495842">
      <w:bodyDiv w:val="1"/>
      <w:marLeft w:val="0"/>
      <w:marRight w:val="0"/>
      <w:marTop w:val="0"/>
      <w:marBottom w:val="0"/>
      <w:divBdr>
        <w:top w:val="none" w:sz="0" w:space="0" w:color="auto"/>
        <w:left w:val="none" w:sz="0" w:space="0" w:color="auto"/>
        <w:bottom w:val="none" w:sz="0" w:space="0" w:color="auto"/>
        <w:right w:val="none" w:sz="0" w:space="0" w:color="auto"/>
      </w:divBdr>
    </w:div>
    <w:div w:id="296760828">
      <w:bodyDiv w:val="1"/>
      <w:marLeft w:val="0"/>
      <w:marRight w:val="0"/>
      <w:marTop w:val="0"/>
      <w:marBottom w:val="0"/>
      <w:divBdr>
        <w:top w:val="none" w:sz="0" w:space="0" w:color="auto"/>
        <w:left w:val="none" w:sz="0" w:space="0" w:color="auto"/>
        <w:bottom w:val="none" w:sz="0" w:space="0" w:color="auto"/>
        <w:right w:val="none" w:sz="0" w:space="0" w:color="auto"/>
      </w:divBdr>
    </w:div>
    <w:div w:id="296834411">
      <w:bodyDiv w:val="1"/>
      <w:marLeft w:val="0"/>
      <w:marRight w:val="0"/>
      <w:marTop w:val="0"/>
      <w:marBottom w:val="0"/>
      <w:divBdr>
        <w:top w:val="none" w:sz="0" w:space="0" w:color="auto"/>
        <w:left w:val="none" w:sz="0" w:space="0" w:color="auto"/>
        <w:bottom w:val="none" w:sz="0" w:space="0" w:color="auto"/>
        <w:right w:val="none" w:sz="0" w:space="0" w:color="auto"/>
      </w:divBdr>
    </w:div>
    <w:div w:id="296884331">
      <w:bodyDiv w:val="1"/>
      <w:marLeft w:val="0"/>
      <w:marRight w:val="0"/>
      <w:marTop w:val="0"/>
      <w:marBottom w:val="0"/>
      <w:divBdr>
        <w:top w:val="none" w:sz="0" w:space="0" w:color="auto"/>
        <w:left w:val="none" w:sz="0" w:space="0" w:color="auto"/>
        <w:bottom w:val="none" w:sz="0" w:space="0" w:color="auto"/>
        <w:right w:val="none" w:sz="0" w:space="0" w:color="auto"/>
      </w:divBdr>
    </w:div>
    <w:div w:id="297299037">
      <w:bodyDiv w:val="1"/>
      <w:marLeft w:val="0"/>
      <w:marRight w:val="0"/>
      <w:marTop w:val="0"/>
      <w:marBottom w:val="0"/>
      <w:divBdr>
        <w:top w:val="none" w:sz="0" w:space="0" w:color="auto"/>
        <w:left w:val="none" w:sz="0" w:space="0" w:color="auto"/>
        <w:bottom w:val="none" w:sz="0" w:space="0" w:color="auto"/>
        <w:right w:val="none" w:sz="0" w:space="0" w:color="auto"/>
      </w:divBdr>
    </w:div>
    <w:div w:id="298194202">
      <w:bodyDiv w:val="1"/>
      <w:marLeft w:val="0"/>
      <w:marRight w:val="0"/>
      <w:marTop w:val="0"/>
      <w:marBottom w:val="0"/>
      <w:divBdr>
        <w:top w:val="none" w:sz="0" w:space="0" w:color="auto"/>
        <w:left w:val="none" w:sz="0" w:space="0" w:color="auto"/>
        <w:bottom w:val="none" w:sz="0" w:space="0" w:color="auto"/>
        <w:right w:val="none" w:sz="0" w:space="0" w:color="auto"/>
      </w:divBdr>
    </w:div>
    <w:div w:id="298534133">
      <w:bodyDiv w:val="1"/>
      <w:marLeft w:val="0"/>
      <w:marRight w:val="0"/>
      <w:marTop w:val="0"/>
      <w:marBottom w:val="0"/>
      <w:divBdr>
        <w:top w:val="none" w:sz="0" w:space="0" w:color="auto"/>
        <w:left w:val="none" w:sz="0" w:space="0" w:color="auto"/>
        <w:bottom w:val="none" w:sz="0" w:space="0" w:color="auto"/>
        <w:right w:val="none" w:sz="0" w:space="0" w:color="auto"/>
      </w:divBdr>
    </w:div>
    <w:div w:id="299072110">
      <w:bodyDiv w:val="1"/>
      <w:marLeft w:val="0"/>
      <w:marRight w:val="0"/>
      <w:marTop w:val="0"/>
      <w:marBottom w:val="0"/>
      <w:divBdr>
        <w:top w:val="none" w:sz="0" w:space="0" w:color="auto"/>
        <w:left w:val="none" w:sz="0" w:space="0" w:color="auto"/>
        <w:bottom w:val="none" w:sz="0" w:space="0" w:color="auto"/>
        <w:right w:val="none" w:sz="0" w:space="0" w:color="auto"/>
      </w:divBdr>
    </w:div>
    <w:div w:id="300505664">
      <w:bodyDiv w:val="1"/>
      <w:marLeft w:val="0"/>
      <w:marRight w:val="0"/>
      <w:marTop w:val="0"/>
      <w:marBottom w:val="0"/>
      <w:divBdr>
        <w:top w:val="none" w:sz="0" w:space="0" w:color="auto"/>
        <w:left w:val="none" w:sz="0" w:space="0" w:color="auto"/>
        <w:bottom w:val="none" w:sz="0" w:space="0" w:color="auto"/>
        <w:right w:val="none" w:sz="0" w:space="0" w:color="auto"/>
      </w:divBdr>
    </w:div>
    <w:div w:id="300691034">
      <w:bodyDiv w:val="1"/>
      <w:marLeft w:val="0"/>
      <w:marRight w:val="0"/>
      <w:marTop w:val="0"/>
      <w:marBottom w:val="0"/>
      <w:divBdr>
        <w:top w:val="none" w:sz="0" w:space="0" w:color="auto"/>
        <w:left w:val="none" w:sz="0" w:space="0" w:color="auto"/>
        <w:bottom w:val="none" w:sz="0" w:space="0" w:color="auto"/>
        <w:right w:val="none" w:sz="0" w:space="0" w:color="auto"/>
      </w:divBdr>
    </w:div>
    <w:div w:id="301156578">
      <w:bodyDiv w:val="1"/>
      <w:marLeft w:val="0"/>
      <w:marRight w:val="0"/>
      <w:marTop w:val="0"/>
      <w:marBottom w:val="0"/>
      <w:divBdr>
        <w:top w:val="none" w:sz="0" w:space="0" w:color="auto"/>
        <w:left w:val="none" w:sz="0" w:space="0" w:color="auto"/>
        <w:bottom w:val="none" w:sz="0" w:space="0" w:color="auto"/>
        <w:right w:val="none" w:sz="0" w:space="0" w:color="auto"/>
      </w:divBdr>
    </w:div>
    <w:div w:id="301428742">
      <w:bodyDiv w:val="1"/>
      <w:marLeft w:val="0"/>
      <w:marRight w:val="0"/>
      <w:marTop w:val="0"/>
      <w:marBottom w:val="0"/>
      <w:divBdr>
        <w:top w:val="none" w:sz="0" w:space="0" w:color="auto"/>
        <w:left w:val="none" w:sz="0" w:space="0" w:color="auto"/>
        <w:bottom w:val="none" w:sz="0" w:space="0" w:color="auto"/>
        <w:right w:val="none" w:sz="0" w:space="0" w:color="auto"/>
      </w:divBdr>
    </w:div>
    <w:div w:id="302271367">
      <w:bodyDiv w:val="1"/>
      <w:marLeft w:val="0"/>
      <w:marRight w:val="0"/>
      <w:marTop w:val="0"/>
      <w:marBottom w:val="0"/>
      <w:divBdr>
        <w:top w:val="none" w:sz="0" w:space="0" w:color="auto"/>
        <w:left w:val="none" w:sz="0" w:space="0" w:color="auto"/>
        <w:bottom w:val="none" w:sz="0" w:space="0" w:color="auto"/>
        <w:right w:val="none" w:sz="0" w:space="0" w:color="auto"/>
      </w:divBdr>
    </w:div>
    <w:div w:id="303854915">
      <w:bodyDiv w:val="1"/>
      <w:marLeft w:val="0"/>
      <w:marRight w:val="0"/>
      <w:marTop w:val="0"/>
      <w:marBottom w:val="0"/>
      <w:divBdr>
        <w:top w:val="none" w:sz="0" w:space="0" w:color="auto"/>
        <w:left w:val="none" w:sz="0" w:space="0" w:color="auto"/>
        <w:bottom w:val="none" w:sz="0" w:space="0" w:color="auto"/>
        <w:right w:val="none" w:sz="0" w:space="0" w:color="auto"/>
      </w:divBdr>
    </w:div>
    <w:div w:id="305204116">
      <w:bodyDiv w:val="1"/>
      <w:marLeft w:val="0"/>
      <w:marRight w:val="0"/>
      <w:marTop w:val="0"/>
      <w:marBottom w:val="0"/>
      <w:divBdr>
        <w:top w:val="none" w:sz="0" w:space="0" w:color="auto"/>
        <w:left w:val="none" w:sz="0" w:space="0" w:color="auto"/>
        <w:bottom w:val="none" w:sz="0" w:space="0" w:color="auto"/>
        <w:right w:val="none" w:sz="0" w:space="0" w:color="auto"/>
      </w:divBdr>
    </w:div>
    <w:div w:id="305546189">
      <w:bodyDiv w:val="1"/>
      <w:marLeft w:val="0"/>
      <w:marRight w:val="0"/>
      <w:marTop w:val="0"/>
      <w:marBottom w:val="0"/>
      <w:divBdr>
        <w:top w:val="none" w:sz="0" w:space="0" w:color="auto"/>
        <w:left w:val="none" w:sz="0" w:space="0" w:color="auto"/>
        <w:bottom w:val="none" w:sz="0" w:space="0" w:color="auto"/>
        <w:right w:val="none" w:sz="0" w:space="0" w:color="auto"/>
      </w:divBdr>
    </w:div>
    <w:div w:id="306934624">
      <w:bodyDiv w:val="1"/>
      <w:marLeft w:val="0"/>
      <w:marRight w:val="0"/>
      <w:marTop w:val="0"/>
      <w:marBottom w:val="0"/>
      <w:divBdr>
        <w:top w:val="none" w:sz="0" w:space="0" w:color="auto"/>
        <w:left w:val="none" w:sz="0" w:space="0" w:color="auto"/>
        <w:bottom w:val="none" w:sz="0" w:space="0" w:color="auto"/>
        <w:right w:val="none" w:sz="0" w:space="0" w:color="auto"/>
      </w:divBdr>
    </w:div>
    <w:div w:id="307365189">
      <w:bodyDiv w:val="1"/>
      <w:marLeft w:val="0"/>
      <w:marRight w:val="0"/>
      <w:marTop w:val="0"/>
      <w:marBottom w:val="0"/>
      <w:divBdr>
        <w:top w:val="none" w:sz="0" w:space="0" w:color="auto"/>
        <w:left w:val="none" w:sz="0" w:space="0" w:color="auto"/>
        <w:bottom w:val="none" w:sz="0" w:space="0" w:color="auto"/>
        <w:right w:val="none" w:sz="0" w:space="0" w:color="auto"/>
      </w:divBdr>
    </w:div>
    <w:div w:id="307631765">
      <w:bodyDiv w:val="1"/>
      <w:marLeft w:val="0"/>
      <w:marRight w:val="0"/>
      <w:marTop w:val="0"/>
      <w:marBottom w:val="0"/>
      <w:divBdr>
        <w:top w:val="none" w:sz="0" w:space="0" w:color="auto"/>
        <w:left w:val="none" w:sz="0" w:space="0" w:color="auto"/>
        <w:bottom w:val="none" w:sz="0" w:space="0" w:color="auto"/>
        <w:right w:val="none" w:sz="0" w:space="0" w:color="auto"/>
      </w:divBdr>
    </w:div>
    <w:div w:id="308629229">
      <w:bodyDiv w:val="1"/>
      <w:marLeft w:val="0"/>
      <w:marRight w:val="0"/>
      <w:marTop w:val="0"/>
      <w:marBottom w:val="0"/>
      <w:divBdr>
        <w:top w:val="none" w:sz="0" w:space="0" w:color="auto"/>
        <w:left w:val="none" w:sz="0" w:space="0" w:color="auto"/>
        <w:bottom w:val="none" w:sz="0" w:space="0" w:color="auto"/>
        <w:right w:val="none" w:sz="0" w:space="0" w:color="auto"/>
      </w:divBdr>
    </w:div>
    <w:div w:id="308629667">
      <w:bodyDiv w:val="1"/>
      <w:marLeft w:val="0"/>
      <w:marRight w:val="0"/>
      <w:marTop w:val="0"/>
      <w:marBottom w:val="0"/>
      <w:divBdr>
        <w:top w:val="none" w:sz="0" w:space="0" w:color="auto"/>
        <w:left w:val="none" w:sz="0" w:space="0" w:color="auto"/>
        <w:bottom w:val="none" w:sz="0" w:space="0" w:color="auto"/>
        <w:right w:val="none" w:sz="0" w:space="0" w:color="auto"/>
      </w:divBdr>
    </w:div>
    <w:div w:id="308873965">
      <w:bodyDiv w:val="1"/>
      <w:marLeft w:val="0"/>
      <w:marRight w:val="0"/>
      <w:marTop w:val="0"/>
      <w:marBottom w:val="0"/>
      <w:divBdr>
        <w:top w:val="none" w:sz="0" w:space="0" w:color="auto"/>
        <w:left w:val="none" w:sz="0" w:space="0" w:color="auto"/>
        <w:bottom w:val="none" w:sz="0" w:space="0" w:color="auto"/>
        <w:right w:val="none" w:sz="0" w:space="0" w:color="auto"/>
      </w:divBdr>
    </w:div>
    <w:div w:id="309746459">
      <w:bodyDiv w:val="1"/>
      <w:marLeft w:val="0"/>
      <w:marRight w:val="0"/>
      <w:marTop w:val="0"/>
      <w:marBottom w:val="0"/>
      <w:divBdr>
        <w:top w:val="none" w:sz="0" w:space="0" w:color="auto"/>
        <w:left w:val="none" w:sz="0" w:space="0" w:color="auto"/>
        <w:bottom w:val="none" w:sz="0" w:space="0" w:color="auto"/>
        <w:right w:val="none" w:sz="0" w:space="0" w:color="auto"/>
      </w:divBdr>
    </w:div>
    <w:div w:id="311256702">
      <w:bodyDiv w:val="1"/>
      <w:marLeft w:val="0"/>
      <w:marRight w:val="0"/>
      <w:marTop w:val="0"/>
      <w:marBottom w:val="0"/>
      <w:divBdr>
        <w:top w:val="none" w:sz="0" w:space="0" w:color="auto"/>
        <w:left w:val="none" w:sz="0" w:space="0" w:color="auto"/>
        <w:bottom w:val="none" w:sz="0" w:space="0" w:color="auto"/>
        <w:right w:val="none" w:sz="0" w:space="0" w:color="auto"/>
      </w:divBdr>
    </w:div>
    <w:div w:id="312032458">
      <w:bodyDiv w:val="1"/>
      <w:marLeft w:val="0"/>
      <w:marRight w:val="0"/>
      <w:marTop w:val="0"/>
      <w:marBottom w:val="0"/>
      <w:divBdr>
        <w:top w:val="none" w:sz="0" w:space="0" w:color="auto"/>
        <w:left w:val="none" w:sz="0" w:space="0" w:color="auto"/>
        <w:bottom w:val="none" w:sz="0" w:space="0" w:color="auto"/>
        <w:right w:val="none" w:sz="0" w:space="0" w:color="auto"/>
      </w:divBdr>
    </w:div>
    <w:div w:id="312176036">
      <w:bodyDiv w:val="1"/>
      <w:marLeft w:val="0"/>
      <w:marRight w:val="0"/>
      <w:marTop w:val="0"/>
      <w:marBottom w:val="0"/>
      <w:divBdr>
        <w:top w:val="none" w:sz="0" w:space="0" w:color="auto"/>
        <w:left w:val="none" w:sz="0" w:space="0" w:color="auto"/>
        <w:bottom w:val="none" w:sz="0" w:space="0" w:color="auto"/>
        <w:right w:val="none" w:sz="0" w:space="0" w:color="auto"/>
      </w:divBdr>
    </w:div>
    <w:div w:id="312494798">
      <w:bodyDiv w:val="1"/>
      <w:marLeft w:val="0"/>
      <w:marRight w:val="0"/>
      <w:marTop w:val="0"/>
      <w:marBottom w:val="0"/>
      <w:divBdr>
        <w:top w:val="none" w:sz="0" w:space="0" w:color="auto"/>
        <w:left w:val="none" w:sz="0" w:space="0" w:color="auto"/>
        <w:bottom w:val="none" w:sz="0" w:space="0" w:color="auto"/>
        <w:right w:val="none" w:sz="0" w:space="0" w:color="auto"/>
      </w:divBdr>
    </w:div>
    <w:div w:id="313223608">
      <w:bodyDiv w:val="1"/>
      <w:marLeft w:val="0"/>
      <w:marRight w:val="0"/>
      <w:marTop w:val="0"/>
      <w:marBottom w:val="0"/>
      <w:divBdr>
        <w:top w:val="none" w:sz="0" w:space="0" w:color="auto"/>
        <w:left w:val="none" w:sz="0" w:space="0" w:color="auto"/>
        <w:bottom w:val="none" w:sz="0" w:space="0" w:color="auto"/>
        <w:right w:val="none" w:sz="0" w:space="0" w:color="auto"/>
      </w:divBdr>
    </w:div>
    <w:div w:id="313292548">
      <w:bodyDiv w:val="1"/>
      <w:marLeft w:val="0"/>
      <w:marRight w:val="0"/>
      <w:marTop w:val="0"/>
      <w:marBottom w:val="0"/>
      <w:divBdr>
        <w:top w:val="none" w:sz="0" w:space="0" w:color="auto"/>
        <w:left w:val="none" w:sz="0" w:space="0" w:color="auto"/>
        <w:bottom w:val="none" w:sz="0" w:space="0" w:color="auto"/>
        <w:right w:val="none" w:sz="0" w:space="0" w:color="auto"/>
      </w:divBdr>
    </w:div>
    <w:div w:id="313335423">
      <w:bodyDiv w:val="1"/>
      <w:marLeft w:val="0"/>
      <w:marRight w:val="0"/>
      <w:marTop w:val="0"/>
      <w:marBottom w:val="0"/>
      <w:divBdr>
        <w:top w:val="none" w:sz="0" w:space="0" w:color="auto"/>
        <w:left w:val="none" w:sz="0" w:space="0" w:color="auto"/>
        <w:bottom w:val="none" w:sz="0" w:space="0" w:color="auto"/>
        <w:right w:val="none" w:sz="0" w:space="0" w:color="auto"/>
      </w:divBdr>
    </w:div>
    <w:div w:id="313415173">
      <w:bodyDiv w:val="1"/>
      <w:marLeft w:val="0"/>
      <w:marRight w:val="0"/>
      <w:marTop w:val="0"/>
      <w:marBottom w:val="0"/>
      <w:divBdr>
        <w:top w:val="none" w:sz="0" w:space="0" w:color="auto"/>
        <w:left w:val="none" w:sz="0" w:space="0" w:color="auto"/>
        <w:bottom w:val="none" w:sz="0" w:space="0" w:color="auto"/>
        <w:right w:val="none" w:sz="0" w:space="0" w:color="auto"/>
      </w:divBdr>
    </w:div>
    <w:div w:id="313460081">
      <w:bodyDiv w:val="1"/>
      <w:marLeft w:val="0"/>
      <w:marRight w:val="0"/>
      <w:marTop w:val="0"/>
      <w:marBottom w:val="0"/>
      <w:divBdr>
        <w:top w:val="none" w:sz="0" w:space="0" w:color="auto"/>
        <w:left w:val="none" w:sz="0" w:space="0" w:color="auto"/>
        <w:bottom w:val="none" w:sz="0" w:space="0" w:color="auto"/>
        <w:right w:val="none" w:sz="0" w:space="0" w:color="auto"/>
      </w:divBdr>
    </w:div>
    <w:div w:id="314073449">
      <w:bodyDiv w:val="1"/>
      <w:marLeft w:val="0"/>
      <w:marRight w:val="0"/>
      <w:marTop w:val="0"/>
      <w:marBottom w:val="0"/>
      <w:divBdr>
        <w:top w:val="none" w:sz="0" w:space="0" w:color="auto"/>
        <w:left w:val="none" w:sz="0" w:space="0" w:color="auto"/>
        <w:bottom w:val="none" w:sz="0" w:space="0" w:color="auto"/>
        <w:right w:val="none" w:sz="0" w:space="0" w:color="auto"/>
      </w:divBdr>
    </w:div>
    <w:div w:id="314455150">
      <w:bodyDiv w:val="1"/>
      <w:marLeft w:val="0"/>
      <w:marRight w:val="0"/>
      <w:marTop w:val="0"/>
      <w:marBottom w:val="0"/>
      <w:divBdr>
        <w:top w:val="none" w:sz="0" w:space="0" w:color="auto"/>
        <w:left w:val="none" w:sz="0" w:space="0" w:color="auto"/>
        <w:bottom w:val="none" w:sz="0" w:space="0" w:color="auto"/>
        <w:right w:val="none" w:sz="0" w:space="0" w:color="auto"/>
      </w:divBdr>
    </w:div>
    <w:div w:id="314799598">
      <w:bodyDiv w:val="1"/>
      <w:marLeft w:val="0"/>
      <w:marRight w:val="0"/>
      <w:marTop w:val="0"/>
      <w:marBottom w:val="0"/>
      <w:divBdr>
        <w:top w:val="none" w:sz="0" w:space="0" w:color="auto"/>
        <w:left w:val="none" w:sz="0" w:space="0" w:color="auto"/>
        <w:bottom w:val="none" w:sz="0" w:space="0" w:color="auto"/>
        <w:right w:val="none" w:sz="0" w:space="0" w:color="auto"/>
      </w:divBdr>
    </w:div>
    <w:div w:id="315113292">
      <w:bodyDiv w:val="1"/>
      <w:marLeft w:val="0"/>
      <w:marRight w:val="0"/>
      <w:marTop w:val="0"/>
      <w:marBottom w:val="0"/>
      <w:divBdr>
        <w:top w:val="none" w:sz="0" w:space="0" w:color="auto"/>
        <w:left w:val="none" w:sz="0" w:space="0" w:color="auto"/>
        <w:bottom w:val="none" w:sz="0" w:space="0" w:color="auto"/>
        <w:right w:val="none" w:sz="0" w:space="0" w:color="auto"/>
      </w:divBdr>
    </w:div>
    <w:div w:id="315228329">
      <w:bodyDiv w:val="1"/>
      <w:marLeft w:val="0"/>
      <w:marRight w:val="0"/>
      <w:marTop w:val="0"/>
      <w:marBottom w:val="0"/>
      <w:divBdr>
        <w:top w:val="none" w:sz="0" w:space="0" w:color="auto"/>
        <w:left w:val="none" w:sz="0" w:space="0" w:color="auto"/>
        <w:bottom w:val="none" w:sz="0" w:space="0" w:color="auto"/>
        <w:right w:val="none" w:sz="0" w:space="0" w:color="auto"/>
      </w:divBdr>
    </w:div>
    <w:div w:id="315571924">
      <w:bodyDiv w:val="1"/>
      <w:marLeft w:val="0"/>
      <w:marRight w:val="0"/>
      <w:marTop w:val="0"/>
      <w:marBottom w:val="0"/>
      <w:divBdr>
        <w:top w:val="none" w:sz="0" w:space="0" w:color="auto"/>
        <w:left w:val="none" w:sz="0" w:space="0" w:color="auto"/>
        <w:bottom w:val="none" w:sz="0" w:space="0" w:color="auto"/>
        <w:right w:val="none" w:sz="0" w:space="0" w:color="auto"/>
      </w:divBdr>
    </w:div>
    <w:div w:id="315764695">
      <w:bodyDiv w:val="1"/>
      <w:marLeft w:val="0"/>
      <w:marRight w:val="0"/>
      <w:marTop w:val="0"/>
      <w:marBottom w:val="0"/>
      <w:divBdr>
        <w:top w:val="none" w:sz="0" w:space="0" w:color="auto"/>
        <w:left w:val="none" w:sz="0" w:space="0" w:color="auto"/>
        <w:bottom w:val="none" w:sz="0" w:space="0" w:color="auto"/>
        <w:right w:val="none" w:sz="0" w:space="0" w:color="auto"/>
      </w:divBdr>
    </w:div>
    <w:div w:id="315842715">
      <w:bodyDiv w:val="1"/>
      <w:marLeft w:val="0"/>
      <w:marRight w:val="0"/>
      <w:marTop w:val="0"/>
      <w:marBottom w:val="0"/>
      <w:divBdr>
        <w:top w:val="none" w:sz="0" w:space="0" w:color="auto"/>
        <w:left w:val="none" w:sz="0" w:space="0" w:color="auto"/>
        <w:bottom w:val="none" w:sz="0" w:space="0" w:color="auto"/>
        <w:right w:val="none" w:sz="0" w:space="0" w:color="auto"/>
      </w:divBdr>
    </w:div>
    <w:div w:id="316032404">
      <w:bodyDiv w:val="1"/>
      <w:marLeft w:val="0"/>
      <w:marRight w:val="0"/>
      <w:marTop w:val="0"/>
      <w:marBottom w:val="0"/>
      <w:divBdr>
        <w:top w:val="none" w:sz="0" w:space="0" w:color="auto"/>
        <w:left w:val="none" w:sz="0" w:space="0" w:color="auto"/>
        <w:bottom w:val="none" w:sz="0" w:space="0" w:color="auto"/>
        <w:right w:val="none" w:sz="0" w:space="0" w:color="auto"/>
      </w:divBdr>
    </w:div>
    <w:div w:id="316418764">
      <w:bodyDiv w:val="1"/>
      <w:marLeft w:val="0"/>
      <w:marRight w:val="0"/>
      <w:marTop w:val="0"/>
      <w:marBottom w:val="0"/>
      <w:divBdr>
        <w:top w:val="none" w:sz="0" w:space="0" w:color="auto"/>
        <w:left w:val="none" w:sz="0" w:space="0" w:color="auto"/>
        <w:bottom w:val="none" w:sz="0" w:space="0" w:color="auto"/>
        <w:right w:val="none" w:sz="0" w:space="0" w:color="auto"/>
      </w:divBdr>
    </w:div>
    <w:div w:id="316542844">
      <w:bodyDiv w:val="1"/>
      <w:marLeft w:val="0"/>
      <w:marRight w:val="0"/>
      <w:marTop w:val="0"/>
      <w:marBottom w:val="0"/>
      <w:divBdr>
        <w:top w:val="none" w:sz="0" w:space="0" w:color="auto"/>
        <w:left w:val="none" w:sz="0" w:space="0" w:color="auto"/>
        <w:bottom w:val="none" w:sz="0" w:space="0" w:color="auto"/>
        <w:right w:val="none" w:sz="0" w:space="0" w:color="auto"/>
      </w:divBdr>
    </w:div>
    <w:div w:id="316692092">
      <w:bodyDiv w:val="1"/>
      <w:marLeft w:val="0"/>
      <w:marRight w:val="0"/>
      <w:marTop w:val="0"/>
      <w:marBottom w:val="0"/>
      <w:divBdr>
        <w:top w:val="none" w:sz="0" w:space="0" w:color="auto"/>
        <w:left w:val="none" w:sz="0" w:space="0" w:color="auto"/>
        <w:bottom w:val="none" w:sz="0" w:space="0" w:color="auto"/>
        <w:right w:val="none" w:sz="0" w:space="0" w:color="auto"/>
      </w:divBdr>
    </w:div>
    <w:div w:id="316761241">
      <w:bodyDiv w:val="1"/>
      <w:marLeft w:val="0"/>
      <w:marRight w:val="0"/>
      <w:marTop w:val="0"/>
      <w:marBottom w:val="0"/>
      <w:divBdr>
        <w:top w:val="none" w:sz="0" w:space="0" w:color="auto"/>
        <w:left w:val="none" w:sz="0" w:space="0" w:color="auto"/>
        <w:bottom w:val="none" w:sz="0" w:space="0" w:color="auto"/>
        <w:right w:val="none" w:sz="0" w:space="0" w:color="auto"/>
      </w:divBdr>
    </w:div>
    <w:div w:id="317274820">
      <w:bodyDiv w:val="1"/>
      <w:marLeft w:val="0"/>
      <w:marRight w:val="0"/>
      <w:marTop w:val="0"/>
      <w:marBottom w:val="0"/>
      <w:divBdr>
        <w:top w:val="none" w:sz="0" w:space="0" w:color="auto"/>
        <w:left w:val="none" w:sz="0" w:space="0" w:color="auto"/>
        <w:bottom w:val="none" w:sz="0" w:space="0" w:color="auto"/>
        <w:right w:val="none" w:sz="0" w:space="0" w:color="auto"/>
      </w:divBdr>
    </w:div>
    <w:div w:id="317535904">
      <w:bodyDiv w:val="1"/>
      <w:marLeft w:val="0"/>
      <w:marRight w:val="0"/>
      <w:marTop w:val="0"/>
      <w:marBottom w:val="0"/>
      <w:divBdr>
        <w:top w:val="none" w:sz="0" w:space="0" w:color="auto"/>
        <w:left w:val="none" w:sz="0" w:space="0" w:color="auto"/>
        <w:bottom w:val="none" w:sz="0" w:space="0" w:color="auto"/>
        <w:right w:val="none" w:sz="0" w:space="0" w:color="auto"/>
      </w:divBdr>
    </w:div>
    <w:div w:id="318071339">
      <w:bodyDiv w:val="1"/>
      <w:marLeft w:val="0"/>
      <w:marRight w:val="0"/>
      <w:marTop w:val="0"/>
      <w:marBottom w:val="0"/>
      <w:divBdr>
        <w:top w:val="none" w:sz="0" w:space="0" w:color="auto"/>
        <w:left w:val="none" w:sz="0" w:space="0" w:color="auto"/>
        <w:bottom w:val="none" w:sz="0" w:space="0" w:color="auto"/>
        <w:right w:val="none" w:sz="0" w:space="0" w:color="auto"/>
      </w:divBdr>
    </w:div>
    <w:div w:id="318850054">
      <w:bodyDiv w:val="1"/>
      <w:marLeft w:val="0"/>
      <w:marRight w:val="0"/>
      <w:marTop w:val="0"/>
      <w:marBottom w:val="0"/>
      <w:divBdr>
        <w:top w:val="none" w:sz="0" w:space="0" w:color="auto"/>
        <w:left w:val="none" w:sz="0" w:space="0" w:color="auto"/>
        <w:bottom w:val="none" w:sz="0" w:space="0" w:color="auto"/>
        <w:right w:val="none" w:sz="0" w:space="0" w:color="auto"/>
      </w:divBdr>
    </w:div>
    <w:div w:id="319387467">
      <w:bodyDiv w:val="1"/>
      <w:marLeft w:val="0"/>
      <w:marRight w:val="0"/>
      <w:marTop w:val="0"/>
      <w:marBottom w:val="0"/>
      <w:divBdr>
        <w:top w:val="none" w:sz="0" w:space="0" w:color="auto"/>
        <w:left w:val="none" w:sz="0" w:space="0" w:color="auto"/>
        <w:bottom w:val="none" w:sz="0" w:space="0" w:color="auto"/>
        <w:right w:val="none" w:sz="0" w:space="0" w:color="auto"/>
      </w:divBdr>
    </w:div>
    <w:div w:id="320231670">
      <w:bodyDiv w:val="1"/>
      <w:marLeft w:val="0"/>
      <w:marRight w:val="0"/>
      <w:marTop w:val="0"/>
      <w:marBottom w:val="0"/>
      <w:divBdr>
        <w:top w:val="none" w:sz="0" w:space="0" w:color="auto"/>
        <w:left w:val="none" w:sz="0" w:space="0" w:color="auto"/>
        <w:bottom w:val="none" w:sz="0" w:space="0" w:color="auto"/>
        <w:right w:val="none" w:sz="0" w:space="0" w:color="auto"/>
      </w:divBdr>
    </w:div>
    <w:div w:id="321085804">
      <w:bodyDiv w:val="1"/>
      <w:marLeft w:val="0"/>
      <w:marRight w:val="0"/>
      <w:marTop w:val="0"/>
      <w:marBottom w:val="0"/>
      <w:divBdr>
        <w:top w:val="none" w:sz="0" w:space="0" w:color="auto"/>
        <w:left w:val="none" w:sz="0" w:space="0" w:color="auto"/>
        <w:bottom w:val="none" w:sz="0" w:space="0" w:color="auto"/>
        <w:right w:val="none" w:sz="0" w:space="0" w:color="auto"/>
      </w:divBdr>
    </w:div>
    <w:div w:id="321589058">
      <w:bodyDiv w:val="1"/>
      <w:marLeft w:val="0"/>
      <w:marRight w:val="0"/>
      <w:marTop w:val="0"/>
      <w:marBottom w:val="0"/>
      <w:divBdr>
        <w:top w:val="none" w:sz="0" w:space="0" w:color="auto"/>
        <w:left w:val="none" w:sz="0" w:space="0" w:color="auto"/>
        <w:bottom w:val="none" w:sz="0" w:space="0" w:color="auto"/>
        <w:right w:val="none" w:sz="0" w:space="0" w:color="auto"/>
      </w:divBdr>
    </w:div>
    <w:div w:id="321590942">
      <w:bodyDiv w:val="1"/>
      <w:marLeft w:val="0"/>
      <w:marRight w:val="0"/>
      <w:marTop w:val="0"/>
      <w:marBottom w:val="0"/>
      <w:divBdr>
        <w:top w:val="none" w:sz="0" w:space="0" w:color="auto"/>
        <w:left w:val="none" w:sz="0" w:space="0" w:color="auto"/>
        <w:bottom w:val="none" w:sz="0" w:space="0" w:color="auto"/>
        <w:right w:val="none" w:sz="0" w:space="0" w:color="auto"/>
      </w:divBdr>
    </w:div>
    <w:div w:id="321591731">
      <w:bodyDiv w:val="1"/>
      <w:marLeft w:val="0"/>
      <w:marRight w:val="0"/>
      <w:marTop w:val="0"/>
      <w:marBottom w:val="0"/>
      <w:divBdr>
        <w:top w:val="none" w:sz="0" w:space="0" w:color="auto"/>
        <w:left w:val="none" w:sz="0" w:space="0" w:color="auto"/>
        <w:bottom w:val="none" w:sz="0" w:space="0" w:color="auto"/>
        <w:right w:val="none" w:sz="0" w:space="0" w:color="auto"/>
      </w:divBdr>
    </w:div>
    <w:div w:id="321855294">
      <w:bodyDiv w:val="1"/>
      <w:marLeft w:val="0"/>
      <w:marRight w:val="0"/>
      <w:marTop w:val="0"/>
      <w:marBottom w:val="0"/>
      <w:divBdr>
        <w:top w:val="none" w:sz="0" w:space="0" w:color="auto"/>
        <w:left w:val="none" w:sz="0" w:space="0" w:color="auto"/>
        <w:bottom w:val="none" w:sz="0" w:space="0" w:color="auto"/>
        <w:right w:val="none" w:sz="0" w:space="0" w:color="auto"/>
      </w:divBdr>
    </w:div>
    <w:div w:id="322317061">
      <w:bodyDiv w:val="1"/>
      <w:marLeft w:val="0"/>
      <w:marRight w:val="0"/>
      <w:marTop w:val="0"/>
      <w:marBottom w:val="0"/>
      <w:divBdr>
        <w:top w:val="none" w:sz="0" w:space="0" w:color="auto"/>
        <w:left w:val="none" w:sz="0" w:space="0" w:color="auto"/>
        <w:bottom w:val="none" w:sz="0" w:space="0" w:color="auto"/>
        <w:right w:val="none" w:sz="0" w:space="0" w:color="auto"/>
      </w:divBdr>
    </w:div>
    <w:div w:id="323822397">
      <w:bodyDiv w:val="1"/>
      <w:marLeft w:val="0"/>
      <w:marRight w:val="0"/>
      <w:marTop w:val="0"/>
      <w:marBottom w:val="0"/>
      <w:divBdr>
        <w:top w:val="none" w:sz="0" w:space="0" w:color="auto"/>
        <w:left w:val="none" w:sz="0" w:space="0" w:color="auto"/>
        <w:bottom w:val="none" w:sz="0" w:space="0" w:color="auto"/>
        <w:right w:val="none" w:sz="0" w:space="0" w:color="auto"/>
      </w:divBdr>
    </w:div>
    <w:div w:id="323893688">
      <w:bodyDiv w:val="1"/>
      <w:marLeft w:val="0"/>
      <w:marRight w:val="0"/>
      <w:marTop w:val="0"/>
      <w:marBottom w:val="0"/>
      <w:divBdr>
        <w:top w:val="none" w:sz="0" w:space="0" w:color="auto"/>
        <w:left w:val="none" w:sz="0" w:space="0" w:color="auto"/>
        <w:bottom w:val="none" w:sz="0" w:space="0" w:color="auto"/>
        <w:right w:val="none" w:sz="0" w:space="0" w:color="auto"/>
      </w:divBdr>
    </w:div>
    <w:div w:id="324940500">
      <w:bodyDiv w:val="1"/>
      <w:marLeft w:val="0"/>
      <w:marRight w:val="0"/>
      <w:marTop w:val="0"/>
      <w:marBottom w:val="0"/>
      <w:divBdr>
        <w:top w:val="none" w:sz="0" w:space="0" w:color="auto"/>
        <w:left w:val="none" w:sz="0" w:space="0" w:color="auto"/>
        <w:bottom w:val="none" w:sz="0" w:space="0" w:color="auto"/>
        <w:right w:val="none" w:sz="0" w:space="0" w:color="auto"/>
      </w:divBdr>
    </w:div>
    <w:div w:id="326130716">
      <w:bodyDiv w:val="1"/>
      <w:marLeft w:val="0"/>
      <w:marRight w:val="0"/>
      <w:marTop w:val="0"/>
      <w:marBottom w:val="0"/>
      <w:divBdr>
        <w:top w:val="none" w:sz="0" w:space="0" w:color="auto"/>
        <w:left w:val="none" w:sz="0" w:space="0" w:color="auto"/>
        <w:bottom w:val="none" w:sz="0" w:space="0" w:color="auto"/>
        <w:right w:val="none" w:sz="0" w:space="0" w:color="auto"/>
      </w:divBdr>
    </w:div>
    <w:div w:id="326835351">
      <w:bodyDiv w:val="1"/>
      <w:marLeft w:val="0"/>
      <w:marRight w:val="0"/>
      <w:marTop w:val="0"/>
      <w:marBottom w:val="0"/>
      <w:divBdr>
        <w:top w:val="none" w:sz="0" w:space="0" w:color="auto"/>
        <w:left w:val="none" w:sz="0" w:space="0" w:color="auto"/>
        <w:bottom w:val="none" w:sz="0" w:space="0" w:color="auto"/>
        <w:right w:val="none" w:sz="0" w:space="0" w:color="auto"/>
      </w:divBdr>
    </w:div>
    <w:div w:id="327025065">
      <w:bodyDiv w:val="1"/>
      <w:marLeft w:val="0"/>
      <w:marRight w:val="0"/>
      <w:marTop w:val="0"/>
      <w:marBottom w:val="0"/>
      <w:divBdr>
        <w:top w:val="none" w:sz="0" w:space="0" w:color="auto"/>
        <w:left w:val="none" w:sz="0" w:space="0" w:color="auto"/>
        <w:bottom w:val="none" w:sz="0" w:space="0" w:color="auto"/>
        <w:right w:val="none" w:sz="0" w:space="0" w:color="auto"/>
      </w:divBdr>
    </w:div>
    <w:div w:id="327710707">
      <w:bodyDiv w:val="1"/>
      <w:marLeft w:val="0"/>
      <w:marRight w:val="0"/>
      <w:marTop w:val="0"/>
      <w:marBottom w:val="0"/>
      <w:divBdr>
        <w:top w:val="none" w:sz="0" w:space="0" w:color="auto"/>
        <w:left w:val="none" w:sz="0" w:space="0" w:color="auto"/>
        <w:bottom w:val="none" w:sz="0" w:space="0" w:color="auto"/>
        <w:right w:val="none" w:sz="0" w:space="0" w:color="auto"/>
      </w:divBdr>
    </w:div>
    <w:div w:id="328411923">
      <w:bodyDiv w:val="1"/>
      <w:marLeft w:val="0"/>
      <w:marRight w:val="0"/>
      <w:marTop w:val="0"/>
      <w:marBottom w:val="0"/>
      <w:divBdr>
        <w:top w:val="none" w:sz="0" w:space="0" w:color="auto"/>
        <w:left w:val="none" w:sz="0" w:space="0" w:color="auto"/>
        <w:bottom w:val="none" w:sz="0" w:space="0" w:color="auto"/>
        <w:right w:val="none" w:sz="0" w:space="0" w:color="auto"/>
      </w:divBdr>
    </w:div>
    <w:div w:id="328557485">
      <w:bodyDiv w:val="1"/>
      <w:marLeft w:val="0"/>
      <w:marRight w:val="0"/>
      <w:marTop w:val="0"/>
      <w:marBottom w:val="0"/>
      <w:divBdr>
        <w:top w:val="none" w:sz="0" w:space="0" w:color="auto"/>
        <w:left w:val="none" w:sz="0" w:space="0" w:color="auto"/>
        <w:bottom w:val="none" w:sz="0" w:space="0" w:color="auto"/>
        <w:right w:val="none" w:sz="0" w:space="0" w:color="auto"/>
      </w:divBdr>
    </w:div>
    <w:div w:id="328825608">
      <w:bodyDiv w:val="1"/>
      <w:marLeft w:val="0"/>
      <w:marRight w:val="0"/>
      <w:marTop w:val="0"/>
      <w:marBottom w:val="0"/>
      <w:divBdr>
        <w:top w:val="none" w:sz="0" w:space="0" w:color="auto"/>
        <w:left w:val="none" w:sz="0" w:space="0" w:color="auto"/>
        <w:bottom w:val="none" w:sz="0" w:space="0" w:color="auto"/>
        <w:right w:val="none" w:sz="0" w:space="0" w:color="auto"/>
      </w:divBdr>
    </w:div>
    <w:div w:id="329137363">
      <w:bodyDiv w:val="1"/>
      <w:marLeft w:val="0"/>
      <w:marRight w:val="0"/>
      <w:marTop w:val="0"/>
      <w:marBottom w:val="0"/>
      <w:divBdr>
        <w:top w:val="none" w:sz="0" w:space="0" w:color="auto"/>
        <w:left w:val="none" w:sz="0" w:space="0" w:color="auto"/>
        <w:bottom w:val="none" w:sz="0" w:space="0" w:color="auto"/>
        <w:right w:val="none" w:sz="0" w:space="0" w:color="auto"/>
      </w:divBdr>
    </w:div>
    <w:div w:id="330380327">
      <w:bodyDiv w:val="1"/>
      <w:marLeft w:val="0"/>
      <w:marRight w:val="0"/>
      <w:marTop w:val="0"/>
      <w:marBottom w:val="0"/>
      <w:divBdr>
        <w:top w:val="none" w:sz="0" w:space="0" w:color="auto"/>
        <w:left w:val="none" w:sz="0" w:space="0" w:color="auto"/>
        <w:bottom w:val="none" w:sz="0" w:space="0" w:color="auto"/>
        <w:right w:val="none" w:sz="0" w:space="0" w:color="auto"/>
      </w:divBdr>
    </w:div>
    <w:div w:id="330766333">
      <w:bodyDiv w:val="1"/>
      <w:marLeft w:val="0"/>
      <w:marRight w:val="0"/>
      <w:marTop w:val="0"/>
      <w:marBottom w:val="0"/>
      <w:divBdr>
        <w:top w:val="none" w:sz="0" w:space="0" w:color="auto"/>
        <w:left w:val="none" w:sz="0" w:space="0" w:color="auto"/>
        <w:bottom w:val="none" w:sz="0" w:space="0" w:color="auto"/>
        <w:right w:val="none" w:sz="0" w:space="0" w:color="auto"/>
      </w:divBdr>
    </w:div>
    <w:div w:id="331108231">
      <w:bodyDiv w:val="1"/>
      <w:marLeft w:val="0"/>
      <w:marRight w:val="0"/>
      <w:marTop w:val="0"/>
      <w:marBottom w:val="0"/>
      <w:divBdr>
        <w:top w:val="none" w:sz="0" w:space="0" w:color="auto"/>
        <w:left w:val="none" w:sz="0" w:space="0" w:color="auto"/>
        <w:bottom w:val="none" w:sz="0" w:space="0" w:color="auto"/>
        <w:right w:val="none" w:sz="0" w:space="0" w:color="auto"/>
      </w:divBdr>
    </w:div>
    <w:div w:id="331182478">
      <w:bodyDiv w:val="1"/>
      <w:marLeft w:val="0"/>
      <w:marRight w:val="0"/>
      <w:marTop w:val="0"/>
      <w:marBottom w:val="0"/>
      <w:divBdr>
        <w:top w:val="none" w:sz="0" w:space="0" w:color="auto"/>
        <w:left w:val="none" w:sz="0" w:space="0" w:color="auto"/>
        <w:bottom w:val="none" w:sz="0" w:space="0" w:color="auto"/>
        <w:right w:val="none" w:sz="0" w:space="0" w:color="auto"/>
      </w:divBdr>
    </w:div>
    <w:div w:id="331564658">
      <w:bodyDiv w:val="1"/>
      <w:marLeft w:val="0"/>
      <w:marRight w:val="0"/>
      <w:marTop w:val="0"/>
      <w:marBottom w:val="0"/>
      <w:divBdr>
        <w:top w:val="none" w:sz="0" w:space="0" w:color="auto"/>
        <w:left w:val="none" w:sz="0" w:space="0" w:color="auto"/>
        <w:bottom w:val="none" w:sz="0" w:space="0" w:color="auto"/>
        <w:right w:val="none" w:sz="0" w:space="0" w:color="auto"/>
      </w:divBdr>
    </w:div>
    <w:div w:id="332028501">
      <w:bodyDiv w:val="1"/>
      <w:marLeft w:val="0"/>
      <w:marRight w:val="0"/>
      <w:marTop w:val="0"/>
      <w:marBottom w:val="0"/>
      <w:divBdr>
        <w:top w:val="none" w:sz="0" w:space="0" w:color="auto"/>
        <w:left w:val="none" w:sz="0" w:space="0" w:color="auto"/>
        <w:bottom w:val="none" w:sz="0" w:space="0" w:color="auto"/>
        <w:right w:val="none" w:sz="0" w:space="0" w:color="auto"/>
      </w:divBdr>
    </w:div>
    <w:div w:id="334188168">
      <w:bodyDiv w:val="1"/>
      <w:marLeft w:val="0"/>
      <w:marRight w:val="0"/>
      <w:marTop w:val="0"/>
      <w:marBottom w:val="0"/>
      <w:divBdr>
        <w:top w:val="none" w:sz="0" w:space="0" w:color="auto"/>
        <w:left w:val="none" w:sz="0" w:space="0" w:color="auto"/>
        <w:bottom w:val="none" w:sz="0" w:space="0" w:color="auto"/>
        <w:right w:val="none" w:sz="0" w:space="0" w:color="auto"/>
      </w:divBdr>
    </w:div>
    <w:div w:id="335301721">
      <w:bodyDiv w:val="1"/>
      <w:marLeft w:val="0"/>
      <w:marRight w:val="0"/>
      <w:marTop w:val="0"/>
      <w:marBottom w:val="0"/>
      <w:divBdr>
        <w:top w:val="none" w:sz="0" w:space="0" w:color="auto"/>
        <w:left w:val="none" w:sz="0" w:space="0" w:color="auto"/>
        <w:bottom w:val="none" w:sz="0" w:space="0" w:color="auto"/>
        <w:right w:val="none" w:sz="0" w:space="0" w:color="auto"/>
      </w:divBdr>
    </w:div>
    <w:div w:id="335768634">
      <w:bodyDiv w:val="1"/>
      <w:marLeft w:val="0"/>
      <w:marRight w:val="0"/>
      <w:marTop w:val="0"/>
      <w:marBottom w:val="0"/>
      <w:divBdr>
        <w:top w:val="none" w:sz="0" w:space="0" w:color="auto"/>
        <w:left w:val="none" w:sz="0" w:space="0" w:color="auto"/>
        <w:bottom w:val="none" w:sz="0" w:space="0" w:color="auto"/>
        <w:right w:val="none" w:sz="0" w:space="0" w:color="auto"/>
      </w:divBdr>
    </w:div>
    <w:div w:id="337273220">
      <w:bodyDiv w:val="1"/>
      <w:marLeft w:val="0"/>
      <w:marRight w:val="0"/>
      <w:marTop w:val="0"/>
      <w:marBottom w:val="0"/>
      <w:divBdr>
        <w:top w:val="none" w:sz="0" w:space="0" w:color="auto"/>
        <w:left w:val="none" w:sz="0" w:space="0" w:color="auto"/>
        <w:bottom w:val="none" w:sz="0" w:space="0" w:color="auto"/>
        <w:right w:val="none" w:sz="0" w:space="0" w:color="auto"/>
      </w:divBdr>
    </w:div>
    <w:div w:id="338390801">
      <w:bodyDiv w:val="1"/>
      <w:marLeft w:val="0"/>
      <w:marRight w:val="0"/>
      <w:marTop w:val="0"/>
      <w:marBottom w:val="0"/>
      <w:divBdr>
        <w:top w:val="none" w:sz="0" w:space="0" w:color="auto"/>
        <w:left w:val="none" w:sz="0" w:space="0" w:color="auto"/>
        <w:bottom w:val="none" w:sz="0" w:space="0" w:color="auto"/>
        <w:right w:val="none" w:sz="0" w:space="0" w:color="auto"/>
      </w:divBdr>
    </w:div>
    <w:div w:id="338966651">
      <w:bodyDiv w:val="1"/>
      <w:marLeft w:val="0"/>
      <w:marRight w:val="0"/>
      <w:marTop w:val="0"/>
      <w:marBottom w:val="0"/>
      <w:divBdr>
        <w:top w:val="none" w:sz="0" w:space="0" w:color="auto"/>
        <w:left w:val="none" w:sz="0" w:space="0" w:color="auto"/>
        <w:bottom w:val="none" w:sz="0" w:space="0" w:color="auto"/>
        <w:right w:val="none" w:sz="0" w:space="0" w:color="auto"/>
      </w:divBdr>
    </w:div>
    <w:div w:id="339237507">
      <w:bodyDiv w:val="1"/>
      <w:marLeft w:val="0"/>
      <w:marRight w:val="0"/>
      <w:marTop w:val="0"/>
      <w:marBottom w:val="0"/>
      <w:divBdr>
        <w:top w:val="none" w:sz="0" w:space="0" w:color="auto"/>
        <w:left w:val="none" w:sz="0" w:space="0" w:color="auto"/>
        <w:bottom w:val="none" w:sz="0" w:space="0" w:color="auto"/>
        <w:right w:val="none" w:sz="0" w:space="0" w:color="auto"/>
      </w:divBdr>
    </w:div>
    <w:div w:id="341250993">
      <w:bodyDiv w:val="1"/>
      <w:marLeft w:val="0"/>
      <w:marRight w:val="0"/>
      <w:marTop w:val="0"/>
      <w:marBottom w:val="0"/>
      <w:divBdr>
        <w:top w:val="none" w:sz="0" w:space="0" w:color="auto"/>
        <w:left w:val="none" w:sz="0" w:space="0" w:color="auto"/>
        <w:bottom w:val="none" w:sz="0" w:space="0" w:color="auto"/>
        <w:right w:val="none" w:sz="0" w:space="0" w:color="auto"/>
      </w:divBdr>
    </w:div>
    <w:div w:id="341706412">
      <w:bodyDiv w:val="1"/>
      <w:marLeft w:val="0"/>
      <w:marRight w:val="0"/>
      <w:marTop w:val="0"/>
      <w:marBottom w:val="0"/>
      <w:divBdr>
        <w:top w:val="none" w:sz="0" w:space="0" w:color="auto"/>
        <w:left w:val="none" w:sz="0" w:space="0" w:color="auto"/>
        <w:bottom w:val="none" w:sz="0" w:space="0" w:color="auto"/>
        <w:right w:val="none" w:sz="0" w:space="0" w:color="auto"/>
      </w:divBdr>
    </w:div>
    <w:div w:id="341860924">
      <w:bodyDiv w:val="1"/>
      <w:marLeft w:val="0"/>
      <w:marRight w:val="0"/>
      <w:marTop w:val="0"/>
      <w:marBottom w:val="0"/>
      <w:divBdr>
        <w:top w:val="none" w:sz="0" w:space="0" w:color="auto"/>
        <w:left w:val="none" w:sz="0" w:space="0" w:color="auto"/>
        <w:bottom w:val="none" w:sz="0" w:space="0" w:color="auto"/>
        <w:right w:val="none" w:sz="0" w:space="0" w:color="auto"/>
      </w:divBdr>
    </w:div>
    <w:div w:id="342128933">
      <w:bodyDiv w:val="1"/>
      <w:marLeft w:val="0"/>
      <w:marRight w:val="0"/>
      <w:marTop w:val="0"/>
      <w:marBottom w:val="0"/>
      <w:divBdr>
        <w:top w:val="none" w:sz="0" w:space="0" w:color="auto"/>
        <w:left w:val="none" w:sz="0" w:space="0" w:color="auto"/>
        <w:bottom w:val="none" w:sz="0" w:space="0" w:color="auto"/>
        <w:right w:val="none" w:sz="0" w:space="0" w:color="auto"/>
      </w:divBdr>
    </w:div>
    <w:div w:id="342363295">
      <w:bodyDiv w:val="1"/>
      <w:marLeft w:val="0"/>
      <w:marRight w:val="0"/>
      <w:marTop w:val="0"/>
      <w:marBottom w:val="0"/>
      <w:divBdr>
        <w:top w:val="none" w:sz="0" w:space="0" w:color="auto"/>
        <w:left w:val="none" w:sz="0" w:space="0" w:color="auto"/>
        <w:bottom w:val="none" w:sz="0" w:space="0" w:color="auto"/>
        <w:right w:val="none" w:sz="0" w:space="0" w:color="auto"/>
      </w:divBdr>
    </w:div>
    <w:div w:id="342510291">
      <w:bodyDiv w:val="1"/>
      <w:marLeft w:val="0"/>
      <w:marRight w:val="0"/>
      <w:marTop w:val="0"/>
      <w:marBottom w:val="0"/>
      <w:divBdr>
        <w:top w:val="none" w:sz="0" w:space="0" w:color="auto"/>
        <w:left w:val="none" w:sz="0" w:space="0" w:color="auto"/>
        <w:bottom w:val="none" w:sz="0" w:space="0" w:color="auto"/>
        <w:right w:val="none" w:sz="0" w:space="0" w:color="auto"/>
      </w:divBdr>
    </w:div>
    <w:div w:id="342900052">
      <w:bodyDiv w:val="1"/>
      <w:marLeft w:val="0"/>
      <w:marRight w:val="0"/>
      <w:marTop w:val="0"/>
      <w:marBottom w:val="0"/>
      <w:divBdr>
        <w:top w:val="none" w:sz="0" w:space="0" w:color="auto"/>
        <w:left w:val="none" w:sz="0" w:space="0" w:color="auto"/>
        <w:bottom w:val="none" w:sz="0" w:space="0" w:color="auto"/>
        <w:right w:val="none" w:sz="0" w:space="0" w:color="auto"/>
      </w:divBdr>
    </w:div>
    <w:div w:id="344208068">
      <w:bodyDiv w:val="1"/>
      <w:marLeft w:val="0"/>
      <w:marRight w:val="0"/>
      <w:marTop w:val="0"/>
      <w:marBottom w:val="0"/>
      <w:divBdr>
        <w:top w:val="none" w:sz="0" w:space="0" w:color="auto"/>
        <w:left w:val="none" w:sz="0" w:space="0" w:color="auto"/>
        <w:bottom w:val="none" w:sz="0" w:space="0" w:color="auto"/>
        <w:right w:val="none" w:sz="0" w:space="0" w:color="auto"/>
      </w:divBdr>
    </w:div>
    <w:div w:id="344937933">
      <w:bodyDiv w:val="1"/>
      <w:marLeft w:val="0"/>
      <w:marRight w:val="0"/>
      <w:marTop w:val="0"/>
      <w:marBottom w:val="0"/>
      <w:divBdr>
        <w:top w:val="none" w:sz="0" w:space="0" w:color="auto"/>
        <w:left w:val="none" w:sz="0" w:space="0" w:color="auto"/>
        <w:bottom w:val="none" w:sz="0" w:space="0" w:color="auto"/>
        <w:right w:val="none" w:sz="0" w:space="0" w:color="auto"/>
      </w:divBdr>
    </w:div>
    <w:div w:id="346368018">
      <w:bodyDiv w:val="1"/>
      <w:marLeft w:val="0"/>
      <w:marRight w:val="0"/>
      <w:marTop w:val="0"/>
      <w:marBottom w:val="0"/>
      <w:divBdr>
        <w:top w:val="none" w:sz="0" w:space="0" w:color="auto"/>
        <w:left w:val="none" w:sz="0" w:space="0" w:color="auto"/>
        <w:bottom w:val="none" w:sz="0" w:space="0" w:color="auto"/>
        <w:right w:val="none" w:sz="0" w:space="0" w:color="auto"/>
      </w:divBdr>
    </w:div>
    <w:div w:id="346521234">
      <w:bodyDiv w:val="1"/>
      <w:marLeft w:val="0"/>
      <w:marRight w:val="0"/>
      <w:marTop w:val="0"/>
      <w:marBottom w:val="0"/>
      <w:divBdr>
        <w:top w:val="none" w:sz="0" w:space="0" w:color="auto"/>
        <w:left w:val="none" w:sz="0" w:space="0" w:color="auto"/>
        <w:bottom w:val="none" w:sz="0" w:space="0" w:color="auto"/>
        <w:right w:val="none" w:sz="0" w:space="0" w:color="auto"/>
      </w:divBdr>
    </w:div>
    <w:div w:id="347024556">
      <w:bodyDiv w:val="1"/>
      <w:marLeft w:val="0"/>
      <w:marRight w:val="0"/>
      <w:marTop w:val="0"/>
      <w:marBottom w:val="0"/>
      <w:divBdr>
        <w:top w:val="none" w:sz="0" w:space="0" w:color="auto"/>
        <w:left w:val="none" w:sz="0" w:space="0" w:color="auto"/>
        <w:bottom w:val="none" w:sz="0" w:space="0" w:color="auto"/>
        <w:right w:val="none" w:sz="0" w:space="0" w:color="auto"/>
      </w:divBdr>
    </w:div>
    <w:div w:id="347560997">
      <w:bodyDiv w:val="1"/>
      <w:marLeft w:val="0"/>
      <w:marRight w:val="0"/>
      <w:marTop w:val="0"/>
      <w:marBottom w:val="0"/>
      <w:divBdr>
        <w:top w:val="none" w:sz="0" w:space="0" w:color="auto"/>
        <w:left w:val="none" w:sz="0" w:space="0" w:color="auto"/>
        <w:bottom w:val="none" w:sz="0" w:space="0" w:color="auto"/>
        <w:right w:val="none" w:sz="0" w:space="0" w:color="auto"/>
      </w:divBdr>
    </w:div>
    <w:div w:id="347869786">
      <w:bodyDiv w:val="1"/>
      <w:marLeft w:val="0"/>
      <w:marRight w:val="0"/>
      <w:marTop w:val="0"/>
      <w:marBottom w:val="0"/>
      <w:divBdr>
        <w:top w:val="none" w:sz="0" w:space="0" w:color="auto"/>
        <w:left w:val="none" w:sz="0" w:space="0" w:color="auto"/>
        <w:bottom w:val="none" w:sz="0" w:space="0" w:color="auto"/>
        <w:right w:val="none" w:sz="0" w:space="0" w:color="auto"/>
      </w:divBdr>
    </w:div>
    <w:div w:id="348914920">
      <w:bodyDiv w:val="1"/>
      <w:marLeft w:val="0"/>
      <w:marRight w:val="0"/>
      <w:marTop w:val="0"/>
      <w:marBottom w:val="0"/>
      <w:divBdr>
        <w:top w:val="none" w:sz="0" w:space="0" w:color="auto"/>
        <w:left w:val="none" w:sz="0" w:space="0" w:color="auto"/>
        <w:bottom w:val="none" w:sz="0" w:space="0" w:color="auto"/>
        <w:right w:val="none" w:sz="0" w:space="0" w:color="auto"/>
      </w:divBdr>
    </w:div>
    <w:div w:id="349987748">
      <w:bodyDiv w:val="1"/>
      <w:marLeft w:val="0"/>
      <w:marRight w:val="0"/>
      <w:marTop w:val="0"/>
      <w:marBottom w:val="0"/>
      <w:divBdr>
        <w:top w:val="none" w:sz="0" w:space="0" w:color="auto"/>
        <w:left w:val="none" w:sz="0" w:space="0" w:color="auto"/>
        <w:bottom w:val="none" w:sz="0" w:space="0" w:color="auto"/>
        <w:right w:val="none" w:sz="0" w:space="0" w:color="auto"/>
      </w:divBdr>
    </w:div>
    <w:div w:id="351151914">
      <w:bodyDiv w:val="1"/>
      <w:marLeft w:val="0"/>
      <w:marRight w:val="0"/>
      <w:marTop w:val="0"/>
      <w:marBottom w:val="0"/>
      <w:divBdr>
        <w:top w:val="none" w:sz="0" w:space="0" w:color="auto"/>
        <w:left w:val="none" w:sz="0" w:space="0" w:color="auto"/>
        <w:bottom w:val="none" w:sz="0" w:space="0" w:color="auto"/>
        <w:right w:val="none" w:sz="0" w:space="0" w:color="auto"/>
      </w:divBdr>
    </w:div>
    <w:div w:id="351423862">
      <w:bodyDiv w:val="1"/>
      <w:marLeft w:val="0"/>
      <w:marRight w:val="0"/>
      <w:marTop w:val="0"/>
      <w:marBottom w:val="0"/>
      <w:divBdr>
        <w:top w:val="none" w:sz="0" w:space="0" w:color="auto"/>
        <w:left w:val="none" w:sz="0" w:space="0" w:color="auto"/>
        <w:bottom w:val="none" w:sz="0" w:space="0" w:color="auto"/>
        <w:right w:val="none" w:sz="0" w:space="0" w:color="auto"/>
      </w:divBdr>
    </w:div>
    <w:div w:id="351732036">
      <w:bodyDiv w:val="1"/>
      <w:marLeft w:val="0"/>
      <w:marRight w:val="0"/>
      <w:marTop w:val="0"/>
      <w:marBottom w:val="0"/>
      <w:divBdr>
        <w:top w:val="none" w:sz="0" w:space="0" w:color="auto"/>
        <w:left w:val="none" w:sz="0" w:space="0" w:color="auto"/>
        <w:bottom w:val="none" w:sz="0" w:space="0" w:color="auto"/>
        <w:right w:val="none" w:sz="0" w:space="0" w:color="auto"/>
      </w:divBdr>
    </w:div>
    <w:div w:id="352150059">
      <w:bodyDiv w:val="1"/>
      <w:marLeft w:val="0"/>
      <w:marRight w:val="0"/>
      <w:marTop w:val="0"/>
      <w:marBottom w:val="0"/>
      <w:divBdr>
        <w:top w:val="none" w:sz="0" w:space="0" w:color="auto"/>
        <w:left w:val="none" w:sz="0" w:space="0" w:color="auto"/>
        <w:bottom w:val="none" w:sz="0" w:space="0" w:color="auto"/>
        <w:right w:val="none" w:sz="0" w:space="0" w:color="auto"/>
      </w:divBdr>
    </w:div>
    <w:div w:id="352268065">
      <w:bodyDiv w:val="1"/>
      <w:marLeft w:val="0"/>
      <w:marRight w:val="0"/>
      <w:marTop w:val="0"/>
      <w:marBottom w:val="0"/>
      <w:divBdr>
        <w:top w:val="none" w:sz="0" w:space="0" w:color="auto"/>
        <w:left w:val="none" w:sz="0" w:space="0" w:color="auto"/>
        <w:bottom w:val="none" w:sz="0" w:space="0" w:color="auto"/>
        <w:right w:val="none" w:sz="0" w:space="0" w:color="auto"/>
      </w:divBdr>
    </w:div>
    <w:div w:id="352656439">
      <w:bodyDiv w:val="1"/>
      <w:marLeft w:val="0"/>
      <w:marRight w:val="0"/>
      <w:marTop w:val="0"/>
      <w:marBottom w:val="0"/>
      <w:divBdr>
        <w:top w:val="none" w:sz="0" w:space="0" w:color="auto"/>
        <w:left w:val="none" w:sz="0" w:space="0" w:color="auto"/>
        <w:bottom w:val="none" w:sz="0" w:space="0" w:color="auto"/>
        <w:right w:val="none" w:sz="0" w:space="0" w:color="auto"/>
      </w:divBdr>
    </w:div>
    <w:div w:id="352734336">
      <w:bodyDiv w:val="1"/>
      <w:marLeft w:val="0"/>
      <w:marRight w:val="0"/>
      <w:marTop w:val="0"/>
      <w:marBottom w:val="0"/>
      <w:divBdr>
        <w:top w:val="none" w:sz="0" w:space="0" w:color="auto"/>
        <w:left w:val="none" w:sz="0" w:space="0" w:color="auto"/>
        <w:bottom w:val="none" w:sz="0" w:space="0" w:color="auto"/>
        <w:right w:val="none" w:sz="0" w:space="0" w:color="auto"/>
      </w:divBdr>
    </w:div>
    <w:div w:id="353894424">
      <w:bodyDiv w:val="1"/>
      <w:marLeft w:val="0"/>
      <w:marRight w:val="0"/>
      <w:marTop w:val="0"/>
      <w:marBottom w:val="0"/>
      <w:divBdr>
        <w:top w:val="none" w:sz="0" w:space="0" w:color="auto"/>
        <w:left w:val="none" w:sz="0" w:space="0" w:color="auto"/>
        <w:bottom w:val="none" w:sz="0" w:space="0" w:color="auto"/>
        <w:right w:val="none" w:sz="0" w:space="0" w:color="auto"/>
      </w:divBdr>
    </w:div>
    <w:div w:id="354188340">
      <w:bodyDiv w:val="1"/>
      <w:marLeft w:val="0"/>
      <w:marRight w:val="0"/>
      <w:marTop w:val="0"/>
      <w:marBottom w:val="0"/>
      <w:divBdr>
        <w:top w:val="none" w:sz="0" w:space="0" w:color="auto"/>
        <w:left w:val="none" w:sz="0" w:space="0" w:color="auto"/>
        <w:bottom w:val="none" w:sz="0" w:space="0" w:color="auto"/>
        <w:right w:val="none" w:sz="0" w:space="0" w:color="auto"/>
      </w:divBdr>
    </w:div>
    <w:div w:id="355543710">
      <w:bodyDiv w:val="1"/>
      <w:marLeft w:val="0"/>
      <w:marRight w:val="0"/>
      <w:marTop w:val="0"/>
      <w:marBottom w:val="0"/>
      <w:divBdr>
        <w:top w:val="none" w:sz="0" w:space="0" w:color="auto"/>
        <w:left w:val="none" w:sz="0" w:space="0" w:color="auto"/>
        <w:bottom w:val="none" w:sz="0" w:space="0" w:color="auto"/>
        <w:right w:val="none" w:sz="0" w:space="0" w:color="auto"/>
      </w:divBdr>
    </w:div>
    <w:div w:id="355809421">
      <w:bodyDiv w:val="1"/>
      <w:marLeft w:val="0"/>
      <w:marRight w:val="0"/>
      <w:marTop w:val="0"/>
      <w:marBottom w:val="0"/>
      <w:divBdr>
        <w:top w:val="none" w:sz="0" w:space="0" w:color="auto"/>
        <w:left w:val="none" w:sz="0" w:space="0" w:color="auto"/>
        <w:bottom w:val="none" w:sz="0" w:space="0" w:color="auto"/>
        <w:right w:val="none" w:sz="0" w:space="0" w:color="auto"/>
      </w:divBdr>
    </w:div>
    <w:div w:id="355812048">
      <w:bodyDiv w:val="1"/>
      <w:marLeft w:val="0"/>
      <w:marRight w:val="0"/>
      <w:marTop w:val="0"/>
      <w:marBottom w:val="0"/>
      <w:divBdr>
        <w:top w:val="none" w:sz="0" w:space="0" w:color="auto"/>
        <w:left w:val="none" w:sz="0" w:space="0" w:color="auto"/>
        <w:bottom w:val="none" w:sz="0" w:space="0" w:color="auto"/>
        <w:right w:val="none" w:sz="0" w:space="0" w:color="auto"/>
      </w:divBdr>
    </w:div>
    <w:div w:id="356925863">
      <w:bodyDiv w:val="1"/>
      <w:marLeft w:val="0"/>
      <w:marRight w:val="0"/>
      <w:marTop w:val="0"/>
      <w:marBottom w:val="0"/>
      <w:divBdr>
        <w:top w:val="none" w:sz="0" w:space="0" w:color="auto"/>
        <w:left w:val="none" w:sz="0" w:space="0" w:color="auto"/>
        <w:bottom w:val="none" w:sz="0" w:space="0" w:color="auto"/>
        <w:right w:val="none" w:sz="0" w:space="0" w:color="auto"/>
      </w:divBdr>
    </w:div>
    <w:div w:id="357508431">
      <w:bodyDiv w:val="1"/>
      <w:marLeft w:val="0"/>
      <w:marRight w:val="0"/>
      <w:marTop w:val="0"/>
      <w:marBottom w:val="0"/>
      <w:divBdr>
        <w:top w:val="none" w:sz="0" w:space="0" w:color="auto"/>
        <w:left w:val="none" w:sz="0" w:space="0" w:color="auto"/>
        <w:bottom w:val="none" w:sz="0" w:space="0" w:color="auto"/>
        <w:right w:val="none" w:sz="0" w:space="0" w:color="auto"/>
      </w:divBdr>
    </w:div>
    <w:div w:id="357782380">
      <w:bodyDiv w:val="1"/>
      <w:marLeft w:val="0"/>
      <w:marRight w:val="0"/>
      <w:marTop w:val="0"/>
      <w:marBottom w:val="0"/>
      <w:divBdr>
        <w:top w:val="none" w:sz="0" w:space="0" w:color="auto"/>
        <w:left w:val="none" w:sz="0" w:space="0" w:color="auto"/>
        <w:bottom w:val="none" w:sz="0" w:space="0" w:color="auto"/>
        <w:right w:val="none" w:sz="0" w:space="0" w:color="auto"/>
      </w:divBdr>
    </w:div>
    <w:div w:id="358313066">
      <w:bodyDiv w:val="1"/>
      <w:marLeft w:val="0"/>
      <w:marRight w:val="0"/>
      <w:marTop w:val="0"/>
      <w:marBottom w:val="0"/>
      <w:divBdr>
        <w:top w:val="none" w:sz="0" w:space="0" w:color="auto"/>
        <w:left w:val="none" w:sz="0" w:space="0" w:color="auto"/>
        <w:bottom w:val="none" w:sz="0" w:space="0" w:color="auto"/>
        <w:right w:val="none" w:sz="0" w:space="0" w:color="auto"/>
      </w:divBdr>
    </w:div>
    <w:div w:id="358816496">
      <w:bodyDiv w:val="1"/>
      <w:marLeft w:val="0"/>
      <w:marRight w:val="0"/>
      <w:marTop w:val="0"/>
      <w:marBottom w:val="0"/>
      <w:divBdr>
        <w:top w:val="none" w:sz="0" w:space="0" w:color="auto"/>
        <w:left w:val="none" w:sz="0" w:space="0" w:color="auto"/>
        <w:bottom w:val="none" w:sz="0" w:space="0" w:color="auto"/>
        <w:right w:val="none" w:sz="0" w:space="0" w:color="auto"/>
      </w:divBdr>
    </w:div>
    <w:div w:id="359860240">
      <w:bodyDiv w:val="1"/>
      <w:marLeft w:val="0"/>
      <w:marRight w:val="0"/>
      <w:marTop w:val="0"/>
      <w:marBottom w:val="0"/>
      <w:divBdr>
        <w:top w:val="none" w:sz="0" w:space="0" w:color="auto"/>
        <w:left w:val="none" w:sz="0" w:space="0" w:color="auto"/>
        <w:bottom w:val="none" w:sz="0" w:space="0" w:color="auto"/>
        <w:right w:val="none" w:sz="0" w:space="0" w:color="auto"/>
      </w:divBdr>
    </w:div>
    <w:div w:id="360209698">
      <w:bodyDiv w:val="1"/>
      <w:marLeft w:val="0"/>
      <w:marRight w:val="0"/>
      <w:marTop w:val="0"/>
      <w:marBottom w:val="0"/>
      <w:divBdr>
        <w:top w:val="none" w:sz="0" w:space="0" w:color="auto"/>
        <w:left w:val="none" w:sz="0" w:space="0" w:color="auto"/>
        <w:bottom w:val="none" w:sz="0" w:space="0" w:color="auto"/>
        <w:right w:val="none" w:sz="0" w:space="0" w:color="auto"/>
      </w:divBdr>
    </w:div>
    <w:div w:id="361713162">
      <w:bodyDiv w:val="1"/>
      <w:marLeft w:val="0"/>
      <w:marRight w:val="0"/>
      <w:marTop w:val="0"/>
      <w:marBottom w:val="0"/>
      <w:divBdr>
        <w:top w:val="none" w:sz="0" w:space="0" w:color="auto"/>
        <w:left w:val="none" w:sz="0" w:space="0" w:color="auto"/>
        <w:bottom w:val="none" w:sz="0" w:space="0" w:color="auto"/>
        <w:right w:val="none" w:sz="0" w:space="0" w:color="auto"/>
      </w:divBdr>
    </w:div>
    <w:div w:id="362636383">
      <w:bodyDiv w:val="1"/>
      <w:marLeft w:val="0"/>
      <w:marRight w:val="0"/>
      <w:marTop w:val="0"/>
      <w:marBottom w:val="0"/>
      <w:divBdr>
        <w:top w:val="none" w:sz="0" w:space="0" w:color="auto"/>
        <w:left w:val="none" w:sz="0" w:space="0" w:color="auto"/>
        <w:bottom w:val="none" w:sz="0" w:space="0" w:color="auto"/>
        <w:right w:val="none" w:sz="0" w:space="0" w:color="auto"/>
      </w:divBdr>
    </w:div>
    <w:div w:id="363599314">
      <w:bodyDiv w:val="1"/>
      <w:marLeft w:val="0"/>
      <w:marRight w:val="0"/>
      <w:marTop w:val="0"/>
      <w:marBottom w:val="0"/>
      <w:divBdr>
        <w:top w:val="none" w:sz="0" w:space="0" w:color="auto"/>
        <w:left w:val="none" w:sz="0" w:space="0" w:color="auto"/>
        <w:bottom w:val="none" w:sz="0" w:space="0" w:color="auto"/>
        <w:right w:val="none" w:sz="0" w:space="0" w:color="auto"/>
      </w:divBdr>
    </w:div>
    <w:div w:id="363752649">
      <w:bodyDiv w:val="1"/>
      <w:marLeft w:val="0"/>
      <w:marRight w:val="0"/>
      <w:marTop w:val="0"/>
      <w:marBottom w:val="0"/>
      <w:divBdr>
        <w:top w:val="none" w:sz="0" w:space="0" w:color="auto"/>
        <w:left w:val="none" w:sz="0" w:space="0" w:color="auto"/>
        <w:bottom w:val="none" w:sz="0" w:space="0" w:color="auto"/>
        <w:right w:val="none" w:sz="0" w:space="0" w:color="auto"/>
      </w:divBdr>
    </w:div>
    <w:div w:id="364256810">
      <w:bodyDiv w:val="1"/>
      <w:marLeft w:val="0"/>
      <w:marRight w:val="0"/>
      <w:marTop w:val="0"/>
      <w:marBottom w:val="0"/>
      <w:divBdr>
        <w:top w:val="none" w:sz="0" w:space="0" w:color="auto"/>
        <w:left w:val="none" w:sz="0" w:space="0" w:color="auto"/>
        <w:bottom w:val="none" w:sz="0" w:space="0" w:color="auto"/>
        <w:right w:val="none" w:sz="0" w:space="0" w:color="auto"/>
      </w:divBdr>
    </w:div>
    <w:div w:id="364790943">
      <w:bodyDiv w:val="1"/>
      <w:marLeft w:val="0"/>
      <w:marRight w:val="0"/>
      <w:marTop w:val="0"/>
      <w:marBottom w:val="0"/>
      <w:divBdr>
        <w:top w:val="none" w:sz="0" w:space="0" w:color="auto"/>
        <w:left w:val="none" w:sz="0" w:space="0" w:color="auto"/>
        <w:bottom w:val="none" w:sz="0" w:space="0" w:color="auto"/>
        <w:right w:val="none" w:sz="0" w:space="0" w:color="auto"/>
      </w:divBdr>
    </w:div>
    <w:div w:id="364989297">
      <w:bodyDiv w:val="1"/>
      <w:marLeft w:val="0"/>
      <w:marRight w:val="0"/>
      <w:marTop w:val="0"/>
      <w:marBottom w:val="0"/>
      <w:divBdr>
        <w:top w:val="none" w:sz="0" w:space="0" w:color="auto"/>
        <w:left w:val="none" w:sz="0" w:space="0" w:color="auto"/>
        <w:bottom w:val="none" w:sz="0" w:space="0" w:color="auto"/>
        <w:right w:val="none" w:sz="0" w:space="0" w:color="auto"/>
      </w:divBdr>
    </w:div>
    <w:div w:id="365254165">
      <w:bodyDiv w:val="1"/>
      <w:marLeft w:val="0"/>
      <w:marRight w:val="0"/>
      <w:marTop w:val="0"/>
      <w:marBottom w:val="0"/>
      <w:divBdr>
        <w:top w:val="none" w:sz="0" w:space="0" w:color="auto"/>
        <w:left w:val="none" w:sz="0" w:space="0" w:color="auto"/>
        <w:bottom w:val="none" w:sz="0" w:space="0" w:color="auto"/>
        <w:right w:val="none" w:sz="0" w:space="0" w:color="auto"/>
      </w:divBdr>
    </w:div>
    <w:div w:id="366488792">
      <w:bodyDiv w:val="1"/>
      <w:marLeft w:val="0"/>
      <w:marRight w:val="0"/>
      <w:marTop w:val="0"/>
      <w:marBottom w:val="0"/>
      <w:divBdr>
        <w:top w:val="none" w:sz="0" w:space="0" w:color="auto"/>
        <w:left w:val="none" w:sz="0" w:space="0" w:color="auto"/>
        <w:bottom w:val="none" w:sz="0" w:space="0" w:color="auto"/>
        <w:right w:val="none" w:sz="0" w:space="0" w:color="auto"/>
      </w:divBdr>
    </w:div>
    <w:div w:id="366493301">
      <w:bodyDiv w:val="1"/>
      <w:marLeft w:val="0"/>
      <w:marRight w:val="0"/>
      <w:marTop w:val="0"/>
      <w:marBottom w:val="0"/>
      <w:divBdr>
        <w:top w:val="none" w:sz="0" w:space="0" w:color="auto"/>
        <w:left w:val="none" w:sz="0" w:space="0" w:color="auto"/>
        <w:bottom w:val="none" w:sz="0" w:space="0" w:color="auto"/>
        <w:right w:val="none" w:sz="0" w:space="0" w:color="auto"/>
      </w:divBdr>
    </w:div>
    <w:div w:id="367217244">
      <w:bodyDiv w:val="1"/>
      <w:marLeft w:val="0"/>
      <w:marRight w:val="0"/>
      <w:marTop w:val="0"/>
      <w:marBottom w:val="0"/>
      <w:divBdr>
        <w:top w:val="none" w:sz="0" w:space="0" w:color="auto"/>
        <w:left w:val="none" w:sz="0" w:space="0" w:color="auto"/>
        <w:bottom w:val="none" w:sz="0" w:space="0" w:color="auto"/>
        <w:right w:val="none" w:sz="0" w:space="0" w:color="auto"/>
      </w:divBdr>
    </w:div>
    <w:div w:id="367340847">
      <w:bodyDiv w:val="1"/>
      <w:marLeft w:val="0"/>
      <w:marRight w:val="0"/>
      <w:marTop w:val="0"/>
      <w:marBottom w:val="0"/>
      <w:divBdr>
        <w:top w:val="none" w:sz="0" w:space="0" w:color="auto"/>
        <w:left w:val="none" w:sz="0" w:space="0" w:color="auto"/>
        <w:bottom w:val="none" w:sz="0" w:space="0" w:color="auto"/>
        <w:right w:val="none" w:sz="0" w:space="0" w:color="auto"/>
      </w:divBdr>
    </w:div>
    <w:div w:id="368452461">
      <w:bodyDiv w:val="1"/>
      <w:marLeft w:val="0"/>
      <w:marRight w:val="0"/>
      <w:marTop w:val="0"/>
      <w:marBottom w:val="0"/>
      <w:divBdr>
        <w:top w:val="none" w:sz="0" w:space="0" w:color="auto"/>
        <w:left w:val="none" w:sz="0" w:space="0" w:color="auto"/>
        <w:bottom w:val="none" w:sz="0" w:space="0" w:color="auto"/>
        <w:right w:val="none" w:sz="0" w:space="0" w:color="auto"/>
      </w:divBdr>
    </w:div>
    <w:div w:id="369040663">
      <w:bodyDiv w:val="1"/>
      <w:marLeft w:val="0"/>
      <w:marRight w:val="0"/>
      <w:marTop w:val="0"/>
      <w:marBottom w:val="0"/>
      <w:divBdr>
        <w:top w:val="none" w:sz="0" w:space="0" w:color="auto"/>
        <w:left w:val="none" w:sz="0" w:space="0" w:color="auto"/>
        <w:bottom w:val="none" w:sz="0" w:space="0" w:color="auto"/>
        <w:right w:val="none" w:sz="0" w:space="0" w:color="auto"/>
      </w:divBdr>
    </w:div>
    <w:div w:id="369115776">
      <w:bodyDiv w:val="1"/>
      <w:marLeft w:val="0"/>
      <w:marRight w:val="0"/>
      <w:marTop w:val="0"/>
      <w:marBottom w:val="0"/>
      <w:divBdr>
        <w:top w:val="none" w:sz="0" w:space="0" w:color="auto"/>
        <w:left w:val="none" w:sz="0" w:space="0" w:color="auto"/>
        <w:bottom w:val="none" w:sz="0" w:space="0" w:color="auto"/>
        <w:right w:val="none" w:sz="0" w:space="0" w:color="auto"/>
      </w:divBdr>
    </w:div>
    <w:div w:id="369116361">
      <w:bodyDiv w:val="1"/>
      <w:marLeft w:val="0"/>
      <w:marRight w:val="0"/>
      <w:marTop w:val="0"/>
      <w:marBottom w:val="0"/>
      <w:divBdr>
        <w:top w:val="none" w:sz="0" w:space="0" w:color="auto"/>
        <w:left w:val="none" w:sz="0" w:space="0" w:color="auto"/>
        <w:bottom w:val="none" w:sz="0" w:space="0" w:color="auto"/>
        <w:right w:val="none" w:sz="0" w:space="0" w:color="auto"/>
      </w:divBdr>
    </w:div>
    <w:div w:id="369382572">
      <w:bodyDiv w:val="1"/>
      <w:marLeft w:val="0"/>
      <w:marRight w:val="0"/>
      <w:marTop w:val="0"/>
      <w:marBottom w:val="0"/>
      <w:divBdr>
        <w:top w:val="none" w:sz="0" w:space="0" w:color="auto"/>
        <w:left w:val="none" w:sz="0" w:space="0" w:color="auto"/>
        <w:bottom w:val="none" w:sz="0" w:space="0" w:color="auto"/>
        <w:right w:val="none" w:sz="0" w:space="0" w:color="auto"/>
      </w:divBdr>
    </w:div>
    <w:div w:id="371077227">
      <w:bodyDiv w:val="1"/>
      <w:marLeft w:val="0"/>
      <w:marRight w:val="0"/>
      <w:marTop w:val="0"/>
      <w:marBottom w:val="0"/>
      <w:divBdr>
        <w:top w:val="none" w:sz="0" w:space="0" w:color="auto"/>
        <w:left w:val="none" w:sz="0" w:space="0" w:color="auto"/>
        <w:bottom w:val="none" w:sz="0" w:space="0" w:color="auto"/>
        <w:right w:val="none" w:sz="0" w:space="0" w:color="auto"/>
      </w:divBdr>
    </w:div>
    <w:div w:id="371078115">
      <w:bodyDiv w:val="1"/>
      <w:marLeft w:val="0"/>
      <w:marRight w:val="0"/>
      <w:marTop w:val="0"/>
      <w:marBottom w:val="0"/>
      <w:divBdr>
        <w:top w:val="none" w:sz="0" w:space="0" w:color="auto"/>
        <w:left w:val="none" w:sz="0" w:space="0" w:color="auto"/>
        <w:bottom w:val="none" w:sz="0" w:space="0" w:color="auto"/>
        <w:right w:val="none" w:sz="0" w:space="0" w:color="auto"/>
      </w:divBdr>
    </w:div>
    <w:div w:id="371346000">
      <w:bodyDiv w:val="1"/>
      <w:marLeft w:val="0"/>
      <w:marRight w:val="0"/>
      <w:marTop w:val="0"/>
      <w:marBottom w:val="0"/>
      <w:divBdr>
        <w:top w:val="none" w:sz="0" w:space="0" w:color="auto"/>
        <w:left w:val="none" w:sz="0" w:space="0" w:color="auto"/>
        <w:bottom w:val="none" w:sz="0" w:space="0" w:color="auto"/>
        <w:right w:val="none" w:sz="0" w:space="0" w:color="auto"/>
      </w:divBdr>
    </w:div>
    <w:div w:id="371346750">
      <w:bodyDiv w:val="1"/>
      <w:marLeft w:val="0"/>
      <w:marRight w:val="0"/>
      <w:marTop w:val="0"/>
      <w:marBottom w:val="0"/>
      <w:divBdr>
        <w:top w:val="none" w:sz="0" w:space="0" w:color="auto"/>
        <w:left w:val="none" w:sz="0" w:space="0" w:color="auto"/>
        <w:bottom w:val="none" w:sz="0" w:space="0" w:color="auto"/>
        <w:right w:val="none" w:sz="0" w:space="0" w:color="auto"/>
      </w:divBdr>
    </w:div>
    <w:div w:id="372727373">
      <w:bodyDiv w:val="1"/>
      <w:marLeft w:val="0"/>
      <w:marRight w:val="0"/>
      <w:marTop w:val="0"/>
      <w:marBottom w:val="0"/>
      <w:divBdr>
        <w:top w:val="none" w:sz="0" w:space="0" w:color="auto"/>
        <w:left w:val="none" w:sz="0" w:space="0" w:color="auto"/>
        <w:bottom w:val="none" w:sz="0" w:space="0" w:color="auto"/>
        <w:right w:val="none" w:sz="0" w:space="0" w:color="auto"/>
      </w:divBdr>
    </w:div>
    <w:div w:id="373651922">
      <w:bodyDiv w:val="1"/>
      <w:marLeft w:val="0"/>
      <w:marRight w:val="0"/>
      <w:marTop w:val="0"/>
      <w:marBottom w:val="0"/>
      <w:divBdr>
        <w:top w:val="none" w:sz="0" w:space="0" w:color="auto"/>
        <w:left w:val="none" w:sz="0" w:space="0" w:color="auto"/>
        <w:bottom w:val="none" w:sz="0" w:space="0" w:color="auto"/>
        <w:right w:val="none" w:sz="0" w:space="0" w:color="auto"/>
      </w:divBdr>
    </w:div>
    <w:div w:id="375860565">
      <w:bodyDiv w:val="1"/>
      <w:marLeft w:val="0"/>
      <w:marRight w:val="0"/>
      <w:marTop w:val="0"/>
      <w:marBottom w:val="0"/>
      <w:divBdr>
        <w:top w:val="none" w:sz="0" w:space="0" w:color="auto"/>
        <w:left w:val="none" w:sz="0" w:space="0" w:color="auto"/>
        <w:bottom w:val="none" w:sz="0" w:space="0" w:color="auto"/>
        <w:right w:val="none" w:sz="0" w:space="0" w:color="auto"/>
      </w:divBdr>
    </w:div>
    <w:div w:id="376122636">
      <w:bodyDiv w:val="1"/>
      <w:marLeft w:val="0"/>
      <w:marRight w:val="0"/>
      <w:marTop w:val="0"/>
      <w:marBottom w:val="0"/>
      <w:divBdr>
        <w:top w:val="none" w:sz="0" w:space="0" w:color="auto"/>
        <w:left w:val="none" w:sz="0" w:space="0" w:color="auto"/>
        <w:bottom w:val="none" w:sz="0" w:space="0" w:color="auto"/>
        <w:right w:val="none" w:sz="0" w:space="0" w:color="auto"/>
      </w:divBdr>
    </w:div>
    <w:div w:id="376709450">
      <w:bodyDiv w:val="1"/>
      <w:marLeft w:val="0"/>
      <w:marRight w:val="0"/>
      <w:marTop w:val="0"/>
      <w:marBottom w:val="0"/>
      <w:divBdr>
        <w:top w:val="none" w:sz="0" w:space="0" w:color="auto"/>
        <w:left w:val="none" w:sz="0" w:space="0" w:color="auto"/>
        <w:bottom w:val="none" w:sz="0" w:space="0" w:color="auto"/>
        <w:right w:val="none" w:sz="0" w:space="0" w:color="auto"/>
      </w:divBdr>
    </w:div>
    <w:div w:id="378014815">
      <w:bodyDiv w:val="1"/>
      <w:marLeft w:val="0"/>
      <w:marRight w:val="0"/>
      <w:marTop w:val="0"/>
      <w:marBottom w:val="0"/>
      <w:divBdr>
        <w:top w:val="none" w:sz="0" w:space="0" w:color="auto"/>
        <w:left w:val="none" w:sz="0" w:space="0" w:color="auto"/>
        <w:bottom w:val="none" w:sz="0" w:space="0" w:color="auto"/>
        <w:right w:val="none" w:sz="0" w:space="0" w:color="auto"/>
      </w:divBdr>
    </w:div>
    <w:div w:id="379013867">
      <w:bodyDiv w:val="1"/>
      <w:marLeft w:val="0"/>
      <w:marRight w:val="0"/>
      <w:marTop w:val="0"/>
      <w:marBottom w:val="0"/>
      <w:divBdr>
        <w:top w:val="none" w:sz="0" w:space="0" w:color="auto"/>
        <w:left w:val="none" w:sz="0" w:space="0" w:color="auto"/>
        <w:bottom w:val="none" w:sz="0" w:space="0" w:color="auto"/>
        <w:right w:val="none" w:sz="0" w:space="0" w:color="auto"/>
      </w:divBdr>
    </w:div>
    <w:div w:id="379138663">
      <w:bodyDiv w:val="1"/>
      <w:marLeft w:val="0"/>
      <w:marRight w:val="0"/>
      <w:marTop w:val="0"/>
      <w:marBottom w:val="0"/>
      <w:divBdr>
        <w:top w:val="none" w:sz="0" w:space="0" w:color="auto"/>
        <w:left w:val="none" w:sz="0" w:space="0" w:color="auto"/>
        <w:bottom w:val="none" w:sz="0" w:space="0" w:color="auto"/>
        <w:right w:val="none" w:sz="0" w:space="0" w:color="auto"/>
      </w:divBdr>
    </w:div>
    <w:div w:id="379522662">
      <w:bodyDiv w:val="1"/>
      <w:marLeft w:val="0"/>
      <w:marRight w:val="0"/>
      <w:marTop w:val="0"/>
      <w:marBottom w:val="0"/>
      <w:divBdr>
        <w:top w:val="none" w:sz="0" w:space="0" w:color="auto"/>
        <w:left w:val="none" w:sz="0" w:space="0" w:color="auto"/>
        <w:bottom w:val="none" w:sz="0" w:space="0" w:color="auto"/>
        <w:right w:val="none" w:sz="0" w:space="0" w:color="auto"/>
      </w:divBdr>
    </w:div>
    <w:div w:id="381252129">
      <w:bodyDiv w:val="1"/>
      <w:marLeft w:val="0"/>
      <w:marRight w:val="0"/>
      <w:marTop w:val="0"/>
      <w:marBottom w:val="0"/>
      <w:divBdr>
        <w:top w:val="none" w:sz="0" w:space="0" w:color="auto"/>
        <w:left w:val="none" w:sz="0" w:space="0" w:color="auto"/>
        <w:bottom w:val="none" w:sz="0" w:space="0" w:color="auto"/>
        <w:right w:val="none" w:sz="0" w:space="0" w:color="auto"/>
      </w:divBdr>
    </w:div>
    <w:div w:id="381255075">
      <w:bodyDiv w:val="1"/>
      <w:marLeft w:val="0"/>
      <w:marRight w:val="0"/>
      <w:marTop w:val="0"/>
      <w:marBottom w:val="0"/>
      <w:divBdr>
        <w:top w:val="none" w:sz="0" w:space="0" w:color="auto"/>
        <w:left w:val="none" w:sz="0" w:space="0" w:color="auto"/>
        <w:bottom w:val="none" w:sz="0" w:space="0" w:color="auto"/>
        <w:right w:val="none" w:sz="0" w:space="0" w:color="auto"/>
      </w:divBdr>
    </w:div>
    <w:div w:id="381641420">
      <w:bodyDiv w:val="1"/>
      <w:marLeft w:val="0"/>
      <w:marRight w:val="0"/>
      <w:marTop w:val="0"/>
      <w:marBottom w:val="0"/>
      <w:divBdr>
        <w:top w:val="none" w:sz="0" w:space="0" w:color="auto"/>
        <w:left w:val="none" w:sz="0" w:space="0" w:color="auto"/>
        <w:bottom w:val="none" w:sz="0" w:space="0" w:color="auto"/>
        <w:right w:val="none" w:sz="0" w:space="0" w:color="auto"/>
      </w:divBdr>
    </w:div>
    <w:div w:id="381950053">
      <w:bodyDiv w:val="1"/>
      <w:marLeft w:val="0"/>
      <w:marRight w:val="0"/>
      <w:marTop w:val="0"/>
      <w:marBottom w:val="0"/>
      <w:divBdr>
        <w:top w:val="none" w:sz="0" w:space="0" w:color="auto"/>
        <w:left w:val="none" w:sz="0" w:space="0" w:color="auto"/>
        <w:bottom w:val="none" w:sz="0" w:space="0" w:color="auto"/>
        <w:right w:val="none" w:sz="0" w:space="0" w:color="auto"/>
      </w:divBdr>
    </w:div>
    <w:div w:id="383867283">
      <w:bodyDiv w:val="1"/>
      <w:marLeft w:val="0"/>
      <w:marRight w:val="0"/>
      <w:marTop w:val="0"/>
      <w:marBottom w:val="0"/>
      <w:divBdr>
        <w:top w:val="none" w:sz="0" w:space="0" w:color="auto"/>
        <w:left w:val="none" w:sz="0" w:space="0" w:color="auto"/>
        <w:bottom w:val="none" w:sz="0" w:space="0" w:color="auto"/>
        <w:right w:val="none" w:sz="0" w:space="0" w:color="auto"/>
      </w:divBdr>
    </w:div>
    <w:div w:id="384645339">
      <w:bodyDiv w:val="1"/>
      <w:marLeft w:val="0"/>
      <w:marRight w:val="0"/>
      <w:marTop w:val="0"/>
      <w:marBottom w:val="0"/>
      <w:divBdr>
        <w:top w:val="none" w:sz="0" w:space="0" w:color="auto"/>
        <w:left w:val="none" w:sz="0" w:space="0" w:color="auto"/>
        <w:bottom w:val="none" w:sz="0" w:space="0" w:color="auto"/>
        <w:right w:val="none" w:sz="0" w:space="0" w:color="auto"/>
      </w:divBdr>
    </w:div>
    <w:div w:id="384959705">
      <w:bodyDiv w:val="1"/>
      <w:marLeft w:val="0"/>
      <w:marRight w:val="0"/>
      <w:marTop w:val="0"/>
      <w:marBottom w:val="0"/>
      <w:divBdr>
        <w:top w:val="none" w:sz="0" w:space="0" w:color="auto"/>
        <w:left w:val="none" w:sz="0" w:space="0" w:color="auto"/>
        <w:bottom w:val="none" w:sz="0" w:space="0" w:color="auto"/>
        <w:right w:val="none" w:sz="0" w:space="0" w:color="auto"/>
      </w:divBdr>
    </w:div>
    <w:div w:id="384990106">
      <w:bodyDiv w:val="1"/>
      <w:marLeft w:val="0"/>
      <w:marRight w:val="0"/>
      <w:marTop w:val="0"/>
      <w:marBottom w:val="0"/>
      <w:divBdr>
        <w:top w:val="none" w:sz="0" w:space="0" w:color="auto"/>
        <w:left w:val="none" w:sz="0" w:space="0" w:color="auto"/>
        <w:bottom w:val="none" w:sz="0" w:space="0" w:color="auto"/>
        <w:right w:val="none" w:sz="0" w:space="0" w:color="auto"/>
      </w:divBdr>
    </w:div>
    <w:div w:id="385489227">
      <w:bodyDiv w:val="1"/>
      <w:marLeft w:val="0"/>
      <w:marRight w:val="0"/>
      <w:marTop w:val="0"/>
      <w:marBottom w:val="0"/>
      <w:divBdr>
        <w:top w:val="none" w:sz="0" w:space="0" w:color="auto"/>
        <w:left w:val="none" w:sz="0" w:space="0" w:color="auto"/>
        <w:bottom w:val="none" w:sz="0" w:space="0" w:color="auto"/>
        <w:right w:val="none" w:sz="0" w:space="0" w:color="auto"/>
      </w:divBdr>
    </w:div>
    <w:div w:id="386563245">
      <w:bodyDiv w:val="1"/>
      <w:marLeft w:val="0"/>
      <w:marRight w:val="0"/>
      <w:marTop w:val="0"/>
      <w:marBottom w:val="0"/>
      <w:divBdr>
        <w:top w:val="none" w:sz="0" w:space="0" w:color="auto"/>
        <w:left w:val="none" w:sz="0" w:space="0" w:color="auto"/>
        <w:bottom w:val="none" w:sz="0" w:space="0" w:color="auto"/>
        <w:right w:val="none" w:sz="0" w:space="0" w:color="auto"/>
      </w:divBdr>
    </w:div>
    <w:div w:id="386684354">
      <w:bodyDiv w:val="1"/>
      <w:marLeft w:val="0"/>
      <w:marRight w:val="0"/>
      <w:marTop w:val="0"/>
      <w:marBottom w:val="0"/>
      <w:divBdr>
        <w:top w:val="none" w:sz="0" w:space="0" w:color="auto"/>
        <w:left w:val="none" w:sz="0" w:space="0" w:color="auto"/>
        <w:bottom w:val="none" w:sz="0" w:space="0" w:color="auto"/>
        <w:right w:val="none" w:sz="0" w:space="0" w:color="auto"/>
      </w:divBdr>
    </w:div>
    <w:div w:id="388382933">
      <w:bodyDiv w:val="1"/>
      <w:marLeft w:val="0"/>
      <w:marRight w:val="0"/>
      <w:marTop w:val="0"/>
      <w:marBottom w:val="0"/>
      <w:divBdr>
        <w:top w:val="none" w:sz="0" w:space="0" w:color="auto"/>
        <w:left w:val="none" w:sz="0" w:space="0" w:color="auto"/>
        <w:bottom w:val="none" w:sz="0" w:space="0" w:color="auto"/>
        <w:right w:val="none" w:sz="0" w:space="0" w:color="auto"/>
      </w:divBdr>
    </w:div>
    <w:div w:id="388848067">
      <w:bodyDiv w:val="1"/>
      <w:marLeft w:val="0"/>
      <w:marRight w:val="0"/>
      <w:marTop w:val="0"/>
      <w:marBottom w:val="0"/>
      <w:divBdr>
        <w:top w:val="none" w:sz="0" w:space="0" w:color="auto"/>
        <w:left w:val="none" w:sz="0" w:space="0" w:color="auto"/>
        <w:bottom w:val="none" w:sz="0" w:space="0" w:color="auto"/>
        <w:right w:val="none" w:sz="0" w:space="0" w:color="auto"/>
      </w:divBdr>
    </w:div>
    <w:div w:id="389113295">
      <w:bodyDiv w:val="1"/>
      <w:marLeft w:val="0"/>
      <w:marRight w:val="0"/>
      <w:marTop w:val="0"/>
      <w:marBottom w:val="0"/>
      <w:divBdr>
        <w:top w:val="none" w:sz="0" w:space="0" w:color="auto"/>
        <w:left w:val="none" w:sz="0" w:space="0" w:color="auto"/>
        <w:bottom w:val="none" w:sz="0" w:space="0" w:color="auto"/>
        <w:right w:val="none" w:sz="0" w:space="0" w:color="auto"/>
      </w:divBdr>
    </w:div>
    <w:div w:id="389501615">
      <w:bodyDiv w:val="1"/>
      <w:marLeft w:val="0"/>
      <w:marRight w:val="0"/>
      <w:marTop w:val="0"/>
      <w:marBottom w:val="0"/>
      <w:divBdr>
        <w:top w:val="none" w:sz="0" w:space="0" w:color="auto"/>
        <w:left w:val="none" w:sz="0" w:space="0" w:color="auto"/>
        <w:bottom w:val="none" w:sz="0" w:space="0" w:color="auto"/>
        <w:right w:val="none" w:sz="0" w:space="0" w:color="auto"/>
      </w:divBdr>
    </w:div>
    <w:div w:id="390035038">
      <w:bodyDiv w:val="1"/>
      <w:marLeft w:val="0"/>
      <w:marRight w:val="0"/>
      <w:marTop w:val="0"/>
      <w:marBottom w:val="0"/>
      <w:divBdr>
        <w:top w:val="none" w:sz="0" w:space="0" w:color="auto"/>
        <w:left w:val="none" w:sz="0" w:space="0" w:color="auto"/>
        <w:bottom w:val="none" w:sz="0" w:space="0" w:color="auto"/>
        <w:right w:val="none" w:sz="0" w:space="0" w:color="auto"/>
      </w:divBdr>
    </w:div>
    <w:div w:id="390887776">
      <w:bodyDiv w:val="1"/>
      <w:marLeft w:val="0"/>
      <w:marRight w:val="0"/>
      <w:marTop w:val="0"/>
      <w:marBottom w:val="0"/>
      <w:divBdr>
        <w:top w:val="none" w:sz="0" w:space="0" w:color="auto"/>
        <w:left w:val="none" w:sz="0" w:space="0" w:color="auto"/>
        <w:bottom w:val="none" w:sz="0" w:space="0" w:color="auto"/>
        <w:right w:val="none" w:sz="0" w:space="0" w:color="auto"/>
      </w:divBdr>
    </w:div>
    <w:div w:id="391122918">
      <w:bodyDiv w:val="1"/>
      <w:marLeft w:val="0"/>
      <w:marRight w:val="0"/>
      <w:marTop w:val="0"/>
      <w:marBottom w:val="0"/>
      <w:divBdr>
        <w:top w:val="none" w:sz="0" w:space="0" w:color="auto"/>
        <w:left w:val="none" w:sz="0" w:space="0" w:color="auto"/>
        <w:bottom w:val="none" w:sz="0" w:space="0" w:color="auto"/>
        <w:right w:val="none" w:sz="0" w:space="0" w:color="auto"/>
      </w:divBdr>
    </w:div>
    <w:div w:id="391736709">
      <w:bodyDiv w:val="1"/>
      <w:marLeft w:val="0"/>
      <w:marRight w:val="0"/>
      <w:marTop w:val="0"/>
      <w:marBottom w:val="0"/>
      <w:divBdr>
        <w:top w:val="none" w:sz="0" w:space="0" w:color="auto"/>
        <w:left w:val="none" w:sz="0" w:space="0" w:color="auto"/>
        <w:bottom w:val="none" w:sz="0" w:space="0" w:color="auto"/>
        <w:right w:val="none" w:sz="0" w:space="0" w:color="auto"/>
      </w:divBdr>
    </w:div>
    <w:div w:id="391781523">
      <w:bodyDiv w:val="1"/>
      <w:marLeft w:val="0"/>
      <w:marRight w:val="0"/>
      <w:marTop w:val="0"/>
      <w:marBottom w:val="0"/>
      <w:divBdr>
        <w:top w:val="none" w:sz="0" w:space="0" w:color="auto"/>
        <w:left w:val="none" w:sz="0" w:space="0" w:color="auto"/>
        <w:bottom w:val="none" w:sz="0" w:space="0" w:color="auto"/>
        <w:right w:val="none" w:sz="0" w:space="0" w:color="auto"/>
      </w:divBdr>
    </w:div>
    <w:div w:id="393310282">
      <w:bodyDiv w:val="1"/>
      <w:marLeft w:val="0"/>
      <w:marRight w:val="0"/>
      <w:marTop w:val="0"/>
      <w:marBottom w:val="0"/>
      <w:divBdr>
        <w:top w:val="none" w:sz="0" w:space="0" w:color="auto"/>
        <w:left w:val="none" w:sz="0" w:space="0" w:color="auto"/>
        <w:bottom w:val="none" w:sz="0" w:space="0" w:color="auto"/>
        <w:right w:val="none" w:sz="0" w:space="0" w:color="auto"/>
      </w:divBdr>
    </w:div>
    <w:div w:id="394208373">
      <w:bodyDiv w:val="1"/>
      <w:marLeft w:val="0"/>
      <w:marRight w:val="0"/>
      <w:marTop w:val="0"/>
      <w:marBottom w:val="0"/>
      <w:divBdr>
        <w:top w:val="none" w:sz="0" w:space="0" w:color="auto"/>
        <w:left w:val="none" w:sz="0" w:space="0" w:color="auto"/>
        <w:bottom w:val="none" w:sz="0" w:space="0" w:color="auto"/>
        <w:right w:val="none" w:sz="0" w:space="0" w:color="auto"/>
      </w:divBdr>
    </w:div>
    <w:div w:id="394932533">
      <w:bodyDiv w:val="1"/>
      <w:marLeft w:val="0"/>
      <w:marRight w:val="0"/>
      <w:marTop w:val="0"/>
      <w:marBottom w:val="0"/>
      <w:divBdr>
        <w:top w:val="none" w:sz="0" w:space="0" w:color="auto"/>
        <w:left w:val="none" w:sz="0" w:space="0" w:color="auto"/>
        <w:bottom w:val="none" w:sz="0" w:space="0" w:color="auto"/>
        <w:right w:val="none" w:sz="0" w:space="0" w:color="auto"/>
      </w:divBdr>
    </w:div>
    <w:div w:id="395130670">
      <w:bodyDiv w:val="1"/>
      <w:marLeft w:val="0"/>
      <w:marRight w:val="0"/>
      <w:marTop w:val="0"/>
      <w:marBottom w:val="0"/>
      <w:divBdr>
        <w:top w:val="none" w:sz="0" w:space="0" w:color="auto"/>
        <w:left w:val="none" w:sz="0" w:space="0" w:color="auto"/>
        <w:bottom w:val="none" w:sz="0" w:space="0" w:color="auto"/>
        <w:right w:val="none" w:sz="0" w:space="0" w:color="auto"/>
      </w:divBdr>
    </w:div>
    <w:div w:id="395326984">
      <w:bodyDiv w:val="1"/>
      <w:marLeft w:val="0"/>
      <w:marRight w:val="0"/>
      <w:marTop w:val="0"/>
      <w:marBottom w:val="0"/>
      <w:divBdr>
        <w:top w:val="none" w:sz="0" w:space="0" w:color="auto"/>
        <w:left w:val="none" w:sz="0" w:space="0" w:color="auto"/>
        <w:bottom w:val="none" w:sz="0" w:space="0" w:color="auto"/>
        <w:right w:val="none" w:sz="0" w:space="0" w:color="auto"/>
      </w:divBdr>
    </w:div>
    <w:div w:id="396364284">
      <w:bodyDiv w:val="1"/>
      <w:marLeft w:val="0"/>
      <w:marRight w:val="0"/>
      <w:marTop w:val="0"/>
      <w:marBottom w:val="0"/>
      <w:divBdr>
        <w:top w:val="none" w:sz="0" w:space="0" w:color="auto"/>
        <w:left w:val="none" w:sz="0" w:space="0" w:color="auto"/>
        <w:bottom w:val="none" w:sz="0" w:space="0" w:color="auto"/>
        <w:right w:val="none" w:sz="0" w:space="0" w:color="auto"/>
      </w:divBdr>
    </w:div>
    <w:div w:id="396514215">
      <w:bodyDiv w:val="1"/>
      <w:marLeft w:val="0"/>
      <w:marRight w:val="0"/>
      <w:marTop w:val="0"/>
      <w:marBottom w:val="0"/>
      <w:divBdr>
        <w:top w:val="none" w:sz="0" w:space="0" w:color="auto"/>
        <w:left w:val="none" w:sz="0" w:space="0" w:color="auto"/>
        <w:bottom w:val="none" w:sz="0" w:space="0" w:color="auto"/>
        <w:right w:val="none" w:sz="0" w:space="0" w:color="auto"/>
      </w:divBdr>
    </w:div>
    <w:div w:id="396516704">
      <w:bodyDiv w:val="1"/>
      <w:marLeft w:val="0"/>
      <w:marRight w:val="0"/>
      <w:marTop w:val="0"/>
      <w:marBottom w:val="0"/>
      <w:divBdr>
        <w:top w:val="none" w:sz="0" w:space="0" w:color="auto"/>
        <w:left w:val="none" w:sz="0" w:space="0" w:color="auto"/>
        <w:bottom w:val="none" w:sz="0" w:space="0" w:color="auto"/>
        <w:right w:val="none" w:sz="0" w:space="0" w:color="auto"/>
      </w:divBdr>
    </w:div>
    <w:div w:id="396589698">
      <w:bodyDiv w:val="1"/>
      <w:marLeft w:val="0"/>
      <w:marRight w:val="0"/>
      <w:marTop w:val="0"/>
      <w:marBottom w:val="0"/>
      <w:divBdr>
        <w:top w:val="none" w:sz="0" w:space="0" w:color="auto"/>
        <w:left w:val="none" w:sz="0" w:space="0" w:color="auto"/>
        <w:bottom w:val="none" w:sz="0" w:space="0" w:color="auto"/>
        <w:right w:val="none" w:sz="0" w:space="0" w:color="auto"/>
      </w:divBdr>
    </w:div>
    <w:div w:id="397634971">
      <w:bodyDiv w:val="1"/>
      <w:marLeft w:val="0"/>
      <w:marRight w:val="0"/>
      <w:marTop w:val="0"/>
      <w:marBottom w:val="0"/>
      <w:divBdr>
        <w:top w:val="none" w:sz="0" w:space="0" w:color="auto"/>
        <w:left w:val="none" w:sz="0" w:space="0" w:color="auto"/>
        <w:bottom w:val="none" w:sz="0" w:space="0" w:color="auto"/>
        <w:right w:val="none" w:sz="0" w:space="0" w:color="auto"/>
      </w:divBdr>
    </w:div>
    <w:div w:id="398212001">
      <w:bodyDiv w:val="1"/>
      <w:marLeft w:val="0"/>
      <w:marRight w:val="0"/>
      <w:marTop w:val="0"/>
      <w:marBottom w:val="0"/>
      <w:divBdr>
        <w:top w:val="none" w:sz="0" w:space="0" w:color="auto"/>
        <w:left w:val="none" w:sz="0" w:space="0" w:color="auto"/>
        <w:bottom w:val="none" w:sz="0" w:space="0" w:color="auto"/>
        <w:right w:val="none" w:sz="0" w:space="0" w:color="auto"/>
      </w:divBdr>
    </w:div>
    <w:div w:id="398407263">
      <w:bodyDiv w:val="1"/>
      <w:marLeft w:val="0"/>
      <w:marRight w:val="0"/>
      <w:marTop w:val="0"/>
      <w:marBottom w:val="0"/>
      <w:divBdr>
        <w:top w:val="none" w:sz="0" w:space="0" w:color="auto"/>
        <w:left w:val="none" w:sz="0" w:space="0" w:color="auto"/>
        <w:bottom w:val="none" w:sz="0" w:space="0" w:color="auto"/>
        <w:right w:val="none" w:sz="0" w:space="0" w:color="auto"/>
      </w:divBdr>
    </w:div>
    <w:div w:id="400368469">
      <w:bodyDiv w:val="1"/>
      <w:marLeft w:val="0"/>
      <w:marRight w:val="0"/>
      <w:marTop w:val="0"/>
      <w:marBottom w:val="0"/>
      <w:divBdr>
        <w:top w:val="none" w:sz="0" w:space="0" w:color="auto"/>
        <w:left w:val="none" w:sz="0" w:space="0" w:color="auto"/>
        <w:bottom w:val="none" w:sz="0" w:space="0" w:color="auto"/>
        <w:right w:val="none" w:sz="0" w:space="0" w:color="auto"/>
      </w:divBdr>
    </w:div>
    <w:div w:id="401758183">
      <w:bodyDiv w:val="1"/>
      <w:marLeft w:val="0"/>
      <w:marRight w:val="0"/>
      <w:marTop w:val="0"/>
      <w:marBottom w:val="0"/>
      <w:divBdr>
        <w:top w:val="none" w:sz="0" w:space="0" w:color="auto"/>
        <w:left w:val="none" w:sz="0" w:space="0" w:color="auto"/>
        <w:bottom w:val="none" w:sz="0" w:space="0" w:color="auto"/>
        <w:right w:val="none" w:sz="0" w:space="0" w:color="auto"/>
      </w:divBdr>
    </w:div>
    <w:div w:id="402456904">
      <w:bodyDiv w:val="1"/>
      <w:marLeft w:val="0"/>
      <w:marRight w:val="0"/>
      <w:marTop w:val="0"/>
      <w:marBottom w:val="0"/>
      <w:divBdr>
        <w:top w:val="none" w:sz="0" w:space="0" w:color="auto"/>
        <w:left w:val="none" w:sz="0" w:space="0" w:color="auto"/>
        <w:bottom w:val="none" w:sz="0" w:space="0" w:color="auto"/>
        <w:right w:val="none" w:sz="0" w:space="0" w:color="auto"/>
      </w:divBdr>
    </w:div>
    <w:div w:id="402533534">
      <w:bodyDiv w:val="1"/>
      <w:marLeft w:val="0"/>
      <w:marRight w:val="0"/>
      <w:marTop w:val="0"/>
      <w:marBottom w:val="0"/>
      <w:divBdr>
        <w:top w:val="none" w:sz="0" w:space="0" w:color="auto"/>
        <w:left w:val="none" w:sz="0" w:space="0" w:color="auto"/>
        <w:bottom w:val="none" w:sz="0" w:space="0" w:color="auto"/>
        <w:right w:val="none" w:sz="0" w:space="0" w:color="auto"/>
      </w:divBdr>
    </w:div>
    <w:div w:id="402604431">
      <w:bodyDiv w:val="1"/>
      <w:marLeft w:val="0"/>
      <w:marRight w:val="0"/>
      <w:marTop w:val="0"/>
      <w:marBottom w:val="0"/>
      <w:divBdr>
        <w:top w:val="none" w:sz="0" w:space="0" w:color="auto"/>
        <w:left w:val="none" w:sz="0" w:space="0" w:color="auto"/>
        <w:bottom w:val="none" w:sz="0" w:space="0" w:color="auto"/>
        <w:right w:val="none" w:sz="0" w:space="0" w:color="auto"/>
      </w:divBdr>
    </w:div>
    <w:div w:id="402607876">
      <w:bodyDiv w:val="1"/>
      <w:marLeft w:val="0"/>
      <w:marRight w:val="0"/>
      <w:marTop w:val="0"/>
      <w:marBottom w:val="0"/>
      <w:divBdr>
        <w:top w:val="none" w:sz="0" w:space="0" w:color="auto"/>
        <w:left w:val="none" w:sz="0" w:space="0" w:color="auto"/>
        <w:bottom w:val="none" w:sz="0" w:space="0" w:color="auto"/>
        <w:right w:val="none" w:sz="0" w:space="0" w:color="auto"/>
      </w:divBdr>
    </w:div>
    <w:div w:id="403379234">
      <w:bodyDiv w:val="1"/>
      <w:marLeft w:val="0"/>
      <w:marRight w:val="0"/>
      <w:marTop w:val="0"/>
      <w:marBottom w:val="0"/>
      <w:divBdr>
        <w:top w:val="none" w:sz="0" w:space="0" w:color="auto"/>
        <w:left w:val="none" w:sz="0" w:space="0" w:color="auto"/>
        <w:bottom w:val="none" w:sz="0" w:space="0" w:color="auto"/>
        <w:right w:val="none" w:sz="0" w:space="0" w:color="auto"/>
      </w:divBdr>
    </w:div>
    <w:div w:id="403456256">
      <w:bodyDiv w:val="1"/>
      <w:marLeft w:val="0"/>
      <w:marRight w:val="0"/>
      <w:marTop w:val="0"/>
      <w:marBottom w:val="0"/>
      <w:divBdr>
        <w:top w:val="none" w:sz="0" w:space="0" w:color="auto"/>
        <w:left w:val="none" w:sz="0" w:space="0" w:color="auto"/>
        <w:bottom w:val="none" w:sz="0" w:space="0" w:color="auto"/>
        <w:right w:val="none" w:sz="0" w:space="0" w:color="auto"/>
      </w:divBdr>
    </w:div>
    <w:div w:id="403572117">
      <w:bodyDiv w:val="1"/>
      <w:marLeft w:val="0"/>
      <w:marRight w:val="0"/>
      <w:marTop w:val="0"/>
      <w:marBottom w:val="0"/>
      <w:divBdr>
        <w:top w:val="none" w:sz="0" w:space="0" w:color="auto"/>
        <w:left w:val="none" w:sz="0" w:space="0" w:color="auto"/>
        <w:bottom w:val="none" w:sz="0" w:space="0" w:color="auto"/>
        <w:right w:val="none" w:sz="0" w:space="0" w:color="auto"/>
      </w:divBdr>
    </w:div>
    <w:div w:id="403647708">
      <w:bodyDiv w:val="1"/>
      <w:marLeft w:val="0"/>
      <w:marRight w:val="0"/>
      <w:marTop w:val="0"/>
      <w:marBottom w:val="0"/>
      <w:divBdr>
        <w:top w:val="none" w:sz="0" w:space="0" w:color="auto"/>
        <w:left w:val="none" w:sz="0" w:space="0" w:color="auto"/>
        <w:bottom w:val="none" w:sz="0" w:space="0" w:color="auto"/>
        <w:right w:val="none" w:sz="0" w:space="0" w:color="auto"/>
      </w:divBdr>
    </w:div>
    <w:div w:id="404645896">
      <w:bodyDiv w:val="1"/>
      <w:marLeft w:val="0"/>
      <w:marRight w:val="0"/>
      <w:marTop w:val="0"/>
      <w:marBottom w:val="0"/>
      <w:divBdr>
        <w:top w:val="none" w:sz="0" w:space="0" w:color="auto"/>
        <w:left w:val="none" w:sz="0" w:space="0" w:color="auto"/>
        <w:bottom w:val="none" w:sz="0" w:space="0" w:color="auto"/>
        <w:right w:val="none" w:sz="0" w:space="0" w:color="auto"/>
      </w:divBdr>
    </w:div>
    <w:div w:id="404691211">
      <w:bodyDiv w:val="1"/>
      <w:marLeft w:val="0"/>
      <w:marRight w:val="0"/>
      <w:marTop w:val="0"/>
      <w:marBottom w:val="0"/>
      <w:divBdr>
        <w:top w:val="none" w:sz="0" w:space="0" w:color="auto"/>
        <w:left w:val="none" w:sz="0" w:space="0" w:color="auto"/>
        <w:bottom w:val="none" w:sz="0" w:space="0" w:color="auto"/>
        <w:right w:val="none" w:sz="0" w:space="0" w:color="auto"/>
      </w:divBdr>
    </w:div>
    <w:div w:id="406071699">
      <w:bodyDiv w:val="1"/>
      <w:marLeft w:val="0"/>
      <w:marRight w:val="0"/>
      <w:marTop w:val="0"/>
      <w:marBottom w:val="0"/>
      <w:divBdr>
        <w:top w:val="none" w:sz="0" w:space="0" w:color="auto"/>
        <w:left w:val="none" w:sz="0" w:space="0" w:color="auto"/>
        <w:bottom w:val="none" w:sz="0" w:space="0" w:color="auto"/>
        <w:right w:val="none" w:sz="0" w:space="0" w:color="auto"/>
      </w:divBdr>
    </w:div>
    <w:div w:id="406803760">
      <w:bodyDiv w:val="1"/>
      <w:marLeft w:val="0"/>
      <w:marRight w:val="0"/>
      <w:marTop w:val="0"/>
      <w:marBottom w:val="0"/>
      <w:divBdr>
        <w:top w:val="none" w:sz="0" w:space="0" w:color="auto"/>
        <w:left w:val="none" w:sz="0" w:space="0" w:color="auto"/>
        <w:bottom w:val="none" w:sz="0" w:space="0" w:color="auto"/>
        <w:right w:val="none" w:sz="0" w:space="0" w:color="auto"/>
      </w:divBdr>
    </w:div>
    <w:div w:id="406924232">
      <w:bodyDiv w:val="1"/>
      <w:marLeft w:val="0"/>
      <w:marRight w:val="0"/>
      <w:marTop w:val="0"/>
      <w:marBottom w:val="0"/>
      <w:divBdr>
        <w:top w:val="none" w:sz="0" w:space="0" w:color="auto"/>
        <w:left w:val="none" w:sz="0" w:space="0" w:color="auto"/>
        <w:bottom w:val="none" w:sz="0" w:space="0" w:color="auto"/>
        <w:right w:val="none" w:sz="0" w:space="0" w:color="auto"/>
      </w:divBdr>
    </w:div>
    <w:div w:id="408768625">
      <w:bodyDiv w:val="1"/>
      <w:marLeft w:val="0"/>
      <w:marRight w:val="0"/>
      <w:marTop w:val="0"/>
      <w:marBottom w:val="0"/>
      <w:divBdr>
        <w:top w:val="none" w:sz="0" w:space="0" w:color="auto"/>
        <w:left w:val="none" w:sz="0" w:space="0" w:color="auto"/>
        <w:bottom w:val="none" w:sz="0" w:space="0" w:color="auto"/>
        <w:right w:val="none" w:sz="0" w:space="0" w:color="auto"/>
      </w:divBdr>
    </w:div>
    <w:div w:id="409891283">
      <w:bodyDiv w:val="1"/>
      <w:marLeft w:val="0"/>
      <w:marRight w:val="0"/>
      <w:marTop w:val="0"/>
      <w:marBottom w:val="0"/>
      <w:divBdr>
        <w:top w:val="none" w:sz="0" w:space="0" w:color="auto"/>
        <w:left w:val="none" w:sz="0" w:space="0" w:color="auto"/>
        <w:bottom w:val="none" w:sz="0" w:space="0" w:color="auto"/>
        <w:right w:val="none" w:sz="0" w:space="0" w:color="auto"/>
      </w:divBdr>
    </w:div>
    <w:div w:id="410156682">
      <w:bodyDiv w:val="1"/>
      <w:marLeft w:val="0"/>
      <w:marRight w:val="0"/>
      <w:marTop w:val="0"/>
      <w:marBottom w:val="0"/>
      <w:divBdr>
        <w:top w:val="none" w:sz="0" w:space="0" w:color="auto"/>
        <w:left w:val="none" w:sz="0" w:space="0" w:color="auto"/>
        <w:bottom w:val="none" w:sz="0" w:space="0" w:color="auto"/>
        <w:right w:val="none" w:sz="0" w:space="0" w:color="auto"/>
      </w:divBdr>
    </w:div>
    <w:div w:id="410734675">
      <w:bodyDiv w:val="1"/>
      <w:marLeft w:val="0"/>
      <w:marRight w:val="0"/>
      <w:marTop w:val="0"/>
      <w:marBottom w:val="0"/>
      <w:divBdr>
        <w:top w:val="none" w:sz="0" w:space="0" w:color="auto"/>
        <w:left w:val="none" w:sz="0" w:space="0" w:color="auto"/>
        <w:bottom w:val="none" w:sz="0" w:space="0" w:color="auto"/>
        <w:right w:val="none" w:sz="0" w:space="0" w:color="auto"/>
      </w:divBdr>
    </w:div>
    <w:div w:id="411124316">
      <w:bodyDiv w:val="1"/>
      <w:marLeft w:val="0"/>
      <w:marRight w:val="0"/>
      <w:marTop w:val="0"/>
      <w:marBottom w:val="0"/>
      <w:divBdr>
        <w:top w:val="none" w:sz="0" w:space="0" w:color="auto"/>
        <w:left w:val="none" w:sz="0" w:space="0" w:color="auto"/>
        <w:bottom w:val="none" w:sz="0" w:space="0" w:color="auto"/>
        <w:right w:val="none" w:sz="0" w:space="0" w:color="auto"/>
      </w:divBdr>
    </w:div>
    <w:div w:id="411126622">
      <w:bodyDiv w:val="1"/>
      <w:marLeft w:val="0"/>
      <w:marRight w:val="0"/>
      <w:marTop w:val="0"/>
      <w:marBottom w:val="0"/>
      <w:divBdr>
        <w:top w:val="none" w:sz="0" w:space="0" w:color="auto"/>
        <w:left w:val="none" w:sz="0" w:space="0" w:color="auto"/>
        <w:bottom w:val="none" w:sz="0" w:space="0" w:color="auto"/>
        <w:right w:val="none" w:sz="0" w:space="0" w:color="auto"/>
      </w:divBdr>
    </w:div>
    <w:div w:id="411707315">
      <w:bodyDiv w:val="1"/>
      <w:marLeft w:val="0"/>
      <w:marRight w:val="0"/>
      <w:marTop w:val="0"/>
      <w:marBottom w:val="0"/>
      <w:divBdr>
        <w:top w:val="none" w:sz="0" w:space="0" w:color="auto"/>
        <w:left w:val="none" w:sz="0" w:space="0" w:color="auto"/>
        <w:bottom w:val="none" w:sz="0" w:space="0" w:color="auto"/>
        <w:right w:val="none" w:sz="0" w:space="0" w:color="auto"/>
      </w:divBdr>
    </w:div>
    <w:div w:id="412048726">
      <w:bodyDiv w:val="1"/>
      <w:marLeft w:val="0"/>
      <w:marRight w:val="0"/>
      <w:marTop w:val="0"/>
      <w:marBottom w:val="0"/>
      <w:divBdr>
        <w:top w:val="none" w:sz="0" w:space="0" w:color="auto"/>
        <w:left w:val="none" w:sz="0" w:space="0" w:color="auto"/>
        <w:bottom w:val="none" w:sz="0" w:space="0" w:color="auto"/>
        <w:right w:val="none" w:sz="0" w:space="0" w:color="auto"/>
      </w:divBdr>
    </w:div>
    <w:div w:id="412048850">
      <w:bodyDiv w:val="1"/>
      <w:marLeft w:val="0"/>
      <w:marRight w:val="0"/>
      <w:marTop w:val="0"/>
      <w:marBottom w:val="0"/>
      <w:divBdr>
        <w:top w:val="none" w:sz="0" w:space="0" w:color="auto"/>
        <w:left w:val="none" w:sz="0" w:space="0" w:color="auto"/>
        <w:bottom w:val="none" w:sz="0" w:space="0" w:color="auto"/>
        <w:right w:val="none" w:sz="0" w:space="0" w:color="auto"/>
      </w:divBdr>
    </w:div>
    <w:div w:id="413236144">
      <w:bodyDiv w:val="1"/>
      <w:marLeft w:val="0"/>
      <w:marRight w:val="0"/>
      <w:marTop w:val="0"/>
      <w:marBottom w:val="0"/>
      <w:divBdr>
        <w:top w:val="none" w:sz="0" w:space="0" w:color="auto"/>
        <w:left w:val="none" w:sz="0" w:space="0" w:color="auto"/>
        <w:bottom w:val="none" w:sz="0" w:space="0" w:color="auto"/>
        <w:right w:val="none" w:sz="0" w:space="0" w:color="auto"/>
      </w:divBdr>
    </w:div>
    <w:div w:id="413403614">
      <w:bodyDiv w:val="1"/>
      <w:marLeft w:val="0"/>
      <w:marRight w:val="0"/>
      <w:marTop w:val="0"/>
      <w:marBottom w:val="0"/>
      <w:divBdr>
        <w:top w:val="none" w:sz="0" w:space="0" w:color="auto"/>
        <w:left w:val="none" w:sz="0" w:space="0" w:color="auto"/>
        <w:bottom w:val="none" w:sz="0" w:space="0" w:color="auto"/>
        <w:right w:val="none" w:sz="0" w:space="0" w:color="auto"/>
      </w:divBdr>
    </w:div>
    <w:div w:id="414131140">
      <w:bodyDiv w:val="1"/>
      <w:marLeft w:val="0"/>
      <w:marRight w:val="0"/>
      <w:marTop w:val="0"/>
      <w:marBottom w:val="0"/>
      <w:divBdr>
        <w:top w:val="none" w:sz="0" w:space="0" w:color="auto"/>
        <w:left w:val="none" w:sz="0" w:space="0" w:color="auto"/>
        <w:bottom w:val="none" w:sz="0" w:space="0" w:color="auto"/>
        <w:right w:val="none" w:sz="0" w:space="0" w:color="auto"/>
      </w:divBdr>
    </w:div>
    <w:div w:id="414742487">
      <w:bodyDiv w:val="1"/>
      <w:marLeft w:val="0"/>
      <w:marRight w:val="0"/>
      <w:marTop w:val="0"/>
      <w:marBottom w:val="0"/>
      <w:divBdr>
        <w:top w:val="none" w:sz="0" w:space="0" w:color="auto"/>
        <w:left w:val="none" w:sz="0" w:space="0" w:color="auto"/>
        <w:bottom w:val="none" w:sz="0" w:space="0" w:color="auto"/>
        <w:right w:val="none" w:sz="0" w:space="0" w:color="auto"/>
      </w:divBdr>
    </w:div>
    <w:div w:id="415982636">
      <w:bodyDiv w:val="1"/>
      <w:marLeft w:val="0"/>
      <w:marRight w:val="0"/>
      <w:marTop w:val="0"/>
      <w:marBottom w:val="0"/>
      <w:divBdr>
        <w:top w:val="none" w:sz="0" w:space="0" w:color="auto"/>
        <w:left w:val="none" w:sz="0" w:space="0" w:color="auto"/>
        <w:bottom w:val="none" w:sz="0" w:space="0" w:color="auto"/>
        <w:right w:val="none" w:sz="0" w:space="0" w:color="auto"/>
      </w:divBdr>
    </w:div>
    <w:div w:id="416175025">
      <w:bodyDiv w:val="1"/>
      <w:marLeft w:val="0"/>
      <w:marRight w:val="0"/>
      <w:marTop w:val="0"/>
      <w:marBottom w:val="0"/>
      <w:divBdr>
        <w:top w:val="none" w:sz="0" w:space="0" w:color="auto"/>
        <w:left w:val="none" w:sz="0" w:space="0" w:color="auto"/>
        <w:bottom w:val="none" w:sz="0" w:space="0" w:color="auto"/>
        <w:right w:val="none" w:sz="0" w:space="0" w:color="auto"/>
      </w:divBdr>
    </w:div>
    <w:div w:id="417217580">
      <w:bodyDiv w:val="1"/>
      <w:marLeft w:val="0"/>
      <w:marRight w:val="0"/>
      <w:marTop w:val="0"/>
      <w:marBottom w:val="0"/>
      <w:divBdr>
        <w:top w:val="none" w:sz="0" w:space="0" w:color="auto"/>
        <w:left w:val="none" w:sz="0" w:space="0" w:color="auto"/>
        <w:bottom w:val="none" w:sz="0" w:space="0" w:color="auto"/>
        <w:right w:val="none" w:sz="0" w:space="0" w:color="auto"/>
      </w:divBdr>
    </w:div>
    <w:div w:id="417559052">
      <w:bodyDiv w:val="1"/>
      <w:marLeft w:val="0"/>
      <w:marRight w:val="0"/>
      <w:marTop w:val="0"/>
      <w:marBottom w:val="0"/>
      <w:divBdr>
        <w:top w:val="none" w:sz="0" w:space="0" w:color="auto"/>
        <w:left w:val="none" w:sz="0" w:space="0" w:color="auto"/>
        <w:bottom w:val="none" w:sz="0" w:space="0" w:color="auto"/>
        <w:right w:val="none" w:sz="0" w:space="0" w:color="auto"/>
      </w:divBdr>
    </w:div>
    <w:div w:id="417676283">
      <w:bodyDiv w:val="1"/>
      <w:marLeft w:val="0"/>
      <w:marRight w:val="0"/>
      <w:marTop w:val="0"/>
      <w:marBottom w:val="0"/>
      <w:divBdr>
        <w:top w:val="none" w:sz="0" w:space="0" w:color="auto"/>
        <w:left w:val="none" w:sz="0" w:space="0" w:color="auto"/>
        <w:bottom w:val="none" w:sz="0" w:space="0" w:color="auto"/>
        <w:right w:val="none" w:sz="0" w:space="0" w:color="auto"/>
      </w:divBdr>
    </w:div>
    <w:div w:id="417949538">
      <w:bodyDiv w:val="1"/>
      <w:marLeft w:val="0"/>
      <w:marRight w:val="0"/>
      <w:marTop w:val="0"/>
      <w:marBottom w:val="0"/>
      <w:divBdr>
        <w:top w:val="none" w:sz="0" w:space="0" w:color="auto"/>
        <w:left w:val="none" w:sz="0" w:space="0" w:color="auto"/>
        <w:bottom w:val="none" w:sz="0" w:space="0" w:color="auto"/>
        <w:right w:val="none" w:sz="0" w:space="0" w:color="auto"/>
      </w:divBdr>
    </w:div>
    <w:div w:id="417950323">
      <w:bodyDiv w:val="1"/>
      <w:marLeft w:val="0"/>
      <w:marRight w:val="0"/>
      <w:marTop w:val="0"/>
      <w:marBottom w:val="0"/>
      <w:divBdr>
        <w:top w:val="none" w:sz="0" w:space="0" w:color="auto"/>
        <w:left w:val="none" w:sz="0" w:space="0" w:color="auto"/>
        <w:bottom w:val="none" w:sz="0" w:space="0" w:color="auto"/>
        <w:right w:val="none" w:sz="0" w:space="0" w:color="auto"/>
      </w:divBdr>
    </w:div>
    <w:div w:id="418185762">
      <w:bodyDiv w:val="1"/>
      <w:marLeft w:val="0"/>
      <w:marRight w:val="0"/>
      <w:marTop w:val="0"/>
      <w:marBottom w:val="0"/>
      <w:divBdr>
        <w:top w:val="none" w:sz="0" w:space="0" w:color="auto"/>
        <w:left w:val="none" w:sz="0" w:space="0" w:color="auto"/>
        <w:bottom w:val="none" w:sz="0" w:space="0" w:color="auto"/>
        <w:right w:val="none" w:sz="0" w:space="0" w:color="auto"/>
      </w:divBdr>
    </w:div>
    <w:div w:id="418672610">
      <w:bodyDiv w:val="1"/>
      <w:marLeft w:val="0"/>
      <w:marRight w:val="0"/>
      <w:marTop w:val="0"/>
      <w:marBottom w:val="0"/>
      <w:divBdr>
        <w:top w:val="none" w:sz="0" w:space="0" w:color="auto"/>
        <w:left w:val="none" w:sz="0" w:space="0" w:color="auto"/>
        <w:bottom w:val="none" w:sz="0" w:space="0" w:color="auto"/>
        <w:right w:val="none" w:sz="0" w:space="0" w:color="auto"/>
      </w:divBdr>
    </w:div>
    <w:div w:id="419640427">
      <w:bodyDiv w:val="1"/>
      <w:marLeft w:val="0"/>
      <w:marRight w:val="0"/>
      <w:marTop w:val="0"/>
      <w:marBottom w:val="0"/>
      <w:divBdr>
        <w:top w:val="none" w:sz="0" w:space="0" w:color="auto"/>
        <w:left w:val="none" w:sz="0" w:space="0" w:color="auto"/>
        <w:bottom w:val="none" w:sz="0" w:space="0" w:color="auto"/>
        <w:right w:val="none" w:sz="0" w:space="0" w:color="auto"/>
      </w:divBdr>
    </w:div>
    <w:div w:id="421028999">
      <w:bodyDiv w:val="1"/>
      <w:marLeft w:val="0"/>
      <w:marRight w:val="0"/>
      <w:marTop w:val="0"/>
      <w:marBottom w:val="0"/>
      <w:divBdr>
        <w:top w:val="none" w:sz="0" w:space="0" w:color="auto"/>
        <w:left w:val="none" w:sz="0" w:space="0" w:color="auto"/>
        <w:bottom w:val="none" w:sz="0" w:space="0" w:color="auto"/>
        <w:right w:val="none" w:sz="0" w:space="0" w:color="auto"/>
      </w:divBdr>
    </w:div>
    <w:div w:id="422722858">
      <w:bodyDiv w:val="1"/>
      <w:marLeft w:val="0"/>
      <w:marRight w:val="0"/>
      <w:marTop w:val="0"/>
      <w:marBottom w:val="0"/>
      <w:divBdr>
        <w:top w:val="none" w:sz="0" w:space="0" w:color="auto"/>
        <w:left w:val="none" w:sz="0" w:space="0" w:color="auto"/>
        <w:bottom w:val="none" w:sz="0" w:space="0" w:color="auto"/>
        <w:right w:val="none" w:sz="0" w:space="0" w:color="auto"/>
      </w:divBdr>
    </w:div>
    <w:div w:id="423379921">
      <w:bodyDiv w:val="1"/>
      <w:marLeft w:val="0"/>
      <w:marRight w:val="0"/>
      <w:marTop w:val="0"/>
      <w:marBottom w:val="0"/>
      <w:divBdr>
        <w:top w:val="none" w:sz="0" w:space="0" w:color="auto"/>
        <w:left w:val="none" w:sz="0" w:space="0" w:color="auto"/>
        <w:bottom w:val="none" w:sz="0" w:space="0" w:color="auto"/>
        <w:right w:val="none" w:sz="0" w:space="0" w:color="auto"/>
      </w:divBdr>
    </w:div>
    <w:div w:id="424543528">
      <w:bodyDiv w:val="1"/>
      <w:marLeft w:val="0"/>
      <w:marRight w:val="0"/>
      <w:marTop w:val="0"/>
      <w:marBottom w:val="0"/>
      <w:divBdr>
        <w:top w:val="none" w:sz="0" w:space="0" w:color="auto"/>
        <w:left w:val="none" w:sz="0" w:space="0" w:color="auto"/>
        <w:bottom w:val="none" w:sz="0" w:space="0" w:color="auto"/>
        <w:right w:val="none" w:sz="0" w:space="0" w:color="auto"/>
      </w:divBdr>
    </w:div>
    <w:div w:id="424619653">
      <w:bodyDiv w:val="1"/>
      <w:marLeft w:val="0"/>
      <w:marRight w:val="0"/>
      <w:marTop w:val="0"/>
      <w:marBottom w:val="0"/>
      <w:divBdr>
        <w:top w:val="none" w:sz="0" w:space="0" w:color="auto"/>
        <w:left w:val="none" w:sz="0" w:space="0" w:color="auto"/>
        <w:bottom w:val="none" w:sz="0" w:space="0" w:color="auto"/>
        <w:right w:val="none" w:sz="0" w:space="0" w:color="auto"/>
      </w:divBdr>
    </w:div>
    <w:div w:id="425003826">
      <w:bodyDiv w:val="1"/>
      <w:marLeft w:val="0"/>
      <w:marRight w:val="0"/>
      <w:marTop w:val="0"/>
      <w:marBottom w:val="0"/>
      <w:divBdr>
        <w:top w:val="none" w:sz="0" w:space="0" w:color="auto"/>
        <w:left w:val="none" w:sz="0" w:space="0" w:color="auto"/>
        <w:bottom w:val="none" w:sz="0" w:space="0" w:color="auto"/>
        <w:right w:val="none" w:sz="0" w:space="0" w:color="auto"/>
      </w:divBdr>
    </w:div>
    <w:div w:id="425687959">
      <w:bodyDiv w:val="1"/>
      <w:marLeft w:val="0"/>
      <w:marRight w:val="0"/>
      <w:marTop w:val="0"/>
      <w:marBottom w:val="0"/>
      <w:divBdr>
        <w:top w:val="none" w:sz="0" w:space="0" w:color="auto"/>
        <w:left w:val="none" w:sz="0" w:space="0" w:color="auto"/>
        <w:bottom w:val="none" w:sz="0" w:space="0" w:color="auto"/>
        <w:right w:val="none" w:sz="0" w:space="0" w:color="auto"/>
      </w:divBdr>
    </w:div>
    <w:div w:id="426586893">
      <w:bodyDiv w:val="1"/>
      <w:marLeft w:val="0"/>
      <w:marRight w:val="0"/>
      <w:marTop w:val="0"/>
      <w:marBottom w:val="0"/>
      <w:divBdr>
        <w:top w:val="none" w:sz="0" w:space="0" w:color="auto"/>
        <w:left w:val="none" w:sz="0" w:space="0" w:color="auto"/>
        <w:bottom w:val="none" w:sz="0" w:space="0" w:color="auto"/>
        <w:right w:val="none" w:sz="0" w:space="0" w:color="auto"/>
      </w:divBdr>
    </w:div>
    <w:div w:id="427166303">
      <w:bodyDiv w:val="1"/>
      <w:marLeft w:val="0"/>
      <w:marRight w:val="0"/>
      <w:marTop w:val="0"/>
      <w:marBottom w:val="0"/>
      <w:divBdr>
        <w:top w:val="none" w:sz="0" w:space="0" w:color="auto"/>
        <w:left w:val="none" w:sz="0" w:space="0" w:color="auto"/>
        <w:bottom w:val="none" w:sz="0" w:space="0" w:color="auto"/>
        <w:right w:val="none" w:sz="0" w:space="0" w:color="auto"/>
      </w:divBdr>
    </w:div>
    <w:div w:id="427384292">
      <w:bodyDiv w:val="1"/>
      <w:marLeft w:val="0"/>
      <w:marRight w:val="0"/>
      <w:marTop w:val="0"/>
      <w:marBottom w:val="0"/>
      <w:divBdr>
        <w:top w:val="none" w:sz="0" w:space="0" w:color="auto"/>
        <w:left w:val="none" w:sz="0" w:space="0" w:color="auto"/>
        <w:bottom w:val="none" w:sz="0" w:space="0" w:color="auto"/>
        <w:right w:val="none" w:sz="0" w:space="0" w:color="auto"/>
      </w:divBdr>
    </w:div>
    <w:div w:id="427970472">
      <w:bodyDiv w:val="1"/>
      <w:marLeft w:val="0"/>
      <w:marRight w:val="0"/>
      <w:marTop w:val="0"/>
      <w:marBottom w:val="0"/>
      <w:divBdr>
        <w:top w:val="none" w:sz="0" w:space="0" w:color="auto"/>
        <w:left w:val="none" w:sz="0" w:space="0" w:color="auto"/>
        <w:bottom w:val="none" w:sz="0" w:space="0" w:color="auto"/>
        <w:right w:val="none" w:sz="0" w:space="0" w:color="auto"/>
      </w:divBdr>
    </w:div>
    <w:div w:id="428741611">
      <w:bodyDiv w:val="1"/>
      <w:marLeft w:val="0"/>
      <w:marRight w:val="0"/>
      <w:marTop w:val="0"/>
      <w:marBottom w:val="0"/>
      <w:divBdr>
        <w:top w:val="none" w:sz="0" w:space="0" w:color="auto"/>
        <w:left w:val="none" w:sz="0" w:space="0" w:color="auto"/>
        <w:bottom w:val="none" w:sz="0" w:space="0" w:color="auto"/>
        <w:right w:val="none" w:sz="0" w:space="0" w:color="auto"/>
      </w:divBdr>
    </w:div>
    <w:div w:id="429550443">
      <w:bodyDiv w:val="1"/>
      <w:marLeft w:val="0"/>
      <w:marRight w:val="0"/>
      <w:marTop w:val="0"/>
      <w:marBottom w:val="0"/>
      <w:divBdr>
        <w:top w:val="none" w:sz="0" w:space="0" w:color="auto"/>
        <w:left w:val="none" w:sz="0" w:space="0" w:color="auto"/>
        <w:bottom w:val="none" w:sz="0" w:space="0" w:color="auto"/>
        <w:right w:val="none" w:sz="0" w:space="0" w:color="auto"/>
      </w:divBdr>
    </w:div>
    <w:div w:id="429861522">
      <w:bodyDiv w:val="1"/>
      <w:marLeft w:val="0"/>
      <w:marRight w:val="0"/>
      <w:marTop w:val="0"/>
      <w:marBottom w:val="0"/>
      <w:divBdr>
        <w:top w:val="none" w:sz="0" w:space="0" w:color="auto"/>
        <w:left w:val="none" w:sz="0" w:space="0" w:color="auto"/>
        <w:bottom w:val="none" w:sz="0" w:space="0" w:color="auto"/>
        <w:right w:val="none" w:sz="0" w:space="0" w:color="auto"/>
      </w:divBdr>
    </w:div>
    <w:div w:id="430391212">
      <w:bodyDiv w:val="1"/>
      <w:marLeft w:val="0"/>
      <w:marRight w:val="0"/>
      <w:marTop w:val="0"/>
      <w:marBottom w:val="0"/>
      <w:divBdr>
        <w:top w:val="none" w:sz="0" w:space="0" w:color="auto"/>
        <w:left w:val="none" w:sz="0" w:space="0" w:color="auto"/>
        <w:bottom w:val="none" w:sz="0" w:space="0" w:color="auto"/>
        <w:right w:val="none" w:sz="0" w:space="0" w:color="auto"/>
      </w:divBdr>
    </w:div>
    <w:div w:id="430667444">
      <w:bodyDiv w:val="1"/>
      <w:marLeft w:val="0"/>
      <w:marRight w:val="0"/>
      <w:marTop w:val="0"/>
      <w:marBottom w:val="0"/>
      <w:divBdr>
        <w:top w:val="none" w:sz="0" w:space="0" w:color="auto"/>
        <w:left w:val="none" w:sz="0" w:space="0" w:color="auto"/>
        <w:bottom w:val="none" w:sz="0" w:space="0" w:color="auto"/>
        <w:right w:val="none" w:sz="0" w:space="0" w:color="auto"/>
      </w:divBdr>
    </w:div>
    <w:div w:id="431172973">
      <w:bodyDiv w:val="1"/>
      <w:marLeft w:val="0"/>
      <w:marRight w:val="0"/>
      <w:marTop w:val="0"/>
      <w:marBottom w:val="0"/>
      <w:divBdr>
        <w:top w:val="none" w:sz="0" w:space="0" w:color="auto"/>
        <w:left w:val="none" w:sz="0" w:space="0" w:color="auto"/>
        <w:bottom w:val="none" w:sz="0" w:space="0" w:color="auto"/>
        <w:right w:val="none" w:sz="0" w:space="0" w:color="auto"/>
      </w:divBdr>
    </w:div>
    <w:div w:id="431241894">
      <w:bodyDiv w:val="1"/>
      <w:marLeft w:val="0"/>
      <w:marRight w:val="0"/>
      <w:marTop w:val="0"/>
      <w:marBottom w:val="0"/>
      <w:divBdr>
        <w:top w:val="none" w:sz="0" w:space="0" w:color="auto"/>
        <w:left w:val="none" w:sz="0" w:space="0" w:color="auto"/>
        <w:bottom w:val="none" w:sz="0" w:space="0" w:color="auto"/>
        <w:right w:val="none" w:sz="0" w:space="0" w:color="auto"/>
      </w:divBdr>
    </w:div>
    <w:div w:id="431511771">
      <w:bodyDiv w:val="1"/>
      <w:marLeft w:val="0"/>
      <w:marRight w:val="0"/>
      <w:marTop w:val="0"/>
      <w:marBottom w:val="0"/>
      <w:divBdr>
        <w:top w:val="none" w:sz="0" w:space="0" w:color="auto"/>
        <w:left w:val="none" w:sz="0" w:space="0" w:color="auto"/>
        <w:bottom w:val="none" w:sz="0" w:space="0" w:color="auto"/>
        <w:right w:val="none" w:sz="0" w:space="0" w:color="auto"/>
      </w:divBdr>
    </w:div>
    <w:div w:id="432169794">
      <w:bodyDiv w:val="1"/>
      <w:marLeft w:val="0"/>
      <w:marRight w:val="0"/>
      <w:marTop w:val="0"/>
      <w:marBottom w:val="0"/>
      <w:divBdr>
        <w:top w:val="none" w:sz="0" w:space="0" w:color="auto"/>
        <w:left w:val="none" w:sz="0" w:space="0" w:color="auto"/>
        <w:bottom w:val="none" w:sz="0" w:space="0" w:color="auto"/>
        <w:right w:val="none" w:sz="0" w:space="0" w:color="auto"/>
      </w:divBdr>
    </w:div>
    <w:div w:id="432290551">
      <w:bodyDiv w:val="1"/>
      <w:marLeft w:val="0"/>
      <w:marRight w:val="0"/>
      <w:marTop w:val="0"/>
      <w:marBottom w:val="0"/>
      <w:divBdr>
        <w:top w:val="none" w:sz="0" w:space="0" w:color="auto"/>
        <w:left w:val="none" w:sz="0" w:space="0" w:color="auto"/>
        <w:bottom w:val="none" w:sz="0" w:space="0" w:color="auto"/>
        <w:right w:val="none" w:sz="0" w:space="0" w:color="auto"/>
      </w:divBdr>
    </w:div>
    <w:div w:id="432479871">
      <w:bodyDiv w:val="1"/>
      <w:marLeft w:val="0"/>
      <w:marRight w:val="0"/>
      <w:marTop w:val="0"/>
      <w:marBottom w:val="0"/>
      <w:divBdr>
        <w:top w:val="none" w:sz="0" w:space="0" w:color="auto"/>
        <w:left w:val="none" w:sz="0" w:space="0" w:color="auto"/>
        <w:bottom w:val="none" w:sz="0" w:space="0" w:color="auto"/>
        <w:right w:val="none" w:sz="0" w:space="0" w:color="auto"/>
      </w:divBdr>
    </w:div>
    <w:div w:id="433017006">
      <w:bodyDiv w:val="1"/>
      <w:marLeft w:val="0"/>
      <w:marRight w:val="0"/>
      <w:marTop w:val="0"/>
      <w:marBottom w:val="0"/>
      <w:divBdr>
        <w:top w:val="none" w:sz="0" w:space="0" w:color="auto"/>
        <w:left w:val="none" w:sz="0" w:space="0" w:color="auto"/>
        <w:bottom w:val="none" w:sz="0" w:space="0" w:color="auto"/>
        <w:right w:val="none" w:sz="0" w:space="0" w:color="auto"/>
      </w:divBdr>
    </w:div>
    <w:div w:id="433406784">
      <w:bodyDiv w:val="1"/>
      <w:marLeft w:val="0"/>
      <w:marRight w:val="0"/>
      <w:marTop w:val="0"/>
      <w:marBottom w:val="0"/>
      <w:divBdr>
        <w:top w:val="none" w:sz="0" w:space="0" w:color="auto"/>
        <w:left w:val="none" w:sz="0" w:space="0" w:color="auto"/>
        <w:bottom w:val="none" w:sz="0" w:space="0" w:color="auto"/>
        <w:right w:val="none" w:sz="0" w:space="0" w:color="auto"/>
      </w:divBdr>
    </w:div>
    <w:div w:id="434058191">
      <w:bodyDiv w:val="1"/>
      <w:marLeft w:val="0"/>
      <w:marRight w:val="0"/>
      <w:marTop w:val="0"/>
      <w:marBottom w:val="0"/>
      <w:divBdr>
        <w:top w:val="none" w:sz="0" w:space="0" w:color="auto"/>
        <w:left w:val="none" w:sz="0" w:space="0" w:color="auto"/>
        <w:bottom w:val="none" w:sz="0" w:space="0" w:color="auto"/>
        <w:right w:val="none" w:sz="0" w:space="0" w:color="auto"/>
      </w:divBdr>
    </w:div>
    <w:div w:id="434516576">
      <w:bodyDiv w:val="1"/>
      <w:marLeft w:val="0"/>
      <w:marRight w:val="0"/>
      <w:marTop w:val="0"/>
      <w:marBottom w:val="0"/>
      <w:divBdr>
        <w:top w:val="none" w:sz="0" w:space="0" w:color="auto"/>
        <w:left w:val="none" w:sz="0" w:space="0" w:color="auto"/>
        <w:bottom w:val="none" w:sz="0" w:space="0" w:color="auto"/>
        <w:right w:val="none" w:sz="0" w:space="0" w:color="auto"/>
      </w:divBdr>
    </w:div>
    <w:div w:id="435368319">
      <w:bodyDiv w:val="1"/>
      <w:marLeft w:val="0"/>
      <w:marRight w:val="0"/>
      <w:marTop w:val="0"/>
      <w:marBottom w:val="0"/>
      <w:divBdr>
        <w:top w:val="none" w:sz="0" w:space="0" w:color="auto"/>
        <w:left w:val="none" w:sz="0" w:space="0" w:color="auto"/>
        <w:bottom w:val="none" w:sz="0" w:space="0" w:color="auto"/>
        <w:right w:val="none" w:sz="0" w:space="0" w:color="auto"/>
      </w:divBdr>
    </w:div>
    <w:div w:id="435758192">
      <w:bodyDiv w:val="1"/>
      <w:marLeft w:val="0"/>
      <w:marRight w:val="0"/>
      <w:marTop w:val="0"/>
      <w:marBottom w:val="0"/>
      <w:divBdr>
        <w:top w:val="none" w:sz="0" w:space="0" w:color="auto"/>
        <w:left w:val="none" w:sz="0" w:space="0" w:color="auto"/>
        <w:bottom w:val="none" w:sz="0" w:space="0" w:color="auto"/>
        <w:right w:val="none" w:sz="0" w:space="0" w:color="auto"/>
      </w:divBdr>
    </w:div>
    <w:div w:id="436951345">
      <w:bodyDiv w:val="1"/>
      <w:marLeft w:val="0"/>
      <w:marRight w:val="0"/>
      <w:marTop w:val="0"/>
      <w:marBottom w:val="0"/>
      <w:divBdr>
        <w:top w:val="none" w:sz="0" w:space="0" w:color="auto"/>
        <w:left w:val="none" w:sz="0" w:space="0" w:color="auto"/>
        <w:bottom w:val="none" w:sz="0" w:space="0" w:color="auto"/>
        <w:right w:val="none" w:sz="0" w:space="0" w:color="auto"/>
      </w:divBdr>
    </w:div>
    <w:div w:id="437063790">
      <w:bodyDiv w:val="1"/>
      <w:marLeft w:val="0"/>
      <w:marRight w:val="0"/>
      <w:marTop w:val="0"/>
      <w:marBottom w:val="0"/>
      <w:divBdr>
        <w:top w:val="none" w:sz="0" w:space="0" w:color="auto"/>
        <w:left w:val="none" w:sz="0" w:space="0" w:color="auto"/>
        <w:bottom w:val="none" w:sz="0" w:space="0" w:color="auto"/>
        <w:right w:val="none" w:sz="0" w:space="0" w:color="auto"/>
      </w:divBdr>
    </w:div>
    <w:div w:id="437679334">
      <w:bodyDiv w:val="1"/>
      <w:marLeft w:val="0"/>
      <w:marRight w:val="0"/>
      <w:marTop w:val="0"/>
      <w:marBottom w:val="0"/>
      <w:divBdr>
        <w:top w:val="none" w:sz="0" w:space="0" w:color="auto"/>
        <w:left w:val="none" w:sz="0" w:space="0" w:color="auto"/>
        <w:bottom w:val="none" w:sz="0" w:space="0" w:color="auto"/>
        <w:right w:val="none" w:sz="0" w:space="0" w:color="auto"/>
      </w:divBdr>
    </w:div>
    <w:div w:id="437986742">
      <w:bodyDiv w:val="1"/>
      <w:marLeft w:val="0"/>
      <w:marRight w:val="0"/>
      <w:marTop w:val="0"/>
      <w:marBottom w:val="0"/>
      <w:divBdr>
        <w:top w:val="none" w:sz="0" w:space="0" w:color="auto"/>
        <w:left w:val="none" w:sz="0" w:space="0" w:color="auto"/>
        <w:bottom w:val="none" w:sz="0" w:space="0" w:color="auto"/>
        <w:right w:val="none" w:sz="0" w:space="0" w:color="auto"/>
      </w:divBdr>
    </w:div>
    <w:div w:id="438528291">
      <w:bodyDiv w:val="1"/>
      <w:marLeft w:val="0"/>
      <w:marRight w:val="0"/>
      <w:marTop w:val="0"/>
      <w:marBottom w:val="0"/>
      <w:divBdr>
        <w:top w:val="none" w:sz="0" w:space="0" w:color="auto"/>
        <w:left w:val="none" w:sz="0" w:space="0" w:color="auto"/>
        <w:bottom w:val="none" w:sz="0" w:space="0" w:color="auto"/>
        <w:right w:val="none" w:sz="0" w:space="0" w:color="auto"/>
      </w:divBdr>
    </w:div>
    <w:div w:id="439572968">
      <w:bodyDiv w:val="1"/>
      <w:marLeft w:val="0"/>
      <w:marRight w:val="0"/>
      <w:marTop w:val="0"/>
      <w:marBottom w:val="0"/>
      <w:divBdr>
        <w:top w:val="none" w:sz="0" w:space="0" w:color="auto"/>
        <w:left w:val="none" w:sz="0" w:space="0" w:color="auto"/>
        <w:bottom w:val="none" w:sz="0" w:space="0" w:color="auto"/>
        <w:right w:val="none" w:sz="0" w:space="0" w:color="auto"/>
      </w:divBdr>
    </w:div>
    <w:div w:id="439841018">
      <w:bodyDiv w:val="1"/>
      <w:marLeft w:val="0"/>
      <w:marRight w:val="0"/>
      <w:marTop w:val="0"/>
      <w:marBottom w:val="0"/>
      <w:divBdr>
        <w:top w:val="none" w:sz="0" w:space="0" w:color="auto"/>
        <w:left w:val="none" w:sz="0" w:space="0" w:color="auto"/>
        <w:bottom w:val="none" w:sz="0" w:space="0" w:color="auto"/>
        <w:right w:val="none" w:sz="0" w:space="0" w:color="auto"/>
      </w:divBdr>
    </w:div>
    <w:div w:id="441652318">
      <w:bodyDiv w:val="1"/>
      <w:marLeft w:val="0"/>
      <w:marRight w:val="0"/>
      <w:marTop w:val="0"/>
      <w:marBottom w:val="0"/>
      <w:divBdr>
        <w:top w:val="none" w:sz="0" w:space="0" w:color="auto"/>
        <w:left w:val="none" w:sz="0" w:space="0" w:color="auto"/>
        <w:bottom w:val="none" w:sz="0" w:space="0" w:color="auto"/>
        <w:right w:val="none" w:sz="0" w:space="0" w:color="auto"/>
      </w:divBdr>
    </w:div>
    <w:div w:id="442187856">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42656640">
      <w:bodyDiv w:val="1"/>
      <w:marLeft w:val="0"/>
      <w:marRight w:val="0"/>
      <w:marTop w:val="0"/>
      <w:marBottom w:val="0"/>
      <w:divBdr>
        <w:top w:val="none" w:sz="0" w:space="0" w:color="auto"/>
        <w:left w:val="none" w:sz="0" w:space="0" w:color="auto"/>
        <w:bottom w:val="none" w:sz="0" w:space="0" w:color="auto"/>
        <w:right w:val="none" w:sz="0" w:space="0" w:color="auto"/>
      </w:divBdr>
    </w:div>
    <w:div w:id="443497528">
      <w:bodyDiv w:val="1"/>
      <w:marLeft w:val="0"/>
      <w:marRight w:val="0"/>
      <w:marTop w:val="0"/>
      <w:marBottom w:val="0"/>
      <w:divBdr>
        <w:top w:val="none" w:sz="0" w:space="0" w:color="auto"/>
        <w:left w:val="none" w:sz="0" w:space="0" w:color="auto"/>
        <w:bottom w:val="none" w:sz="0" w:space="0" w:color="auto"/>
        <w:right w:val="none" w:sz="0" w:space="0" w:color="auto"/>
      </w:divBdr>
    </w:div>
    <w:div w:id="443767902">
      <w:bodyDiv w:val="1"/>
      <w:marLeft w:val="0"/>
      <w:marRight w:val="0"/>
      <w:marTop w:val="0"/>
      <w:marBottom w:val="0"/>
      <w:divBdr>
        <w:top w:val="none" w:sz="0" w:space="0" w:color="auto"/>
        <w:left w:val="none" w:sz="0" w:space="0" w:color="auto"/>
        <w:bottom w:val="none" w:sz="0" w:space="0" w:color="auto"/>
        <w:right w:val="none" w:sz="0" w:space="0" w:color="auto"/>
      </w:divBdr>
    </w:div>
    <w:div w:id="443768580">
      <w:bodyDiv w:val="1"/>
      <w:marLeft w:val="0"/>
      <w:marRight w:val="0"/>
      <w:marTop w:val="0"/>
      <w:marBottom w:val="0"/>
      <w:divBdr>
        <w:top w:val="none" w:sz="0" w:space="0" w:color="auto"/>
        <w:left w:val="none" w:sz="0" w:space="0" w:color="auto"/>
        <w:bottom w:val="none" w:sz="0" w:space="0" w:color="auto"/>
        <w:right w:val="none" w:sz="0" w:space="0" w:color="auto"/>
      </w:divBdr>
    </w:div>
    <w:div w:id="445544263">
      <w:bodyDiv w:val="1"/>
      <w:marLeft w:val="0"/>
      <w:marRight w:val="0"/>
      <w:marTop w:val="0"/>
      <w:marBottom w:val="0"/>
      <w:divBdr>
        <w:top w:val="none" w:sz="0" w:space="0" w:color="auto"/>
        <w:left w:val="none" w:sz="0" w:space="0" w:color="auto"/>
        <w:bottom w:val="none" w:sz="0" w:space="0" w:color="auto"/>
        <w:right w:val="none" w:sz="0" w:space="0" w:color="auto"/>
      </w:divBdr>
    </w:div>
    <w:div w:id="446043666">
      <w:bodyDiv w:val="1"/>
      <w:marLeft w:val="0"/>
      <w:marRight w:val="0"/>
      <w:marTop w:val="0"/>
      <w:marBottom w:val="0"/>
      <w:divBdr>
        <w:top w:val="none" w:sz="0" w:space="0" w:color="auto"/>
        <w:left w:val="none" w:sz="0" w:space="0" w:color="auto"/>
        <w:bottom w:val="none" w:sz="0" w:space="0" w:color="auto"/>
        <w:right w:val="none" w:sz="0" w:space="0" w:color="auto"/>
      </w:divBdr>
    </w:div>
    <w:div w:id="446312054">
      <w:bodyDiv w:val="1"/>
      <w:marLeft w:val="0"/>
      <w:marRight w:val="0"/>
      <w:marTop w:val="0"/>
      <w:marBottom w:val="0"/>
      <w:divBdr>
        <w:top w:val="none" w:sz="0" w:space="0" w:color="auto"/>
        <w:left w:val="none" w:sz="0" w:space="0" w:color="auto"/>
        <w:bottom w:val="none" w:sz="0" w:space="0" w:color="auto"/>
        <w:right w:val="none" w:sz="0" w:space="0" w:color="auto"/>
      </w:divBdr>
    </w:div>
    <w:div w:id="450058734">
      <w:bodyDiv w:val="1"/>
      <w:marLeft w:val="0"/>
      <w:marRight w:val="0"/>
      <w:marTop w:val="0"/>
      <w:marBottom w:val="0"/>
      <w:divBdr>
        <w:top w:val="none" w:sz="0" w:space="0" w:color="auto"/>
        <w:left w:val="none" w:sz="0" w:space="0" w:color="auto"/>
        <w:bottom w:val="none" w:sz="0" w:space="0" w:color="auto"/>
        <w:right w:val="none" w:sz="0" w:space="0" w:color="auto"/>
      </w:divBdr>
    </w:div>
    <w:div w:id="450904063">
      <w:bodyDiv w:val="1"/>
      <w:marLeft w:val="0"/>
      <w:marRight w:val="0"/>
      <w:marTop w:val="0"/>
      <w:marBottom w:val="0"/>
      <w:divBdr>
        <w:top w:val="none" w:sz="0" w:space="0" w:color="auto"/>
        <w:left w:val="none" w:sz="0" w:space="0" w:color="auto"/>
        <w:bottom w:val="none" w:sz="0" w:space="0" w:color="auto"/>
        <w:right w:val="none" w:sz="0" w:space="0" w:color="auto"/>
      </w:divBdr>
    </w:div>
    <w:div w:id="451098150">
      <w:bodyDiv w:val="1"/>
      <w:marLeft w:val="0"/>
      <w:marRight w:val="0"/>
      <w:marTop w:val="0"/>
      <w:marBottom w:val="0"/>
      <w:divBdr>
        <w:top w:val="none" w:sz="0" w:space="0" w:color="auto"/>
        <w:left w:val="none" w:sz="0" w:space="0" w:color="auto"/>
        <w:bottom w:val="none" w:sz="0" w:space="0" w:color="auto"/>
        <w:right w:val="none" w:sz="0" w:space="0" w:color="auto"/>
      </w:divBdr>
    </w:div>
    <w:div w:id="451484502">
      <w:bodyDiv w:val="1"/>
      <w:marLeft w:val="0"/>
      <w:marRight w:val="0"/>
      <w:marTop w:val="0"/>
      <w:marBottom w:val="0"/>
      <w:divBdr>
        <w:top w:val="none" w:sz="0" w:space="0" w:color="auto"/>
        <w:left w:val="none" w:sz="0" w:space="0" w:color="auto"/>
        <w:bottom w:val="none" w:sz="0" w:space="0" w:color="auto"/>
        <w:right w:val="none" w:sz="0" w:space="0" w:color="auto"/>
      </w:divBdr>
    </w:div>
    <w:div w:id="452135315">
      <w:bodyDiv w:val="1"/>
      <w:marLeft w:val="0"/>
      <w:marRight w:val="0"/>
      <w:marTop w:val="0"/>
      <w:marBottom w:val="0"/>
      <w:divBdr>
        <w:top w:val="none" w:sz="0" w:space="0" w:color="auto"/>
        <w:left w:val="none" w:sz="0" w:space="0" w:color="auto"/>
        <w:bottom w:val="none" w:sz="0" w:space="0" w:color="auto"/>
        <w:right w:val="none" w:sz="0" w:space="0" w:color="auto"/>
      </w:divBdr>
    </w:div>
    <w:div w:id="452943112">
      <w:bodyDiv w:val="1"/>
      <w:marLeft w:val="0"/>
      <w:marRight w:val="0"/>
      <w:marTop w:val="0"/>
      <w:marBottom w:val="0"/>
      <w:divBdr>
        <w:top w:val="none" w:sz="0" w:space="0" w:color="auto"/>
        <w:left w:val="none" w:sz="0" w:space="0" w:color="auto"/>
        <w:bottom w:val="none" w:sz="0" w:space="0" w:color="auto"/>
        <w:right w:val="none" w:sz="0" w:space="0" w:color="auto"/>
      </w:divBdr>
    </w:div>
    <w:div w:id="453015416">
      <w:bodyDiv w:val="1"/>
      <w:marLeft w:val="0"/>
      <w:marRight w:val="0"/>
      <w:marTop w:val="0"/>
      <w:marBottom w:val="0"/>
      <w:divBdr>
        <w:top w:val="none" w:sz="0" w:space="0" w:color="auto"/>
        <w:left w:val="none" w:sz="0" w:space="0" w:color="auto"/>
        <w:bottom w:val="none" w:sz="0" w:space="0" w:color="auto"/>
        <w:right w:val="none" w:sz="0" w:space="0" w:color="auto"/>
      </w:divBdr>
    </w:div>
    <w:div w:id="453793402">
      <w:bodyDiv w:val="1"/>
      <w:marLeft w:val="0"/>
      <w:marRight w:val="0"/>
      <w:marTop w:val="0"/>
      <w:marBottom w:val="0"/>
      <w:divBdr>
        <w:top w:val="none" w:sz="0" w:space="0" w:color="auto"/>
        <w:left w:val="none" w:sz="0" w:space="0" w:color="auto"/>
        <w:bottom w:val="none" w:sz="0" w:space="0" w:color="auto"/>
        <w:right w:val="none" w:sz="0" w:space="0" w:color="auto"/>
      </w:divBdr>
    </w:div>
    <w:div w:id="453911594">
      <w:bodyDiv w:val="1"/>
      <w:marLeft w:val="0"/>
      <w:marRight w:val="0"/>
      <w:marTop w:val="0"/>
      <w:marBottom w:val="0"/>
      <w:divBdr>
        <w:top w:val="none" w:sz="0" w:space="0" w:color="auto"/>
        <w:left w:val="none" w:sz="0" w:space="0" w:color="auto"/>
        <w:bottom w:val="none" w:sz="0" w:space="0" w:color="auto"/>
        <w:right w:val="none" w:sz="0" w:space="0" w:color="auto"/>
      </w:divBdr>
    </w:div>
    <w:div w:id="454102678">
      <w:bodyDiv w:val="1"/>
      <w:marLeft w:val="0"/>
      <w:marRight w:val="0"/>
      <w:marTop w:val="0"/>
      <w:marBottom w:val="0"/>
      <w:divBdr>
        <w:top w:val="none" w:sz="0" w:space="0" w:color="auto"/>
        <w:left w:val="none" w:sz="0" w:space="0" w:color="auto"/>
        <w:bottom w:val="none" w:sz="0" w:space="0" w:color="auto"/>
        <w:right w:val="none" w:sz="0" w:space="0" w:color="auto"/>
      </w:divBdr>
    </w:div>
    <w:div w:id="454909825">
      <w:bodyDiv w:val="1"/>
      <w:marLeft w:val="0"/>
      <w:marRight w:val="0"/>
      <w:marTop w:val="0"/>
      <w:marBottom w:val="0"/>
      <w:divBdr>
        <w:top w:val="none" w:sz="0" w:space="0" w:color="auto"/>
        <w:left w:val="none" w:sz="0" w:space="0" w:color="auto"/>
        <w:bottom w:val="none" w:sz="0" w:space="0" w:color="auto"/>
        <w:right w:val="none" w:sz="0" w:space="0" w:color="auto"/>
      </w:divBdr>
    </w:div>
    <w:div w:id="455222464">
      <w:bodyDiv w:val="1"/>
      <w:marLeft w:val="0"/>
      <w:marRight w:val="0"/>
      <w:marTop w:val="0"/>
      <w:marBottom w:val="0"/>
      <w:divBdr>
        <w:top w:val="none" w:sz="0" w:space="0" w:color="auto"/>
        <w:left w:val="none" w:sz="0" w:space="0" w:color="auto"/>
        <w:bottom w:val="none" w:sz="0" w:space="0" w:color="auto"/>
        <w:right w:val="none" w:sz="0" w:space="0" w:color="auto"/>
      </w:divBdr>
    </w:div>
    <w:div w:id="456724464">
      <w:bodyDiv w:val="1"/>
      <w:marLeft w:val="0"/>
      <w:marRight w:val="0"/>
      <w:marTop w:val="0"/>
      <w:marBottom w:val="0"/>
      <w:divBdr>
        <w:top w:val="none" w:sz="0" w:space="0" w:color="auto"/>
        <w:left w:val="none" w:sz="0" w:space="0" w:color="auto"/>
        <w:bottom w:val="none" w:sz="0" w:space="0" w:color="auto"/>
        <w:right w:val="none" w:sz="0" w:space="0" w:color="auto"/>
      </w:divBdr>
    </w:div>
    <w:div w:id="458576136">
      <w:bodyDiv w:val="1"/>
      <w:marLeft w:val="0"/>
      <w:marRight w:val="0"/>
      <w:marTop w:val="0"/>
      <w:marBottom w:val="0"/>
      <w:divBdr>
        <w:top w:val="none" w:sz="0" w:space="0" w:color="auto"/>
        <w:left w:val="none" w:sz="0" w:space="0" w:color="auto"/>
        <w:bottom w:val="none" w:sz="0" w:space="0" w:color="auto"/>
        <w:right w:val="none" w:sz="0" w:space="0" w:color="auto"/>
      </w:divBdr>
    </w:div>
    <w:div w:id="458647757">
      <w:bodyDiv w:val="1"/>
      <w:marLeft w:val="0"/>
      <w:marRight w:val="0"/>
      <w:marTop w:val="0"/>
      <w:marBottom w:val="0"/>
      <w:divBdr>
        <w:top w:val="none" w:sz="0" w:space="0" w:color="auto"/>
        <w:left w:val="none" w:sz="0" w:space="0" w:color="auto"/>
        <w:bottom w:val="none" w:sz="0" w:space="0" w:color="auto"/>
        <w:right w:val="none" w:sz="0" w:space="0" w:color="auto"/>
      </w:divBdr>
    </w:div>
    <w:div w:id="458888038">
      <w:bodyDiv w:val="1"/>
      <w:marLeft w:val="0"/>
      <w:marRight w:val="0"/>
      <w:marTop w:val="0"/>
      <w:marBottom w:val="0"/>
      <w:divBdr>
        <w:top w:val="none" w:sz="0" w:space="0" w:color="auto"/>
        <w:left w:val="none" w:sz="0" w:space="0" w:color="auto"/>
        <w:bottom w:val="none" w:sz="0" w:space="0" w:color="auto"/>
        <w:right w:val="none" w:sz="0" w:space="0" w:color="auto"/>
      </w:divBdr>
    </w:div>
    <w:div w:id="459227944">
      <w:bodyDiv w:val="1"/>
      <w:marLeft w:val="0"/>
      <w:marRight w:val="0"/>
      <w:marTop w:val="0"/>
      <w:marBottom w:val="0"/>
      <w:divBdr>
        <w:top w:val="none" w:sz="0" w:space="0" w:color="auto"/>
        <w:left w:val="none" w:sz="0" w:space="0" w:color="auto"/>
        <w:bottom w:val="none" w:sz="0" w:space="0" w:color="auto"/>
        <w:right w:val="none" w:sz="0" w:space="0" w:color="auto"/>
      </w:divBdr>
    </w:div>
    <w:div w:id="460348773">
      <w:bodyDiv w:val="1"/>
      <w:marLeft w:val="0"/>
      <w:marRight w:val="0"/>
      <w:marTop w:val="0"/>
      <w:marBottom w:val="0"/>
      <w:divBdr>
        <w:top w:val="none" w:sz="0" w:space="0" w:color="auto"/>
        <w:left w:val="none" w:sz="0" w:space="0" w:color="auto"/>
        <w:bottom w:val="none" w:sz="0" w:space="0" w:color="auto"/>
        <w:right w:val="none" w:sz="0" w:space="0" w:color="auto"/>
      </w:divBdr>
    </w:div>
    <w:div w:id="460615021">
      <w:bodyDiv w:val="1"/>
      <w:marLeft w:val="0"/>
      <w:marRight w:val="0"/>
      <w:marTop w:val="0"/>
      <w:marBottom w:val="0"/>
      <w:divBdr>
        <w:top w:val="none" w:sz="0" w:space="0" w:color="auto"/>
        <w:left w:val="none" w:sz="0" w:space="0" w:color="auto"/>
        <w:bottom w:val="none" w:sz="0" w:space="0" w:color="auto"/>
        <w:right w:val="none" w:sz="0" w:space="0" w:color="auto"/>
      </w:divBdr>
    </w:div>
    <w:div w:id="460685130">
      <w:bodyDiv w:val="1"/>
      <w:marLeft w:val="0"/>
      <w:marRight w:val="0"/>
      <w:marTop w:val="0"/>
      <w:marBottom w:val="0"/>
      <w:divBdr>
        <w:top w:val="none" w:sz="0" w:space="0" w:color="auto"/>
        <w:left w:val="none" w:sz="0" w:space="0" w:color="auto"/>
        <w:bottom w:val="none" w:sz="0" w:space="0" w:color="auto"/>
        <w:right w:val="none" w:sz="0" w:space="0" w:color="auto"/>
      </w:divBdr>
    </w:div>
    <w:div w:id="461778225">
      <w:bodyDiv w:val="1"/>
      <w:marLeft w:val="0"/>
      <w:marRight w:val="0"/>
      <w:marTop w:val="0"/>
      <w:marBottom w:val="0"/>
      <w:divBdr>
        <w:top w:val="none" w:sz="0" w:space="0" w:color="auto"/>
        <w:left w:val="none" w:sz="0" w:space="0" w:color="auto"/>
        <w:bottom w:val="none" w:sz="0" w:space="0" w:color="auto"/>
        <w:right w:val="none" w:sz="0" w:space="0" w:color="auto"/>
      </w:divBdr>
    </w:div>
    <w:div w:id="461852162">
      <w:bodyDiv w:val="1"/>
      <w:marLeft w:val="0"/>
      <w:marRight w:val="0"/>
      <w:marTop w:val="0"/>
      <w:marBottom w:val="0"/>
      <w:divBdr>
        <w:top w:val="none" w:sz="0" w:space="0" w:color="auto"/>
        <w:left w:val="none" w:sz="0" w:space="0" w:color="auto"/>
        <w:bottom w:val="none" w:sz="0" w:space="0" w:color="auto"/>
        <w:right w:val="none" w:sz="0" w:space="0" w:color="auto"/>
      </w:divBdr>
    </w:div>
    <w:div w:id="462162517">
      <w:bodyDiv w:val="1"/>
      <w:marLeft w:val="0"/>
      <w:marRight w:val="0"/>
      <w:marTop w:val="0"/>
      <w:marBottom w:val="0"/>
      <w:divBdr>
        <w:top w:val="none" w:sz="0" w:space="0" w:color="auto"/>
        <w:left w:val="none" w:sz="0" w:space="0" w:color="auto"/>
        <w:bottom w:val="none" w:sz="0" w:space="0" w:color="auto"/>
        <w:right w:val="none" w:sz="0" w:space="0" w:color="auto"/>
      </w:divBdr>
    </w:div>
    <w:div w:id="462311564">
      <w:bodyDiv w:val="1"/>
      <w:marLeft w:val="0"/>
      <w:marRight w:val="0"/>
      <w:marTop w:val="0"/>
      <w:marBottom w:val="0"/>
      <w:divBdr>
        <w:top w:val="none" w:sz="0" w:space="0" w:color="auto"/>
        <w:left w:val="none" w:sz="0" w:space="0" w:color="auto"/>
        <w:bottom w:val="none" w:sz="0" w:space="0" w:color="auto"/>
        <w:right w:val="none" w:sz="0" w:space="0" w:color="auto"/>
      </w:divBdr>
    </w:div>
    <w:div w:id="462357626">
      <w:bodyDiv w:val="1"/>
      <w:marLeft w:val="0"/>
      <w:marRight w:val="0"/>
      <w:marTop w:val="0"/>
      <w:marBottom w:val="0"/>
      <w:divBdr>
        <w:top w:val="none" w:sz="0" w:space="0" w:color="auto"/>
        <w:left w:val="none" w:sz="0" w:space="0" w:color="auto"/>
        <w:bottom w:val="none" w:sz="0" w:space="0" w:color="auto"/>
        <w:right w:val="none" w:sz="0" w:space="0" w:color="auto"/>
      </w:divBdr>
    </w:div>
    <w:div w:id="462503833">
      <w:bodyDiv w:val="1"/>
      <w:marLeft w:val="0"/>
      <w:marRight w:val="0"/>
      <w:marTop w:val="0"/>
      <w:marBottom w:val="0"/>
      <w:divBdr>
        <w:top w:val="none" w:sz="0" w:space="0" w:color="auto"/>
        <w:left w:val="none" w:sz="0" w:space="0" w:color="auto"/>
        <w:bottom w:val="none" w:sz="0" w:space="0" w:color="auto"/>
        <w:right w:val="none" w:sz="0" w:space="0" w:color="auto"/>
      </w:divBdr>
    </w:div>
    <w:div w:id="462507980">
      <w:bodyDiv w:val="1"/>
      <w:marLeft w:val="0"/>
      <w:marRight w:val="0"/>
      <w:marTop w:val="0"/>
      <w:marBottom w:val="0"/>
      <w:divBdr>
        <w:top w:val="none" w:sz="0" w:space="0" w:color="auto"/>
        <w:left w:val="none" w:sz="0" w:space="0" w:color="auto"/>
        <w:bottom w:val="none" w:sz="0" w:space="0" w:color="auto"/>
        <w:right w:val="none" w:sz="0" w:space="0" w:color="auto"/>
      </w:divBdr>
    </w:div>
    <w:div w:id="462582903">
      <w:bodyDiv w:val="1"/>
      <w:marLeft w:val="0"/>
      <w:marRight w:val="0"/>
      <w:marTop w:val="0"/>
      <w:marBottom w:val="0"/>
      <w:divBdr>
        <w:top w:val="none" w:sz="0" w:space="0" w:color="auto"/>
        <w:left w:val="none" w:sz="0" w:space="0" w:color="auto"/>
        <w:bottom w:val="none" w:sz="0" w:space="0" w:color="auto"/>
        <w:right w:val="none" w:sz="0" w:space="0" w:color="auto"/>
      </w:divBdr>
    </w:div>
    <w:div w:id="464126152">
      <w:bodyDiv w:val="1"/>
      <w:marLeft w:val="0"/>
      <w:marRight w:val="0"/>
      <w:marTop w:val="0"/>
      <w:marBottom w:val="0"/>
      <w:divBdr>
        <w:top w:val="none" w:sz="0" w:space="0" w:color="auto"/>
        <w:left w:val="none" w:sz="0" w:space="0" w:color="auto"/>
        <w:bottom w:val="none" w:sz="0" w:space="0" w:color="auto"/>
        <w:right w:val="none" w:sz="0" w:space="0" w:color="auto"/>
      </w:divBdr>
    </w:div>
    <w:div w:id="464742697">
      <w:bodyDiv w:val="1"/>
      <w:marLeft w:val="0"/>
      <w:marRight w:val="0"/>
      <w:marTop w:val="0"/>
      <w:marBottom w:val="0"/>
      <w:divBdr>
        <w:top w:val="none" w:sz="0" w:space="0" w:color="auto"/>
        <w:left w:val="none" w:sz="0" w:space="0" w:color="auto"/>
        <w:bottom w:val="none" w:sz="0" w:space="0" w:color="auto"/>
        <w:right w:val="none" w:sz="0" w:space="0" w:color="auto"/>
      </w:divBdr>
    </w:div>
    <w:div w:id="465241380">
      <w:bodyDiv w:val="1"/>
      <w:marLeft w:val="0"/>
      <w:marRight w:val="0"/>
      <w:marTop w:val="0"/>
      <w:marBottom w:val="0"/>
      <w:divBdr>
        <w:top w:val="none" w:sz="0" w:space="0" w:color="auto"/>
        <w:left w:val="none" w:sz="0" w:space="0" w:color="auto"/>
        <w:bottom w:val="none" w:sz="0" w:space="0" w:color="auto"/>
        <w:right w:val="none" w:sz="0" w:space="0" w:color="auto"/>
      </w:divBdr>
    </w:div>
    <w:div w:id="466970147">
      <w:bodyDiv w:val="1"/>
      <w:marLeft w:val="0"/>
      <w:marRight w:val="0"/>
      <w:marTop w:val="0"/>
      <w:marBottom w:val="0"/>
      <w:divBdr>
        <w:top w:val="none" w:sz="0" w:space="0" w:color="auto"/>
        <w:left w:val="none" w:sz="0" w:space="0" w:color="auto"/>
        <w:bottom w:val="none" w:sz="0" w:space="0" w:color="auto"/>
        <w:right w:val="none" w:sz="0" w:space="0" w:color="auto"/>
      </w:divBdr>
    </w:div>
    <w:div w:id="467938936">
      <w:bodyDiv w:val="1"/>
      <w:marLeft w:val="0"/>
      <w:marRight w:val="0"/>
      <w:marTop w:val="0"/>
      <w:marBottom w:val="0"/>
      <w:divBdr>
        <w:top w:val="none" w:sz="0" w:space="0" w:color="auto"/>
        <w:left w:val="none" w:sz="0" w:space="0" w:color="auto"/>
        <w:bottom w:val="none" w:sz="0" w:space="0" w:color="auto"/>
        <w:right w:val="none" w:sz="0" w:space="0" w:color="auto"/>
      </w:divBdr>
    </w:div>
    <w:div w:id="468206307">
      <w:bodyDiv w:val="1"/>
      <w:marLeft w:val="0"/>
      <w:marRight w:val="0"/>
      <w:marTop w:val="0"/>
      <w:marBottom w:val="0"/>
      <w:divBdr>
        <w:top w:val="none" w:sz="0" w:space="0" w:color="auto"/>
        <w:left w:val="none" w:sz="0" w:space="0" w:color="auto"/>
        <w:bottom w:val="none" w:sz="0" w:space="0" w:color="auto"/>
        <w:right w:val="none" w:sz="0" w:space="0" w:color="auto"/>
      </w:divBdr>
    </w:div>
    <w:div w:id="468518259">
      <w:bodyDiv w:val="1"/>
      <w:marLeft w:val="0"/>
      <w:marRight w:val="0"/>
      <w:marTop w:val="0"/>
      <w:marBottom w:val="0"/>
      <w:divBdr>
        <w:top w:val="none" w:sz="0" w:space="0" w:color="auto"/>
        <w:left w:val="none" w:sz="0" w:space="0" w:color="auto"/>
        <w:bottom w:val="none" w:sz="0" w:space="0" w:color="auto"/>
        <w:right w:val="none" w:sz="0" w:space="0" w:color="auto"/>
      </w:divBdr>
    </w:div>
    <w:div w:id="468548164">
      <w:bodyDiv w:val="1"/>
      <w:marLeft w:val="0"/>
      <w:marRight w:val="0"/>
      <w:marTop w:val="0"/>
      <w:marBottom w:val="0"/>
      <w:divBdr>
        <w:top w:val="none" w:sz="0" w:space="0" w:color="auto"/>
        <w:left w:val="none" w:sz="0" w:space="0" w:color="auto"/>
        <w:bottom w:val="none" w:sz="0" w:space="0" w:color="auto"/>
        <w:right w:val="none" w:sz="0" w:space="0" w:color="auto"/>
      </w:divBdr>
    </w:div>
    <w:div w:id="469514788">
      <w:bodyDiv w:val="1"/>
      <w:marLeft w:val="0"/>
      <w:marRight w:val="0"/>
      <w:marTop w:val="0"/>
      <w:marBottom w:val="0"/>
      <w:divBdr>
        <w:top w:val="none" w:sz="0" w:space="0" w:color="auto"/>
        <w:left w:val="none" w:sz="0" w:space="0" w:color="auto"/>
        <w:bottom w:val="none" w:sz="0" w:space="0" w:color="auto"/>
        <w:right w:val="none" w:sz="0" w:space="0" w:color="auto"/>
      </w:divBdr>
    </w:div>
    <w:div w:id="470751826">
      <w:bodyDiv w:val="1"/>
      <w:marLeft w:val="0"/>
      <w:marRight w:val="0"/>
      <w:marTop w:val="0"/>
      <w:marBottom w:val="0"/>
      <w:divBdr>
        <w:top w:val="none" w:sz="0" w:space="0" w:color="auto"/>
        <w:left w:val="none" w:sz="0" w:space="0" w:color="auto"/>
        <w:bottom w:val="none" w:sz="0" w:space="0" w:color="auto"/>
        <w:right w:val="none" w:sz="0" w:space="0" w:color="auto"/>
      </w:divBdr>
    </w:div>
    <w:div w:id="470906961">
      <w:bodyDiv w:val="1"/>
      <w:marLeft w:val="0"/>
      <w:marRight w:val="0"/>
      <w:marTop w:val="0"/>
      <w:marBottom w:val="0"/>
      <w:divBdr>
        <w:top w:val="none" w:sz="0" w:space="0" w:color="auto"/>
        <w:left w:val="none" w:sz="0" w:space="0" w:color="auto"/>
        <w:bottom w:val="none" w:sz="0" w:space="0" w:color="auto"/>
        <w:right w:val="none" w:sz="0" w:space="0" w:color="auto"/>
      </w:divBdr>
    </w:div>
    <w:div w:id="471168700">
      <w:bodyDiv w:val="1"/>
      <w:marLeft w:val="0"/>
      <w:marRight w:val="0"/>
      <w:marTop w:val="0"/>
      <w:marBottom w:val="0"/>
      <w:divBdr>
        <w:top w:val="none" w:sz="0" w:space="0" w:color="auto"/>
        <w:left w:val="none" w:sz="0" w:space="0" w:color="auto"/>
        <w:bottom w:val="none" w:sz="0" w:space="0" w:color="auto"/>
        <w:right w:val="none" w:sz="0" w:space="0" w:color="auto"/>
      </w:divBdr>
    </w:div>
    <w:div w:id="471479715">
      <w:bodyDiv w:val="1"/>
      <w:marLeft w:val="0"/>
      <w:marRight w:val="0"/>
      <w:marTop w:val="0"/>
      <w:marBottom w:val="0"/>
      <w:divBdr>
        <w:top w:val="none" w:sz="0" w:space="0" w:color="auto"/>
        <w:left w:val="none" w:sz="0" w:space="0" w:color="auto"/>
        <w:bottom w:val="none" w:sz="0" w:space="0" w:color="auto"/>
        <w:right w:val="none" w:sz="0" w:space="0" w:color="auto"/>
      </w:divBdr>
    </w:div>
    <w:div w:id="471751465">
      <w:bodyDiv w:val="1"/>
      <w:marLeft w:val="0"/>
      <w:marRight w:val="0"/>
      <w:marTop w:val="0"/>
      <w:marBottom w:val="0"/>
      <w:divBdr>
        <w:top w:val="none" w:sz="0" w:space="0" w:color="auto"/>
        <w:left w:val="none" w:sz="0" w:space="0" w:color="auto"/>
        <w:bottom w:val="none" w:sz="0" w:space="0" w:color="auto"/>
        <w:right w:val="none" w:sz="0" w:space="0" w:color="auto"/>
      </w:divBdr>
    </w:div>
    <w:div w:id="471800204">
      <w:bodyDiv w:val="1"/>
      <w:marLeft w:val="0"/>
      <w:marRight w:val="0"/>
      <w:marTop w:val="0"/>
      <w:marBottom w:val="0"/>
      <w:divBdr>
        <w:top w:val="none" w:sz="0" w:space="0" w:color="auto"/>
        <w:left w:val="none" w:sz="0" w:space="0" w:color="auto"/>
        <w:bottom w:val="none" w:sz="0" w:space="0" w:color="auto"/>
        <w:right w:val="none" w:sz="0" w:space="0" w:color="auto"/>
      </w:divBdr>
    </w:div>
    <w:div w:id="471874805">
      <w:bodyDiv w:val="1"/>
      <w:marLeft w:val="0"/>
      <w:marRight w:val="0"/>
      <w:marTop w:val="0"/>
      <w:marBottom w:val="0"/>
      <w:divBdr>
        <w:top w:val="none" w:sz="0" w:space="0" w:color="auto"/>
        <w:left w:val="none" w:sz="0" w:space="0" w:color="auto"/>
        <w:bottom w:val="none" w:sz="0" w:space="0" w:color="auto"/>
        <w:right w:val="none" w:sz="0" w:space="0" w:color="auto"/>
      </w:divBdr>
    </w:div>
    <w:div w:id="472530039">
      <w:bodyDiv w:val="1"/>
      <w:marLeft w:val="0"/>
      <w:marRight w:val="0"/>
      <w:marTop w:val="0"/>
      <w:marBottom w:val="0"/>
      <w:divBdr>
        <w:top w:val="none" w:sz="0" w:space="0" w:color="auto"/>
        <w:left w:val="none" w:sz="0" w:space="0" w:color="auto"/>
        <w:bottom w:val="none" w:sz="0" w:space="0" w:color="auto"/>
        <w:right w:val="none" w:sz="0" w:space="0" w:color="auto"/>
      </w:divBdr>
    </w:div>
    <w:div w:id="474374092">
      <w:bodyDiv w:val="1"/>
      <w:marLeft w:val="0"/>
      <w:marRight w:val="0"/>
      <w:marTop w:val="0"/>
      <w:marBottom w:val="0"/>
      <w:divBdr>
        <w:top w:val="none" w:sz="0" w:space="0" w:color="auto"/>
        <w:left w:val="none" w:sz="0" w:space="0" w:color="auto"/>
        <w:bottom w:val="none" w:sz="0" w:space="0" w:color="auto"/>
        <w:right w:val="none" w:sz="0" w:space="0" w:color="auto"/>
      </w:divBdr>
    </w:div>
    <w:div w:id="475756721">
      <w:bodyDiv w:val="1"/>
      <w:marLeft w:val="0"/>
      <w:marRight w:val="0"/>
      <w:marTop w:val="0"/>
      <w:marBottom w:val="0"/>
      <w:divBdr>
        <w:top w:val="none" w:sz="0" w:space="0" w:color="auto"/>
        <w:left w:val="none" w:sz="0" w:space="0" w:color="auto"/>
        <w:bottom w:val="none" w:sz="0" w:space="0" w:color="auto"/>
        <w:right w:val="none" w:sz="0" w:space="0" w:color="auto"/>
      </w:divBdr>
    </w:div>
    <w:div w:id="475757380">
      <w:bodyDiv w:val="1"/>
      <w:marLeft w:val="0"/>
      <w:marRight w:val="0"/>
      <w:marTop w:val="0"/>
      <w:marBottom w:val="0"/>
      <w:divBdr>
        <w:top w:val="none" w:sz="0" w:space="0" w:color="auto"/>
        <w:left w:val="none" w:sz="0" w:space="0" w:color="auto"/>
        <w:bottom w:val="none" w:sz="0" w:space="0" w:color="auto"/>
        <w:right w:val="none" w:sz="0" w:space="0" w:color="auto"/>
      </w:divBdr>
    </w:div>
    <w:div w:id="476922372">
      <w:bodyDiv w:val="1"/>
      <w:marLeft w:val="0"/>
      <w:marRight w:val="0"/>
      <w:marTop w:val="0"/>
      <w:marBottom w:val="0"/>
      <w:divBdr>
        <w:top w:val="none" w:sz="0" w:space="0" w:color="auto"/>
        <w:left w:val="none" w:sz="0" w:space="0" w:color="auto"/>
        <w:bottom w:val="none" w:sz="0" w:space="0" w:color="auto"/>
        <w:right w:val="none" w:sz="0" w:space="0" w:color="auto"/>
      </w:divBdr>
    </w:div>
    <w:div w:id="478501454">
      <w:bodyDiv w:val="1"/>
      <w:marLeft w:val="0"/>
      <w:marRight w:val="0"/>
      <w:marTop w:val="0"/>
      <w:marBottom w:val="0"/>
      <w:divBdr>
        <w:top w:val="none" w:sz="0" w:space="0" w:color="auto"/>
        <w:left w:val="none" w:sz="0" w:space="0" w:color="auto"/>
        <w:bottom w:val="none" w:sz="0" w:space="0" w:color="auto"/>
        <w:right w:val="none" w:sz="0" w:space="0" w:color="auto"/>
      </w:divBdr>
    </w:div>
    <w:div w:id="481393017">
      <w:bodyDiv w:val="1"/>
      <w:marLeft w:val="0"/>
      <w:marRight w:val="0"/>
      <w:marTop w:val="0"/>
      <w:marBottom w:val="0"/>
      <w:divBdr>
        <w:top w:val="none" w:sz="0" w:space="0" w:color="auto"/>
        <w:left w:val="none" w:sz="0" w:space="0" w:color="auto"/>
        <w:bottom w:val="none" w:sz="0" w:space="0" w:color="auto"/>
        <w:right w:val="none" w:sz="0" w:space="0" w:color="auto"/>
      </w:divBdr>
    </w:div>
    <w:div w:id="482044341">
      <w:bodyDiv w:val="1"/>
      <w:marLeft w:val="0"/>
      <w:marRight w:val="0"/>
      <w:marTop w:val="0"/>
      <w:marBottom w:val="0"/>
      <w:divBdr>
        <w:top w:val="none" w:sz="0" w:space="0" w:color="auto"/>
        <w:left w:val="none" w:sz="0" w:space="0" w:color="auto"/>
        <w:bottom w:val="none" w:sz="0" w:space="0" w:color="auto"/>
        <w:right w:val="none" w:sz="0" w:space="0" w:color="auto"/>
      </w:divBdr>
    </w:div>
    <w:div w:id="483015223">
      <w:bodyDiv w:val="1"/>
      <w:marLeft w:val="0"/>
      <w:marRight w:val="0"/>
      <w:marTop w:val="0"/>
      <w:marBottom w:val="0"/>
      <w:divBdr>
        <w:top w:val="none" w:sz="0" w:space="0" w:color="auto"/>
        <w:left w:val="none" w:sz="0" w:space="0" w:color="auto"/>
        <w:bottom w:val="none" w:sz="0" w:space="0" w:color="auto"/>
        <w:right w:val="none" w:sz="0" w:space="0" w:color="auto"/>
      </w:divBdr>
    </w:div>
    <w:div w:id="484276481">
      <w:bodyDiv w:val="1"/>
      <w:marLeft w:val="0"/>
      <w:marRight w:val="0"/>
      <w:marTop w:val="0"/>
      <w:marBottom w:val="0"/>
      <w:divBdr>
        <w:top w:val="none" w:sz="0" w:space="0" w:color="auto"/>
        <w:left w:val="none" w:sz="0" w:space="0" w:color="auto"/>
        <w:bottom w:val="none" w:sz="0" w:space="0" w:color="auto"/>
        <w:right w:val="none" w:sz="0" w:space="0" w:color="auto"/>
      </w:divBdr>
    </w:div>
    <w:div w:id="484321412">
      <w:bodyDiv w:val="1"/>
      <w:marLeft w:val="0"/>
      <w:marRight w:val="0"/>
      <w:marTop w:val="0"/>
      <w:marBottom w:val="0"/>
      <w:divBdr>
        <w:top w:val="none" w:sz="0" w:space="0" w:color="auto"/>
        <w:left w:val="none" w:sz="0" w:space="0" w:color="auto"/>
        <w:bottom w:val="none" w:sz="0" w:space="0" w:color="auto"/>
        <w:right w:val="none" w:sz="0" w:space="0" w:color="auto"/>
      </w:divBdr>
    </w:div>
    <w:div w:id="484706741">
      <w:bodyDiv w:val="1"/>
      <w:marLeft w:val="0"/>
      <w:marRight w:val="0"/>
      <w:marTop w:val="0"/>
      <w:marBottom w:val="0"/>
      <w:divBdr>
        <w:top w:val="none" w:sz="0" w:space="0" w:color="auto"/>
        <w:left w:val="none" w:sz="0" w:space="0" w:color="auto"/>
        <w:bottom w:val="none" w:sz="0" w:space="0" w:color="auto"/>
        <w:right w:val="none" w:sz="0" w:space="0" w:color="auto"/>
      </w:divBdr>
    </w:div>
    <w:div w:id="484779579">
      <w:bodyDiv w:val="1"/>
      <w:marLeft w:val="0"/>
      <w:marRight w:val="0"/>
      <w:marTop w:val="0"/>
      <w:marBottom w:val="0"/>
      <w:divBdr>
        <w:top w:val="none" w:sz="0" w:space="0" w:color="auto"/>
        <w:left w:val="none" w:sz="0" w:space="0" w:color="auto"/>
        <w:bottom w:val="none" w:sz="0" w:space="0" w:color="auto"/>
        <w:right w:val="none" w:sz="0" w:space="0" w:color="auto"/>
      </w:divBdr>
    </w:div>
    <w:div w:id="486016558">
      <w:bodyDiv w:val="1"/>
      <w:marLeft w:val="0"/>
      <w:marRight w:val="0"/>
      <w:marTop w:val="0"/>
      <w:marBottom w:val="0"/>
      <w:divBdr>
        <w:top w:val="none" w:sz="0" w:space="0" w:color="auto"/>
        <w:left w:val="none" w:sz="0" w:space="0" w:color="auto"/>
        <w:bottom w:val="none" w:sz="0" w:space="0" w:color="auto"/>
        <w:right w:val="none" w:sz="0" w:space="0" w:color="auto"/>
      </w:divBdr>
    </w:div>
    <w:div w:id="487749626">
      <w:bodyDiv w:val="1"/>
      <w:marLeft w:val="0"/>
      <w:marRight w:val="0"/>
      <w:marTop w:val="0"/>
      <w:marBottom w:val="0"/>
      <w:divBdr>
        <w:top w:val="none" w:sz="0" w:space="0" w:color="auto"/>
        <w:left w:val="none" w:sz="0" w:space="0" w:color="auto"/>
        <w:bottom w:val="none" w:sz="0" w:space="0" w:color="auto"/>
        <w:right w:val="none" w:sz="0" w:space="0" w:color="auto"/>
      </w:divBdr>
    </w:div>
    <w:div w:id="487981331">
      <w:bodyDiv w:val="1"/>
      <w:marLeft w:val="0"/>
      <w:marRight w:val="0"/>
      <w:marTop w:val="0"/>
      <w:marBottom w:val="0"/>
      <w:divBdr>
        <w:top w:val="none" w:sz="0" w:space="0" w:color="auto"/>
        <w:left w:val="none" w:sz="0" w:space="0" w:color="auto"/>
        <w:bottom w:val="none" w:sz="0" w:space="0" w:color="auto"/>
        <w:right w:val="none" w:sz="0" w:space="0" w:color="auto"/>
      </w:divBdr>
    </w:div>
    <w:div w:id="488206024">
      <w:bodyDiv w:val="1"/>
      <w:marLeft w:val="0"/>
      <w:marRight w:val="0"/>
      <w:marTop w:val="0"/>
      <w:marBottom w:val="0"/>
      <w:divBdr>
        <w:top w:val="none" w:sz="0" w:space="0" w:color="auto"/>
        <w:left w:val="none" w:sz="0" w:space="0" w:color="auto"/>
        <w:bottom w:val="none" w:sz="0" w:space="0" w:color="auto"/>
        <w:right w:val="none" w:sz="0" w:space="0" w:color="auto"/>
      </w:divBdr>
    </w:div>
    <w:div w:id="488983499">
      <w:bodyDiv w:val="1"/>
      <w:marLeft w:val="0"/>
      <w:marRight w:val="0"/>
      <w:marTop w:val="0"/>
      <w:marBottom w:val="0"/>
      <w:divBdr>
        <w:top w:val="none" w:sz="0" w:space="0" w:color="auto"/>
        <w:left w:val="none" w:sz="0" w:space="0" w:color="auto"/>
        <w:bottom w:val="none" w:sz="0" w:space="0" w:color="auto"/>
        <w:right w:val="none" w:sz="0" w:space="0" w:color="auto"/>
      </w:divBdr>
    </w:div>
    <w:div w:id="489255761">
      <w:bodyDiv w:val="1"/>
      <w:marLeft w:val="0"/>
      <w:marRight w:val="0"/>
      <w:marTop w:val="0"/>
      <w:marBottom w:val="0"/>
      <w:divBdr>
        <w:top w:val="none" w:sz="0" w:space="0" w:color="auto"/>
        <w:left w:val="none" w:sz="0" w:space="0" w:color="auto"/>
        <w:bottom w:val="none" w:sz="0" w:space="0" w:color="auto"/>
        <w:right w:val="none" w:sz="0" w:space="0" w:color="auto"/>
      </w:divBdr>
    </w:div>
    <w:div w:id="491062267">
      <w:bodyDiv w:val="1"/>
      <w:marLeft w:val="0"/>
      <w:marRight w:val="0"/>
      <w:marTop w:val="0"/>
      <w:marBottom w:val="0"/>
      <w:divBdr>
        <w:top w:val="none" w:sz="0" w:space="0" w:color="auto"/>
        <w:left w:val="none" w:sz="0" w:space="0" w:color="auto"/>
        <w:bottom w:val="none" w:sz="0" w:space="0" w:color="auto"/>
        <w:right w:val="none" w:sz="0" w:space="0" w:color="auto"/>
      </w:divBdr>
    </w:div>
    <w:div w:id="492063260">
      <w:bodyDiv w:val="1"/>
      <w:marLeft w:val="0"/>
      <w:marRight w:val="0"/>
      <w:marTop w:val="0"/>
      <w:marBottom w:val="0"/>
      <w:divBdr>
        <w:top w:val="none" w:sz="0" w:space="0" w:color="auto"/>
        <w:left w:val="none" w:sz="0" w:space="0" w:color="auto"/>
        <w:bottom w:val="none" w:sz="0" w:space="0" w:color="auto"/>
        <w:right w:val="none" w:sz="0" w:space="0" w:color="auto"/>
      </w:divBdr>
    </w:div>
    <w:div w:id="492261879">
      <w:bodyDiv w:val="1"/>
      <w:marLeft w:val="0"/>
      <w:marRight w:val="0"/>
      <w:marTop w:val="0"/>
      <w:marBottom w:val="0"/>
      <w:divBdr>
        <w:top w:val="none" w:sz="0" w:space="0" w:color="auto"/>
        <w:left w:val="none" w:sz="0" w:space="0" w:color="auto"/>
        <w:bottom w:val="none" w:sz="0" w:space="0" w:color="auto"/>
        <w:right w:val="none" w:sz="0" w:space="0" w:color="auto"/>
      </w:divBdr>
    </w:div>
    <w:div w:id="492725807">
      <w:bodyDiv w:val="1"/>
      <w:marLeft w:val="0"/>
      <w:marRight w:val="0"/>
      <w:marTop w:val="0"/>
      <w:marBottom w:val="0"/>
      <w:divBdr>
        <w:top w:val="none" w:sz="0" w:space="0" w:color="auto"/>
        <w:left w:val="none" w:sz="0" w:space="0" w:color="auto"/>
        <w:bottom w:val="none" w:sz="0" w:space="0" w:color="auto"/>
        <w:right w:val="none" w:sz="0" w:space="0" w:color="auto"/>
      </w:divBdr>
    </w:div>
    <w:div w:id="493182085">
      <w:bodyDiv w:val="1"/>
      <w:marLeft w:val="0"/>
      <w:marRight w:val="0"/>
      <w:marTop w:val="0"/>
      <w:marBottom w:val="0"/>
      <w:divBdr>
        <w:top w:val="none" w:sz="0" w:space="0" w:color="auto"/>
        <w:left w:val="none" w:sz="0" w:space="0" w:color="auto"/>
        <w:bottom w:val="none" w:sz="0" w:space="0" w:color="auto"/>
        <w:right w:val="none" w:sz="0" w:space="0" w:color="auto"/>
      </w:divBdr>
    </w:div>
    <w:div w:id="494077637">
      <w:bodyDiv w:val="1"/>
      <w:marLeft w:val="0"/>
      <w:marRight w:val="0"/>
      <w:marTop w:val="0"/>
      <w:marBottom w:val="0"/>
      <w:divBdr>
        <w:top w:val="none" w:sz="0" w:space="0" w:color="auto"/>
        <w:left w:val="none" w:sz="0" w:space="0" w:color="auto"/>
        <w:bottom w:val="none" w:sz="0" w:space="0" w:color="auto"/>
        <w:right w:val="none" w:sz="0" w:space="0" w:color="auto"/>
      </w:divBdr>
    </w:div>
    <w:div w:id="494415420">
      <w:bodyDiv w:val="1"/>
      <w:marLeft w:val="0"/>
      <w:marRight w:val="0"/>
      <w:marTop w:val="0"/>
      <w:marBottom w:val="0"/>
      <w:divBdr>
        <w:top w:val="none" w:sz="0" w:space="0" w:color="auto"/>
        <w:left w:val="none" w:sz="0" w:space="0" w:color="auto"/>
        <w:bottom w:val="none" w:sz="0" w:space="0" w:color="auto"/>
        <w:right w:val="none" w:sz="0" w:space="0" w:color="auto"/>
      </w:divBdr>
    </w:div>
    <w:div w:id="495196772">
      <w:bodyDiv w:val="1"/>
      <w:marLeft w:val="0"/>
      <w:marRight w:val="0"/>
      <w:marTop w:val="0"/>
      <w:marBottom w:val="0"/>
      <w:divBdr>
        <w:top w:val="none" w:sz="0" w:space="0" w:color="auto"/>
        <w:left w:val="none" w:sz="0" w:space="0" w:color="auto"/>
        <w:bottom w:val="none" w:sz="0" w:space="0" w:color="auto"/>
        <w:right w:val="none" w:sz="0" w:space="0" w:color="auto"/>
      </w:divBdr>
    </w:div>
    <w:div w:id="495414359">
      <w:bodyDiv w:val="1"/>
      <w:marLeft w:val="0"/>
      <w:marRight w:val="0"/>
      <w:marTop w:val="0"/>
      <w:marBottom w:val="0"/>
      <w:divBdr>
        <w:top w:val="none" w:sz="0" w:space="0" w:color="auto"/>
        <w:left w:val="none" w:sz="0" w:space="0" w:color="auto"/>
        <w:bottom w:val="none" w:sz="0" w:space="0" w:color="auto"/>
        <w:right w:val="none" w:sz="0" w:space="0" w:color="auto"/>
      </w:divBdr>
    </w:div>
    <w:div w:id="495461085">
      <w:bodyDiv w:val="1"/>
      <w:marLeft w:val="0"/>
      <w:marRight w:val="0"/>
      <w:marTop w:val="0"/>
      <w:marBottom w:val="0"/>
      <w:divBdr>
        <w:top w:val="none" w:sz="0" w:space="0" w:color="auto"/>
        <w:left w:val="none" w:sz="0" w:space="0" w:color="auto"/>
        <w:bottom w:val="none" w:sz="0" w:space="0" w:color="auto"/>
        <w:right w:val="none" w:sz="0" w:space="0" w:color="auto"/>
      </w:divBdr>
    </w:div>
    <w:div w:id="495808310">
      <w:bodyDiv w:val="1"/>
      <w:marLeft w:val="0"/>
      <w:marRight w:val="0"/>
      <w:marTop w:val="0"/>
      <w:marBottom w:val="0"/>
      <w:divBdr>
        <w:top w:val="none" w:sz="0" w:space="0" w:color="auto"/>
        <w:left w:val="none" w:sz="0" w:space="0" w:color="auto"/>
        <w:bottom w:val="none" w:sz="0" w:space="0" w:color="auto"/>
        <w:right w:val="none" w:sz="0" w:space="0" w:color="auto"/>
      </w:divBdr>
    </w:div>
    <w:div w:id="495877670">
      <w:bodyDiv w:val="1"/>
      <w:marLeft w:val="0"/>
      <w:marRight w:val="0"/>
      <w:marTop w:val="0"/>
      <w:marBottom w:val="0"/>
      <w:divBdr>
        <w:top w:val="none" w:sz="0" w:space="0" w:color="auto"/>
        <w:left w:val="none" w:sz="0" w:space="0" w:color="auto"/>
        <w:bottom w:val="none" w:sz="0" w:space="0" w:color="auto"/>
        <w:right w:val="none" w:sz="0" w:space="0" w:color="auto"/>
      </w:divBdr>
    </w:div>
    <w:div w:id="496186790">
      <w:bodyDiv w:val="1"/>
      <w:marLeft w:val="0"/>
      <w:marRight w:val="0"/>
      <w:marTop w:val="0"/>
      <w:marBottom w:val="0"/>
      <w:divBdr>
        <w:top w:val="none" w:sz="0" w:space="0" w:color="auto"/>
        <w:left w:val="none" w:sz="0" w:space="0" w:color="auto"/>
        <w:bottom w:val="none" w:sz="0" w:space="0" w:color="auto"/>
        <w:right w:val="none" w:sz="0" w:space="0" w:color="auto"/>
      </w:divBdr>
    </w:div>
    <w:div w:id="498741475">
      <w:bodyDiv w:val="1"/>
      <w:marLeft w:val="0"/>
      <w:marRight w:val="0"/>
      <w:marTop w:val="0"/>
      <w:marBottom w:val="0"/>
      <w:divBdr>
        <w:top w:val="none" w:sz="0" w:space="0" w:color="auto"/>
        <w:left w:val="none" w:sz="0" w:space="0" w:color="auto"/>
        <w:bottom w:val="none" w:sz="0" w:space="0" w:color="auto"/>
        <w:right w:val="none" w:sz="0" w:space="0" w:color="auto"/>
      </w:divBdr>
    </w:div>
    <w:div w:id="499779266">
      <w:bodyDiv w:val="1"/>
      <w:marLeft w:val="0"/>
      <w:marRight w:val="0"/>
      <w:marTop w:val="0"/>
      <w:marBottom w:val="0"/>
      <w:divBdr>
        <w:top w:val="none" w:sz="0" w:space="0" w:color="auto"/>
        <w:left w:val="none" w:sz="0" w:space="0" w:color="auto"/>
        <w:bottom w:val="none" w:sz="0" w:space="0" w:color="auto"/>
        <w:right w:val="none" w:sz="0" w:space="0" w:color="auto"/>
      </w:divBdr>
    </w:div>
    <w:div w:id="499807511">
      <w:bodyDiv w:val="1"/>
      <w:marLeft w:val="0"/>
      <w:marRight w:val="0"/>
      <w:marTop w:val="0"/>
      <w:marBottom w:val="0"/>
      <w:divBdr>
        <w:top w:val="none" w:sz="0" w:space="0" w:color="auto"/>
        <w:left w:val="none" w:sz="0" w:space="0" w:color="auto"/>
        <w:bottom w:val="none" w:sz="0" w:space="0" w:color="auto"/>
        <w:right w:val="none" w:sz="0" w:space="0" w:color="auto"/>
      </w:divBdr>
    </w:div>
    <w:div w:id="500239170">
      <w:bodyDiv w:val="1"/>
      <w:marLeft w:val="0"/>
      <w:marRight w:val="0"/>
      <w:marTop w:val="0"/>
      <w:marBottom w:val="0"/>
      <w:divBdr>
        <w:top w:val="none" w:sz="0" w:space="0" w:color="auto"/>
        <w:left w:val="none" w:sz="0" w:space="0" w:color="auto"/>
        <w:bottom w:val="none" w:sz="0" w:space="0" w:color="auto"/>
        <w:right w:val="none" w:sz="0" w:space="0" w:color="auto"/>
      </w:divBdr>
    </w:div>
    <w:div w:id="501051193">
      <w:bodyDiv w:val="1"/>
      <w:marLeft w:val="0"/>
      <w:marRight w:val="0"/>
      <w:marTop w:val="0"/>
      <w:marBottom w:val="0"/>
      <w:divBdr>
        <w:top w:val="none" w:sz="0" w:space="0" w:color="auto"/>
        <w:left w:val="none" w:sz="0" w:space="0" w:color="auto"/>
        <w:bottom w:val="none" w:sz="0" w:space="0" w:color="auto"/>
        <w:right w:val="none" w:sz="0" w:space="0" w:color="auto"/>
      </w:divBdr>
    </w:div>
    <w:div w:id="502816831">
      <w:bodyDiv w:val="1"/>
      <w:marLeft w:val="0"/>
      <w:marRight w:val="0"/>
      <w:marTop w:val="0"/>
      <w:marBottom w:val="0"/>
      <w:divBdr>
        <w:top w:val="none" w:sz="0" w:space="0" w:color="auto"/>
        <w:left w:val="none" w:sz="0" w:space="0" w:color="auto"/>
        <w:bottom w:val="none" w:sz="0" w:space="0" w:color="auto"/>
        <w:right w:val="none" w:sz="0" w:space="0" w:color="auto"/>
      </w:divBdr>
    </w:div>
    <w:div w:id="502865567">
      <w:bodyDiv w:val="1"/>
      <w:marLeft w:val="0"/>
      <w:marRight w:val="0"/>
      <w:marTop w:val="0"/>
      <w:marBottom w:val="0"/>
      <w:divBdr>
        <w:top w:val="none" w:sz="0" w:space="0" w:color="auto"/>
        <w:left w:val="none" w:sz="0" w:space="0" w:color="auto"/>
        <w:bottom w:val="none" w:sz="0" w:space="0" w:color="auto"/>
        <w:right w:val="none" w:sz="0" w:space="0" w:color="auto"/>
      </w:divBdr>
    </w:div>
    <w:div w:id="503521456">
      <w:bodyDiv w:val="1"/>
      <w:marLeft w:val="0"/>
      <w:marRight w:val="0"/>
      <w:marTop w:val="0"/>
      <w:marBottom w:val="0"/>
      <w:divBdr>
        <w:top w:val="none" w:sz="0" w:space="0" w:color="auto"/>
        <w:left w:val="none" w:sz="0" w:space="0" w:color="auto"/>
        <w:bottom w:val="none" w:sz="0" w:space="0" w:color="auto"/>
        <w:right w:val="none" w:sz="0" w:space="0" w:color="auto"/>
      </w:divBdr>
    </w:div>
    <w:div w:id="503860278">
      <w:bodyDiv w:val="1"/>
      <w:marLeft w:val="0"/>
      <w:marRight w:val="0"/>
      <w:marTop w:val="0"/>
      <w:marBottom w:val="0"/>
      <w:divBdr>
        <w:top w:val="none" w:sz="0" w:space="0" w:color="auto"/>
        <w:left w:val="none" w:sz="0" w:space="0" w:color="auto"/>
        <w:bottom w:val="none" w:sz="0" w:space="0" w:color="auto"/>
        <w:right w:val="none" w:sz="0" w:space="0" w:color="auto"/>
      </w:divBdr>
    </w:div>
    <w:div w:id="504825555">
      <w:bodyDiv w:val="1"/>
      <w:marLeft w:val="0"/>
      <w:marRight w:val="0"/>
      <w:marTop w:val="0"/>
      <w:marBottom w:val="0"/>
      <w:divBdr>
        <w:top w:val="none" w:sz="0" w:space="0" w:color="auto"/>
        <w:left w:val="none" w:sz="0" w:space="0" w:color="auto"/>
        <w:bottom w:val="none" w:sz="0" w:space="0" w:color="auto"/>
        <w:right w:val="none" w:sz="0" w:space="0" w:color="auto"/>
      </w:divBdr>
    </w:div>
    <w:div w:id="505753760">
      <w:bodyDiv w:val="1"/>
      <w:marLeft w:val="0"/>
      <w:marRight w:val="0"/>
      <w:marTop w:val="0"/>
      <w:marBottom w:val="0"/>
      <w:divBdr>
        <w:top w:val="none" w:sz="0" w:space="0" w:color="auto"/>
        <w:left w:val="none" w:sz="0" w:space="0" w:color="auto"/>
        <w:bottom w:val="none" w:sz="0" w:space="0" w:color="auto"/>
        <w:right w:val="none" w:sz="0" w:space="0" w:color="auto"/>
      </w:divBdr>
    </w:div>
    <w:div w:id="506291114">
      <w:bodyDiv w:val="1"/>
      <w:marLeft w:val="0"/>
      <w:marRight w:val="0"/>
      <w:marTop w:val="0"/>
      <w:marBottom w:val="0"/>
      <w:divBdr>
        <w:top w:val="none" w:sz="0" w:space="0" w:color="auto"/>
        <w:left w:val="none" w:sz="0" w:space="0" w:color="auto"/>
        <w:bottom w:val="none" w:sz="0" w:space="0" w:color="auto"/>
        <w:right w:val="none" w:sz="0" w:space="0" w:color="auto"/>
      </w:divBdr>
    </w:div>
    <w:div w:id="506601673">
      <w:bodyDiv w:val="1"/>
      <w:marLeft w:val="0"/>
      <w:marRight w:val="0"/>
      <w:marTop w:val="0"/>
      <w:marBottom w:val="0"/>
      <w:divBdr>
        <w:top w:val="none" w:sz="0" w:space="0" w:color="auto"/>
        <w:left w:val="none" w:sz="0" w:space="0" w:color="auto"/>
        <w:bottom w:val="none" w:sz="0" w:space="0" w:color="auto"/>
        <w:right w:val="none" w:sz="0" w:space="0" w:color="auto"/>
      </w:divBdr>
    </w:div>
    <w:div w:id="506793928">
      <w:bodyDiv w:val="1"/>
      <w:marLeft w:val="0"/>
      <w:marRight w:val="0"/>
      <w:marTop w:val="0"/>
      <w:marBottom w:val="0"/>
      <w:divBdr>
        <w:top w:val="none" w:sz="0" w:space="0" w:color="auto"/>
        <w:left w:val="none" w:sz="0" w:space="0" w:color="auto"/>
        <w:bottom w:val="none" w:sz="0" w:space="0" w:color="auto"/>
        <w:right w:val="none" w:sz="0" w:space="0" w:color="auto"/>
      </w:divBdr>
    </w:div>
    <w:div w:id="507988976">
      <w:bodyDiv w:val="1"/>
      <w:marLeft w:val="0"/>
      <w:marRight w:val="0"/>
      <w:marTop w:val="0"/>
      <w:marBottom w:val="0"/>
      <w:divBdr>
        <w:top w:val="none" w:sz="0" w:space="0" w:color="auto"/>
        <w:left w:val="none" w:sz="0" w:space="0" w:color="auto"/>
        <w:bottom w:val="none" w:sz="0" w:space="0" w:color="auto"/>
        <w:right w:val="none" w:sz="0" w:space="0" w:color="auto"/>
      </w:divBdr>
    </w:div>
    <w:div w:id="508639847">
      <w:bodyDiv w:val="1"/>
      <w:marLeft w:val="0"/>
      <w:marRight w:val="0"/>
      <w:marTop w:val="0"/>
      <w:marBottom w:val="0"/>
      <w:divBdr>
        <w:top w:val="none" w:sz="0" w:space="0" w:color="auto"/>
        <w:left w:val="none" w:sz="0" w:space="0" w:color="auto"/>
        <w:bottom w:val="none" w:sz="0" w:space="0" w:color="auto"/>
        <w:right w:val="none" w:sz="0" w:space="0" w:color="auto"/>
      </w:divBdr>
    </w:div>
    <w:div w:id="508907917">
      <w:bodyDiv w:val="1"/>
      <w:marLeft w:val="0"/>
      <w:marRight w:val="0"/>
      <w:marTop w:val="0"/>
      <w:marBottom w:val="0"/>
      <w:divBdr>
        <w:top w:val="none" w:sz="0" w:space="0" w:color="auto"/>
        <w:left w:val="none" w:sz="0" w:space="0" w:color="auto"/>
        <w:bottom w:val="none" w:sz="0" w:space="0" w:color="auto"/>
        <w:right w:val="none" w:sz="0" w:space="0" w:color="auto"/>
      </w:divBdr>
    </w:div>
    <w:div w:id="509493759">
      <w:bodyDiv w:val="1"/>
      <w:marLeft w:val="0"/>
      <w:marRight w:val="0"/>
      <w:marTop w:val="0"/>
      <w:marBottom w:val="0"/>
      <w:divBdr>
        <w:top w:val="none" w:sz="0" w:space="0" w:color="auto"/>
        <w:left w:val="none" w:sz="0" w:space="0" w:color="auto"/>
        <w:bottom w:val="none" w:sz="0" w:space="0" w:color="auto"/>
        <w:right w:val="none" w:sz="0" w:space="0" w:color="auto"/>
      </w:divBdr>
    </w:div>
    <w:div w:id="510146154">
      <w:bodyDiv w:val="1"/>
      <w:marLeft w:val="0"/>
      <w:marRight w:val="0"/>
      <w:marTop w:val="0"/>
      <w:marBottom w:val="0"/>
      <w:divBdr>
        <w:top w:val="none" w:sz="0" w:space="0" w:color="auto"/>
        <w:left w:val="none" w:sz="0" w:space="0" w:color="auto"/>
        <w:bottom w:val="none" w:sz="0" w:space="0" w:color="auto"/>
        <w:right w:val="none" w:sz="0" w:space="0" w:color="auto"/>
      </w:divBdr>
    </w:div>
    <w:div w:id="511384085">
      <w:bodyDiv w:val="1"/>
      <w:marLeft w:val="0"/>
      <w:marRight w:val="0"/>
      <w:marTop w:val="0"/>
      <w:marBottom w:val="0"/>
      <w:divBdr>
        <w:top w:val="none" w:sz="0" w:space="0" w:color="auto"/>
        <w:left w:val="none" w:sz="0" w:space="0" w:color="auto"/>
        <w:bottom w:val="none" w:sz="0" w:space="0" w:color="auto"/>
        <w:right w:val="none" w:sz="0" w:space="0" w:color="auto"/>
      </w:divBdr>
    </w:div>
    <w:div w:id="512383387">
      <w:bodyDiv w:val="1"/>
      <w:marLeft w:val="0"/>
      <w:marRight w:val="0"/>
      <w:marTop w:val="0"/>
      <w:marBottom w:val="0"/>
      <w:divBdr>
        <w:top w:val="none" w:sz="0" w:space="0" w:color="auto"/>
        <w:left w:val="none" w:sz="0" w:space="0" w:color="auto"/>
        <w:bottom w:val="none" w:sz="0" w:space="0" w:color="auto"/>
        <w:right w:val="none" w:sz="0" w:space="0" w:color="auto"/>
      </w:divBdr>
    </w:div>
    <w:div w:id="513108120">
      <w:bodyDiv w:val="1"/>
      <w:marLeft w:val="0"/>
      <w:marRight w:val="0"/>
      <w:marTop w:val="0"/>
      <w:marBottom w:val="0"/>
      <w:divBdr>
        <w:top w:val="none" w:sz="0" w:space="0" w:color="auto"/>
        <w:left w:val="none" w:sz="0" w:space="0" w:color="auto"/>
        <w:bottom w:val="none" w:sz="0" w:space="0" w:color="auto"/>
        <w:right w:val="none" w:sz="0" w:space="0" w:color="auto"/>
      </w:divBdr>
    </w:div>
    <w:div w:id="513879523">
      <w:bodyDiv w:val="1"/>
      <w:marLeft w:val="0"/>
      <w:marRight w:val="0"/>
      <w:marTop w:val="0"/>
      <w:marBottom w:val="0"/>
      <w:divBdr>
        <w:top w:val="none" w:sz="0" w:space="0" w:color="auto"/>
        <w:left w:val="none" w:sz="0" w:space="0" w:color="auto"/>
        <w:bottom w:val="none" w:sz="0" w:space="0" w:color="auto"/>
        <w:right w:val="none" w:sz="0" w:space="0" w:color="auto"/>
      </w:divBdr>
    </w:div>
    <w:div w:id="516163647">
      <w:bodyDiv w:val="1"/>
      <w:marLeft w:val="0"/>
      <w:marRight w:val="0"/>
      <w:marTop w:val="0"/>
      <w:marBottom w:val="0"/>
      <w:divBdr>
        <w:top w:val="none" w:sz="0" w:space="0" w:color="auto"/>
        <w:left w:val="none" w:sz="0" w:space="0" w:color="auto"/>
        <w:bottom w:val="none" w:sz="0" w:space="0" w:color="auto"/>
        <w:right w:val="none" w:sz="0" w:space="0" w:color="auto"/>
      </w:divBdr>
    </w:div>
    <w:div w:id="516164833">
      <w:bodyDiv w:val="1"/>
      <w:marLeft w:val="0"/>
      <w:marRight w:val="0"/>
      <w:marTop w:val="0"/>
      <w:marBottom w:val="0"/>
      <w:divBdr>
        <w:top w:val="none" w:sz="0" w:space="0" w:color="auto"/>
        <w:left w:val="none" w:sz="0" w:space="0" w:color="auto"/>
        <w:bottom w:val="none" w:sz="0" w:space="0" w:color="auto"/>
        <w:right w:val="none" w:sz="0" w:space="0" w:color="auto"/>
      </w:divBdr>
    </w:div>
    <w:div w:id="516388026">
      <w:bodyDiv w:val="1"/>
      <w:marLeft w:val="0"/>
      <w:marRight w:val="0"/>
      <w:marTop w:val="0"/>
      <w:marBottom w:val="0"/>
      <w:divBdr>
        <w:top w:val="none" w:sz="0" w:space="0" w:color="auto"/>
        <w:left w:val="none" w:sz="0" w:space="0" w:color="auto"/>
        <w:bottom w:val="none" w:sz="0" w:space="0" w:color="auto"/>
        <w:right w:val="none" w:sz="0" w:space="0" w:color="auto"/>
      </w:divBdr>
    </w:div>
    <w:div w:id="516426989">
      <w:bodyDiv w:val="1"/>
      <w:marLeft w:val="0"/>
      <w:marRight w:val="0"/>
      <w:marTop w:val="0"/>
      <w:marBottom w:val="0"/>
      <w:divBdr>
        <w:top w:val="none" w:sz="0" w:space="0" w:color="auto"/>
        <w:left w:val="none" w:sz="0" w:space="0" w:color="auto"/>
        <w:bottom w:val="none" w:sz="0" w:space="0" w:color="auto"/>
        <w:right w:val="none" w:sz="0" w:space="0" w:color="auto"/>
      </w:divBdr>
    </w:div>
    <w:div w:id="516624195">
      <w:bodyDiv w:val="1"/>
      <w:marLeft w:val="0"/>
      <w:marRight w:val="0"/>
      <w:marTop w:val="0"/>
      <w:marBottom w:val="0"/>
      <w:divBdr>
        <w:top w:val="none" w:sz="0" w:space="0" w:color="auto"/>
        <w:left w:val="none" w:sz="0" w:space="0" w:color="auto"/>
        <w:bottom w:val="none" w:sz="0" w:space="0" w:color="auto"/>
        <w:right w:val="none" w:sz="0" w:space="0" w:color="auto"/>
      </w:divBdr>
    </w:div>
    <w:div w:id="516891494">
      <w:bodyDiv w:val="1"/>
      <w:marLeft w:val="0"/>
      <w:marRight w:val="0"/>
      <w:marTop w:val="0"/>
      <w:marBottom w:val="0"/>
      <w:divBdr>
        <w:top w:val="none" w:sz="0" w:space="0" w:color="auto"/>
        <w:left w:val="none" w:sz="0" w:space="0" w:color="auto"/>
        <w:bottom w:val="none" w:sz="0" w:space="0" w:color="auto"/>
        <w:right w:val="none" w:sz="0" w:space="0" w:color="auto"/>
      </w:divBdr>
    </w:div>
    <w:div w:id="516967216">
      <w:bodyDiv w:val="1"/>
      <w:marLeft w:val="0"/>
      <w:marRight w:val="0"/>
      <w:marTop w:val="0"/>
      <w:marBottom w:val="0"/>
      <w:divBdr>
        <w:top w:val="none" w:sz="0" w:space="0" w:color="auto"/>
        <w:left w:val="none" w:sz="0" w:space="0" w:color="auto"/>
        <w:bottom w:val="none" w:sz="0" w:space="0" w:color="auto"/>
        <w:right w:val="none" w:sz="0" w:space="0" w:color="auto"/>
      </w:divBdr>
    </w:div>
    <w:div w:id="518088299">
      <w:bodyDiv w:val="1"/>
      <w:marLeft w:val="0"/>
      <w:marRight w:val="0"/>
      <w:marTop w:val="0"/>
      <w:marBottom w:val="0"/>
      <w:divBdr>
        <w:top w:val="none" w:sz="0" w:space="0" w:color="auto"/>
        <w:left w:val="none" w:sz="0" w:space="0" w:color="auto"/>
        <w:bottom w:val="none" w:sz="0" w:space="0" w:color="auto"/>
        <w:right w:val="none" w:sz="0" w:space="0" w:color="auto"/>
      </w:divBdr>
    </w:div>
    <w:div w:id="519047263">
      <w:bodyDiv w:val="1"/>
      <w:marLeft w:val="0"/>
      <w:marRight w:val="0"/>
      <w:marTop w:val="0"/>
      <w:marBottom w:val="0"/>
      <w:divBdr>
        <w:top w:val="none" w:sz="0" w:space="0" w:color="auto"/>
        <w:left w:val="none" w:sz="0" w:space="0" w:color="auto"/>
        <w:bottom w:val="none" w:sz="0" w:space="0" w:color="auto"/>
        <w:right w:val="none" w:sz="0" w:space="0" w:color="auto"/>
      </w:divBdr>
    </w:div>
    <w:div w:id="520555705">
      <w:bodyDiv w:val="1"/>
      <w:marLeft w:val="0"/>
      <w:marRight w:val="0"/>
      <w:marTop w:val="0"/>
      <w:marBottom w:val="0"/>
      <w:divBdr>
        <w:top w:val="none" w:sz="0" w:space="0" w:color="auto"/>
        <w:left w:val="none" w:sz="0" w:space="0" w:color="auto"/>
        <w:bottom w:val="none" w:sz="0" w:space="0" w:color="auto"/>
        <w:right w:val="none" w:sz="0" w:space="0" w:color="auto"/>
      </w:divBdr>
    </w:div>
    <w:div w:id="521406601">
      <w:bodyDiv w:val="1"/>
      <w:marLeft w:val="0"/>
      <w:marRight w:val="0"/>
      <w:marTop w:val="0"/>
      <w:marBottom w:val="0"/>
      <w:divBdr>
        <w:top w:val="none" w:sz="0" w:space="0" w:color="auto"/>
        <w:left w:val="none" w:sz="0" w:space="0" w:color="auto"/>
        <w:bottom w:val="none" w:sz="0" w:space="0" w:color="auto"/>
        <w:right w:val="none" w:sz="0" w:space="0" w:color="auto"/>
      </w:divBdr>
    </w:div>
    <w:div w:id="521553564">
      <w:bodyDiv w:val="1"/>
      <w:marLeft w:val="0"/>
      <w:marRight w:val="0"/>
      <w:marTop w:val="0"/>
      <w:marBottom w:val="0"/>
      <w:divBdr>
        <w:top w:val="none" w:sz="0" w:space="0" w:color="auto"/>
        <w:left w:val="none" w:sz="0" w:space="0" w:color="auto"/>
        <w:bottom w:val="none" w:sz="0" w:space="0" w:color="auto"/>
        <w:right w:val="none" w:sz="0" w:space="0" w:color="auto"/>
      </w:divBdr>
    </w:div>
    <w:div w:id="522328326">
      <w:bodyDiv w:val="1"/>
      <w:marLeft w:val="0"/>
      <w:marRight w:val="0"/>
      <w:marTop w:val="0"/>
      <w:marBottom w:val="0"/>
      <w:divBdr>
        <w:top w:val="none" w:sz="0" w:space="0" w:color="auto"/>
        <w:left w:val="none" w:sz="0" w:space="0" w:color="auto"/>
        <w:bottom w:val="none" w:sz="0" w:space="0" w:color="auto"/>
        <w:right w:val="none" w:sz="0" w:space="0" w:color="auto"/>
      </w:divBdr>
    </w:div>
    <w:div w:id="522716677">
      <w:bodyDiv w:val="1"/>
      <w:marLeft w:val="0"/>
      <w:marRight w:val="0"/>
      <w:marTop w:val="0"/>
      <w:marBottom w:val="0"/>
      <w:divBdr>
        <w:top w:val="none" w:sz="0" w:space="0" w:color="auto"/>
        <w:left w:val="none" w:sz="0" w:space="0" w:color="auto"/>
        <w:bottom w:val="none" w:sz="0" w:space="0" w:color="auto"/>
        <w:right w:val="none" w:sz="0" w:space="0" w:color="auto"/>
      </w:divBdr>
    </w:div>
    <w:div w:id="523909393">
      <w:bodyDiv w:val="1"/>
      <w:marLeft w:val="0"/>
      <w:marRight w:val="0"/>
      <w:marTop w:val="0"/>
      <w:marBottom w:val="0"/>
      <w:divBdr>
        <w:top w:val="none" w:sz="0" w:space="0" w:color="auto"/>
        <w:left w:val="none" w:sz="0" w:space="0" w:color="auto"/>
        <w:bottom w:val="none" w:sz="0" w:space="0" w:color="auto"/>
        <w:right w:val="none" w:sz="0" w:space="0" w:color="auto"/>
      </w:divBdr>
    </w:div>
    <w:div w:id="524058307">
      <w:bodyDiv w:val="1"/>
      <w:marLeft w:val="0"/>
      <w:marRight w:val="0"/>
      <w:marTop w:val="0"/>
      <w:marBottom w:val="0"/>
      <w:divBdr>
        <w:top w:val="none" w:sz="0" w:space="0" w:color="auto"/>
        <w:left w:val="none" w:sz="0" w:space="0" w:color="auto"/>
        <w:bottom w:val="none" w:sz="0" w:space="0" w:color="auto"/>
        <w:right w:val="none" w:sz="0" w:space="0" w:color="auto"/>
      </w:divBdr>
    </w:div>
    <w:div w:id="525099392">
      <w:bodyDiv w:val="1"/>
      <w:marLeft w:val="0"/>
      <w:marRight w:val="0"/>
      <w:marTop w:val="0"/>
      <w:marBottom w:val="0"/>
      <w:divBdr>
        <w:top w:val="none" w:sz="0" w:space="0" w:color="auto"/>
        <w:left w:val="none" w:sz="0" w:space="0" w:color="auto"/>
        <w:bottom w:val="none" w:sz="0" w:space="0" w:color="auto"/>
        <w:right w:val="none" w:sz="0" w:space="0" w:color="auto"/>
      </w:divBdr>
    </w:div>
    <w:div w:id="526331154">
      <w:bodyDiv w:val="1"/>
      <w:marLeft w:val="0"/>
      <w:marRight w:val="0"/>
      <w:marTop w:val="0"/>
      <w:marBottom w:val="0"/>
      <w:divBdr>
        <w:top w:val="none" w:sz="0" w:space="0" w:color="auto"/>
        <w:left w:val="none" w:sz="0" w:space="0" w:color="auto"/>
        <w:bottom w:val="none" w:sz="0" w:space="0" w:color="auto"/>
        <w:right w:val="none" w:sz="0" w:space="0" w:color="auto"/>
      </w:divBdr>
    </w:div>
    <w:div w:id="527333032">
      <w:bodyDiv w:val="1"/>
      <w:marLeft w:val="0"/>
      <w:marRight w:val="0"/>
      <w:marTop w:val="0"/>
      <w:marBottom w:val="0"/>
      <w:divBdr>
        <w:top w:val="none" w:sz="0" w:space="0" w:color="auto"/>
        <w:left w:val="none" w:sz="0" w:space="0" w:color="auto"/>
        <w:bottom w:val="none" w:sz="0" w:space="0" w:color="auto"/>
        <w:right w:val="none" w:sz="0" w:space="0" w:color="auto"/>
      </w:divBdr>
    </w:div>
    <w:div w:id="528182647">
      <w:bodyDiv w:val="1"/>
      <w:marLeft w:val="0"/>
      <w:marRight w:val="0"/>
      <w:marTop w:val="0"/>
      <w:marBottom w:val="0"/>
      <w:divBdr>
        <w:top w:val="none" w:sz="0" w:space="0" w:color="auto"/>
        <w:left w:val="none" w:sz="0" w:space="0" w:color="auto"/>
        <w:bottom w:val="none" w:sz="0" w:space="0" w:color="auto"/>
        <w:right w:val="none" w:sz="0" w:space="0" w:color="auto"/>
      </w:divBdr>
    </w:div>
    <w:div w:id="529074769">
      <w:bodyDiv w:val="1"/>
      <w:marLeft w:val="0"/>
      <w:marRight w:val="0"/>
      <w:marTop w:val="0"/>
      <w:marBottom w:val="0"/>
      <w:divBdr>
        <w:top w:val="none" w:sz="0" w:space="0" w:color="auto"/>
        <w:left w:val="none" w:sz="0" w:space="0" w:color="auto"/>
        <w:bottom w:val="none" w:sz="0" w:space="0" w:color="auto"/>
        <w:right w:val="none" w:sz="0" w:space="0" w:color="auto"/>
      </w:divBdr>
    </w:div>
    <w:div w:id="529420004">
      <w:bodyDiv w:val="1"/>
      <w:marLeft w:val="0"/>
      <w:marRight w:val="0"/>
      <w:marTop w:val="0"/>
      <w:marBottom w:val="0"/>
      <w:divBdr>
        <w:top w:val="none" w:sz="0" w:space="0" w:color="auto"/>
        <w:left w:val="none" w:sz="0" w:space="0" w:color="auto"/>
        <w:bottom w:val="none" w:sz="0" w:space="0" w:color="auto"/>
        <w:right w:val="none" w:sz="0" w:space="0" w:color="auto"/>
      </w:divBdr>
    </w:div>
    <w:div w:id="532038112">
      <w:bodyDiv w:val="1"/>
      <w:marLeft w:val="0"/>
      <w:marRight w:val="0"/>
      <w:marTop w:val="0"/>
      <w:marBottom w:val="0"/>
      <w:divBdr>
        <w:top w:val="none" w:sz="0" w:space="0" w:color="auto"/>
        <w:left w:val="none" w:sz="0" w:space="0" w:color="auto"/>
        <w:bottom w:val="none" w:sz="0" w:space="0" w:color="auto"/>
        <w:right w:val="none" w:sz="0" w:space="0" w:color="auto"/>
      </w:divBdr>
    </w:div>
    <w:div w:id="532155127">
      <w:bodyDiv w:val="1"/>
      <w:marLeft w:val="0"/>
      <w:marRight w:val="0"/>
      <w:marTop w:val="0"/>
      <w:marBottom w:val="0"/>
      <w:divBdr>
        <w:top w:val="none" w:sz="0" w:space="0" w:color="auto"/>
        <w:left w:val="none" w:sz="0" w:space="0" w:color="auto"/>
        <w:bottom w:val="none" w:sz="0" w:space="0" w:color="auto"/>
        <w:right w:val="none" w:sz="0" w:space="0" w:color="auto"/>
      </w:divBdr>
    </w:div>
    <w:div w:id="533078429">
      <w:bodyDiv w:val="1"/>
      <w:marLeft w:val="0"/>
      <w:marRight w:val="0"/>
      <w:marTop w:val="0"/>
      <w:marBottom w:val="0"/>
      <w:divBdr>
        <w:top w:val="none" w:sz="0" w:space="0" w:color="auto"/>
        <w:left w:val="none" w:sz="0" w:space="0" w:color="auto"/>
        <w:bottom w:val="none" w:sz="0" w:space="0" w:color="auto"/>
        <w:right w:val="none" w:sz="0" w:space="0" w:color="auto"/>
      </w:divBdr>
    </w:div>
    <w:div w:id="533347167">
      <w:bodyDiv w:val="1"/>
      <w:marLeft w:val="0"/>
      <w:marRight w:val="0"/>
      <w:marTop w:val="0"/>
      <w:marBottom w:val="0"/>
      <w:divBdr>
        <w:top w:val="none" w:sz="0" w:space="0" w:color="auto"/>
        <w:left w:val="none" w:sz="0" w:space="0" w:color="auto"/>
        <w:bottom w:val="none" w:sz="0" w:space="0" w:color="auto"/>
        <w:right w:val="none" w:sz="0" w:space="0" w:color="auto"/>
      </w:divBdr>
    </w:div>
    <w:div w:id="533348917">
      <w:bodyDiv w:val="1"/>
      <w:marLeft w:val="0"/>
      <w:marRight w:val="0"/>
      <w:marTop w:val="0"/>
      <w:marBottom w:val="0"/>
      <w:divBdr>
        <w:top w:val="none" w:sz="0" w:space="0" w:color="auto"/>
        <w:left w:val="none" w:sz="0" w:space="0" w:color="auto"/>
        <w:bottom w:val="none" w:sz="0" w:space="0" w:color="auto"/>
        <w:right w:val="none" w:sz="0" w:space="0" w:color="auto"/>
      </w:divBdr>
    </w:div>
    <w:div w:id="534587879">
      <w:bodyDiv w:val="1"/>
      <w:marLeft w:val="0"/>
      <w:marRight w:val="0"/>
      <w:marTop w:val="0"/>
      <w:marBottom w:val="0"/>
      <w:divBdr>
        <w:top w:val="none" w:sz="0" w:space="0" w:color="auto"/>
        <w:left w:val="none" w:sz="0" w:space="0" w:color="auto"/>
        <w:bottom w:val="none" w:sz="0" w:space="0" w:color="auto"/>
        <w:right w:val="none" w:sz="0" w:space="0" w:color="auto"/>
      </w:divBdr>
    </w:div>
    <w:div w:id="535390837">
      <w:bodyDiv w:val="1"/>
      <w:marLeft w:val="0"/>
      <w:marRight w:val="0"/>
      <w:marTop w:val="0"/>
      <w:marBottom w:val="0"/>
      <w:divBdr>
        <w:top w:val="none" w:sz="0" w:space="0" w:color="auto"/>
        <w:left w:val="none" w:sz="0" w:space="0" w:color="auto"/>
        <w:bottom w:val="none" w:sz="0" w:space="0" w:color="auto"/>
        <w:right w:val="none" w:sz="0" w:space="0" w:color="auto"/>
      </w:divBdr>
    </w:div>
    <w:div w:id="535432982">
      <w:bodyDiv w:val="1"/>
      <w:marLeft w:val="0"/>
      <w:marRight w:val="0"/>
      <w:marTop w:val="0"/>
      <w:marBottom w:val="0"/>
      <w:divBdr>
        <w:top w:val="none" w:sz="0" w:space="0" w:color="auto"/>
        <w:left w:val="none" w:sz="0" w:space="0" w:color="auto"/>
        <w:bottom w:val="none" w:sz="0" w:space="0" w:color="auto"/>
        <w:right w:val="none" w:sz="0" w:space="0" w:color="auto"/>
      </w:divBdr>
    </w:div>
    <w:div w:id="535775351">
      <w:bodyDiv w:val="1"/>
      <w:marLeft w:val="0"/>
      <w:marRight w:val="0"/>
      <w:marTop w:val="0"/>
      <w:marBottom w:val="0"/>
      <w:divBdr>
        <w:top w:val="none" w:sz="0" w:space="0" w:color="auto"/>
        <w:left w:val="none" w:sz="0" w:space="0" w:color="auto"/>
        <w:bottom w:val="none" w:sz="0" w:space="0" w:color="auto"/>
        <w:right w:val="none" w:sz="0" w:space="0" w:color="auto"/>
      </w:divBdr>
    </w:div>
    <w:div w:id="535850979">
      <w:bodyDiv w:val="1"/>
      <w:marLeft w:val="0"/>
      <w:marRight w:val="0"/>
      <w:marTop w:val="0"/>
      <w:marBottom w:val="0"/>
      <w:divBdr>
        <w:top w:val="none" w:sz="0" w:space="0" w:color="auto"/>
        <w:left w:val="none" w:sz="0" w:space="0" w:color="auto"/>
        <w:bottom w:val="none" w:sz="0" w:space="0" w:color="auto"/>
        <w:right w:val="none" w:sz="0" w:space="0" w:color="auto"/>
      </w:divBdr>
    </w:div>
    <w:div w:id="535974190">
      <w:bodyDiv w:val="1"/>
      <w:marLeft w:val="0"/>
      <w:marRight w:val="0"/>
      <w:marTop w:val="0"/>
      <w:marBottom w:val="0"/>
      <w:divBdr>
        <w:top w:val="none" w:sz="0" w:space="0" w:color="auto"/>
        <w:left w:val="none" w:sz="0" w:space="0" w:color="auto"/>
        <w:bottom w:val="none" w:sz="0" w:space="0" w:color="auto"/>
        <w:right w:val="none" w:sz="0" w:space="0" w:color="auto"/>
      </w:divBdr>
    </w:div>
    <w:div w:id="536282326">
      <w:bodyDiv w:val="1"/>
      <w:marLeft w:val="0"/>
      <w:marRight w:val="0"/>
      <w:marTop w:val="0"/>
      <w:marBottom w:val="0"/>
      <w:divBdr>
        <w:top w:val="none" w:sz="0" w:space="0" w:color="auto"/>
        <w:left w:val="none" w:sz="0" w:space="0" w:color="auto"/>
        <w:bottom w:val="none" w:sz="0" w:space="0" w:color="auto"/>
        <w:right w:val="none" w:sz="0" w:space="0" w:color="auto"/>
      </w:divBdr>
    </w:div>
    <w:div w:id="536431080">
      <w:bodyDiv w:val="1"/>
      <w:marLeft w:val="0"/>
      <w:marRight w:val="0"/>
      <w:marTop w:val="0"/>
      <w:marBottom w:val="0"/>
      <w:divBdr>
        <w:top w:val="none" w:sz="0" w:space="0" w:color="auto"/>
        <w:left w:val="none" w:sz="0" w:space="0" w:color="auto"/>
        <w:bottom w:val="none" w:sz="0" w:space="0" w:color="auto"/>
        <w:right w:val="none" w:sz="0" w:space="0" w:color="auto"/>
      </w:divBdr>
    </w:div>
    <w:div w:id="536817834">
      <w:bodyDiv w:val="1"/>
      <w:marLeft w:val="0"/>
      <w:marRight w:val="0"/>
      <w:marTop w:val="0"/>
      <w:marBottom w:val="0"/>
      <w:divBdr>
        <w:top w:val="none" w:sz="0" w:space="0" w:color="auto"/>
        <w:left w:val="none" w:sz="0" w:space="0" w:color="auto"/>
        <w:bottom w:val="none" w:sz="0" w:space="0" w:color="auto"/>
        <w:right w:val="none" w:sz="0" w:space="0" w:color="auto"/>
      </w:divBdr>
    </w:div>
    <w:div w:id="536937254">
      <w:bodyDiv w:val="1"/>
      <w:marLeft w:val="0"/>
      <w:marRight w:val="0"/>
      <w:marTop w:val="0"/>
      <w:marBottom w:val="0"/>
      <w:divBdr>
        <w:top w:val="none" w:sz="0" w:space="0" w:color="auto"/>
        <w:left w:val="none" w:sz="0" w:space="0" w:color="auto"/>
        <w:bottom w:val="none" w:sz="0" w:space="0" w:color="auto"/>
        <w:right w:val="none" w:sz="0" w:space="0" w:color="auto"/>
      </w:divBdr>
    </w:div>
    <w:div w:id="537006489">
      <w:bodyDiv w:val="1"/>
      <w:marLeft w:val="0"/>
      <w:marRight w:val="0"/>
      <w:marTop w:val="0"/>
      <w:marBottom w:val="0"/>
      <w:divBdr>
        <w:top w:val="none" w:sz="0" w:space="0" w:color="auto"/>
        <w:left w:val="none" w:sz="0" w:space="0" w:color="auto"/>
        <w:bottom w:val="none" w:sz="0" w:space="0" w:color="auto"/>
        <w:right w:val="none" w:sz="0" w:space="0" w:color="auto"/>
      </w:divBdr>
    </w:div>
    <w:div w:id="537163144">
      <w:bodyDiv w:val="1"/>
      <w:marLeft w:val="0"/>
      <w:marRight w:val="0"/>
      <w:marTop w:val="0"/>
      <w:marBottom w:val="0"/>
      <w:divBdr>
        <w:top w:val="none" w:sz="0" w:space="0" w:color="auto"/>
        <w:left w:val="none" w:sz="0" w:space="0" w:color="auto"/>
        <w:bottom w:val="none" w:sz="0" w:space="0" w:color="auto"/>
        <w:right w:val="none" w:sz="0" w:space="0" w:color="auto"/>
      </w:divBdr>
    </w:div>
    <w:div w:id="537425953">
      <w:bodyDiv w:val="1"/>
      <w:marLeft w:val="0"/>
      <w:marRight w:val="0"/>
      <w:marTop w:val="0"/>
      <w:marBottom w:val="0"/>
      <w:divBdr>
        <w:top w:val="none" w:sz="0" w:space="0" w:color="auto"/>
        <w:left w:val="none" w:sz="0" w:space="0" w:color="auto"/>
        <w:bottom w:val="none" w:sz="0" w:space="0" w:color="auto"/>
        <w:right w:val="none" w:sz="0" w:space="0" w:color="auto"/>
      </w:divBdr>
    </w:div>
    <w:div w:id="538013754">
      <w:bodyDiv w:val="1"/>
      <w:marLeft w:val="0"/>
      <w:marRight w:val="0"/>
      <w:marTop w:val="0"/>
      <w:marBottom w:val="0"/>
      <w:divBdr>
        <w:top w:val="none" w:sz="0" w:space="0" w:color="auto"/>
        <w:left w:val="none" w:sz="0" w:space="0" w:color="auto"/>
        <w:bottom w:val="none" w:sz="0" w:space="0" w:color="auto"/>
        <w:right w:val="none" w:sz="0" w:space="0" w:color="auto"/>
      </w:divBdr>
    </w:div>
    <w:div w:id="538399389">
      <w:bodyDiv w:val="1"/>
      <w:marLeft w:val="0"/>
      <w:marRight w:val="0"/>
      <w:marTop w:val="0"/>
      <w:marBottom w:val="0"/>
      <w:divBdr>
        <w:top w:val="none" w:sz="0" w:space="0" w:color="auto"/>
        <w:left w:val="none" w:sz="0" w:space="0" w:color="auto"/>
        <w:bottom w:val="none" w:sz="0" w:space="0" w:color="auto"/>
        <w:right w:val="none" w:sz="0" w:space="0" w:color="auto"/>
      </w:divBdr>
    </w:div>
    <w:div w:id="539514691">
      <w:bodyDiv w:val="1"/>
      <w:marLeft w:val="0"/>
      <w:marRight w:val="0"/>
      <w:marTop w:val="0"/>
      <w:marBottom w:val="0"/>
      <w:divBdr>
        <w:top w:val="none" w:sz="0" w:space="0" w:color="auto"/>
        <w:left w:val="none" w:sz="0" w:space="0" w:color="auto"/>
        <w:bottom w:val="none" w:sz="0" w:space="0" w:color="auto"/>
        <w:right w:val="none" w:sz="0" w:space="0" w:color="auto"/>
      </w:divBdr>
    </w:div>
    <w:div w:id="539589509">
      <w:bodyDiv w:val="1"/>
      <w:marLeft w:val="0"/>
      <w:marRight w:val="0"/>
      <w:marTop w:val="0"/>
      <w:marBottom w:val="0"/>
      <w:divBdr>
        <w:top w:val="none" w:sz="0" w:space="0" w:color="auto"/>
        <w:left w:val="none" w:sz="0" w:space="0" w:color="auto"/>
        <w:bottom w:val="none" w:sz="0" w:space="0" w:color="auto"/>
        <w:right w:val="none" w:sz="0" w:space="0" w:color="auto"/>
      </w:divBdr>
    </w:div>
    <w:div w:id="539899880">
      <w:bodyDiv w:val="1"/>
      <w:marLeft w:val="0"/>
      <w:marRight w:val="0"/>
      <w:marTop w:val="0"/>
      <w:marBottom w:val="0"/>
      <w:divBdr>
        <w:top w:val="none" w:sz="0" w:space="0" w:color="auto"/>
        <w:left w:val="none" w:sz="0" w:space="0" w:color="auto"/>
        <w:bottom w:val="none" w:sz="0" w:space="0" w:color="auto"/>
        <w:right w:val="none" w:sz="0" w:space="0" w:color="auto"/>
      </w:divBdr>
    </w:div>
    <w:div w:id="540437032">
      <w:bodyDiv w:val="1"/>
      <w:marLeft w:val="0"/>
      <w:marRight w:val="0"/>
      <w:marTop w:val="0"/>
      <w:marBottom w:val="0"/>
      <w:divBdr>
        <w:top w:val="none" w:sz="0" w:space="0" w:color="auto"/>
        <w:left w:val="none" w:sz="0" w:space="0" w:color="auto"/>
        <w:bottom w:val="none" w:sz="0" w:space="0" w:color="auto"/>
        <w:right w:val="none" w:sz="0" w:space="0" w:color="auto"/>
      </w:divBdr>
    </w:div>
    <w:div w:id="540752083">
      <w:bodyDiv w:val="1"/>
      <w:marLeft w:val="0"/>
      <w:marRight w:val="0"/>
      <w:marTop w:val="0"/>
      <w:marBottom w:val="0"/>
      <w:divBdr>
        <w:top w:val="none" w:sz="0" w:space="0" w:color="auto"/>
        <w:left w:val="none" w:sz="0" w:space="0" w:color="auto"/>
        <w:bottom w:val="none" w:sz="0" w:space="0" w:color="auto"/>
        <w:right w:val="none" w:sz="0" w:space="0" w:color="auto"/>
      </w:divBdr>
    </w:div>
    <w:div w:id="540752287">
      <w:bodyDiv w:val="1"/>
      <w:marLeft w:val="0"/>
      <w:marRight w:val="0"/>
      <w:marTop w:val="0"/>
      <w:marBottom w:val="0"/>
      <w:divBdr>
        <w:top w:val="none" w:sz="0" w:space="0" w:color="auto"/>
        <w:left w:val="none" w:sz="0" w:space="0" w:color="auto"/>
        <w:bottom w:val="none" w:sz="0" w:space="0" w:color="auto"/>
        <w:right w:val="none" w:sz="0" w:space="0" w:color="auto"/>
      </w:divBdr>
    </w:div>
    <w:div w:id="541407031">
      <w:bodyDiv w:val="1"/>
      <w:marLeft w:val="0"/>
      <w:marRight w:val="0"/>
      <w:marTop w:val="0"/>
      <w:marBottom w:val="0"/>
      <w:divBdr>
        <w:top w:val="none" w:sz="0" w:space="0" w:color="auto"/>
        <w:left w:val="none" w:sz="0" w:space="0" w:color="auto"/>
        <w:bottom w:val="none" w:sz="0" w:space="0" w:color="auto"/>
        <w:right w:val="none" w:sz="0" w:space="0" w:color="auto"/>
      </w:divBdr>
    </w:div>
    <w:div w:id="542208820">
      <w:bodyDiv w:val="1"/>
      <w:marLeft w:val="0"/>
      <w:marRight w:val="0"/>
      <w:marTop w:val="0"/>
      <w:marBottom w:val="0"/>
      <w:divBdr>
        <w:top w:val="none" w:sz="0" w:space="0" w:color="auto"/>
        <w:left w:val="none" w:sz="0" w:space="0" w:color="auto"/>
        <w:bottom w:val="none" w:sz="0" w:space="0" w:color="auto"/>
        <w:right w:val="none" w:sz="0" w:space="0" w:color="auto"/>
      </w:divBdr>
    </w:div>
    <w:div w:id="542250250">
      <w:bodyDiv w:val="1"/>
      <w:marLeft w:val="0"/>
      <w:marRight w:val="0"/>
      <w:marTop w:val="0"/>
      <w:marBottom w:val="0"/>
      <w:divBdr>
        <w:top w:val="none" w:sz="0" w:space="0" w:color="auto"/>
        <w:left w:val="none" w:sz="0" w:space="0" w:color="auto"/>
        <w:bottom w:val="none" w:sz="0" w:space="0" w:color="auto"/>
        <w:right w:val="none" w:sz="0" w:space="0" w:color="auto"/>
      </w:divBdr>
    </w:div>
    <w:div w:id="542331459">
      <w:bodyDiv w:val="1"/>
      <w:marLeft w:val="0"/>
      <w:marRight w:val="0"/>
      <w:marTop w:val="0"/>
      <w:marBottom w:val="0"/>
      <w:divBdr>
        <w:top w:val="none" w:sz="0" w:space="0" w:color="auto"/>
        <w:left w:val="none" w:sz="0" w:space="0" w:color="auto"/>
        <w:bottom w:val="none" w:sz="0" w:space="0" w:color="auto"/>
        <w:right w:val="none" w:sz="0" w:space="0" w:color="auto"/>
      </w:divBdr>
    </w:div>
    <w:div w:id="543756962">
      <w:bodyDiv w:val="1"/>
      <w:marLeft w:val="0"/>
      <w:marRight w:val="0"/>
      <w:marTop w:val="0"/>
      <w:marBottom w:val="0"/>
      <w:divBdr>
        <w:top w:val="none" w:sz="0" w:space="0" w:color="auto"/>
        <w:left w:val="none" w:sz="0" w:space="0" w:color="auto"/>
        <w:bottom w:val="none" w:sz="0" w:space="0" w:color="auto"/>
        <w:right w:val="none" w:sz="0" w:space="0" w:color="auto"/>
      </w:divBdr>
    </w:div>
    <w:div w:id="545993393">
      <w:bodyDiv w:val="1"/>
      <w:marLeft w:val="0"/>
      <w:marRight w:val="0"/>
      <w:marTop w:val="0"/>
      <w:marBottom w:val="0"/>
      <w:divBdr>
        <w:top w:val="none" w:sz="0" w:space="0" w:color="auto"/>
        <w:left w:val="none" w:sz="0" w:space="0" w:color="auto"/>
        <w:bottom w:val="none" w:sz="0" w:space="0" w:color="auto"/>
        <w:right w:val="none" w:sz="0" w:space="0" w:color="auto"/>
      </w:divBdr>
    </w:div>
    <w:div w:id="547573406">
      <w:bodyDiv w:val="1"/>
      <w:marLeft w:val="0"/>
      <w:marRight w:val="0"/>
      <w:marTop w:val="0"/>
      <w:marBottom w:val="0"/>
      <w:divBdr>
        <w:top w:val="none" w:sz="0" w:space="0" w:color="auto"/>
        <w:left w:val="none" w:sz="0" w:space="0" w:color="auto"/>
        <w:bottom w:val="none" w:sz="0" w:space="0" w:color="auto"/>
        <w:right w:val="none" w:sz="0" w:space="0" w:color="auto"/>
      </w:divBdr>
    </w:div>
    <w:div w:id="547913424">
      <w:bodyDiv w:val="1"/>
      <w:marLeft w:val="0"/>
      <w:marRight w:val="0"/>
      <w:marTop w:val="0"/>
      <w:marBottom w:val="0"/>
      <w:divBdr>
        <w:top w:val="none" w:sz="0" w:space="0" w:color="auto"/>
        <w:left w:val="none" w:sz="0" w:space="0" w:color="auto"/>
        <w:bottom w:val="none" w:sz="0" w:space="0" w:color="auto"/>
        <w:right w:val="none" w:sz="0" w:space="0" w:color="auto"/>
      </w:divBdr>
    </w:div>
    <w:div w:id="548617673">
      <w:bodyDiv w:val="1"/>
      <w:marLeft w:val="0"/>
      <w:marRight w:val="0"/>
      <w:marTop w:val="0"/>
      <w:marBottom w:val="0"/>
      <w:divBdr>
        <w:top w:val="none" w:sz="0" w:space="0" w:color="auto"/>
        <w:left w:val="none" w:sz="0" w:space="0" w:color="auto"/>
        <w:bottom w:val="none" w:sz="0" w:space="0" w:color="auto"/>
        <w:right w:val="none" w:sz="0" w:space="0" w:color="auto"/>
      </w:divBdr>
    </w:div>
    <w:div w:id="550650860">
      <w:bodyDiv w:val="1"/>
      <w:marLeft w:val="0"/>
      <w:marRight w:val="0"/>
      <w:marTop w:val="0"/>
      <w:marBottom w:val="0"/>
      <w:divBdr>
        <w:top w:val="none" w:sz="0" w:space="0" w:color="auto"/>
        <w:left w:val="none" w:sz="0" w:space="0" w:color="auto"/>
        <w:bottom w:val="none" w:sz="0" w:space="0" w:color="auto"/>
        <w:right w:val="none" w:sz="0" w:space="0" w:color="auto"/>
      </w:divBdr>
    </w:div>
    <w:div w:id="551117235">
      <w:bodyDiv w:val="1"/>
      <w:marLeft w:val="0"/>
      <w:marRight w:val="0"/>
      <w:marTop w:val="0"/>
      <w:marBottom w:val="0"/>
      <w:divBdr>
        <w:top w:val="none" w:sz="0" w:space="0" w:color="auto"/>
        <w:left w:val="none" w:sz="0" w:space="0" w:color="auto"/>
        <w:bottom w:val="none" w:sz="0" w:space="0" w:color="auto"/>
        <w:right w:val="none" w:sz="0" w:space="0" w:color="auto"/>
      </w:divBdr>
    </w:div>
    <w:div w:id="551691588">
      <w:bodyDiv w:val="1"/>
      <w:marLeft w:val="0"/>
      <w:marRight w:val="0"/>
      <w:marTop w:val="0"/>
      <w:marBottom w:val="0"/>
      <w:divBdr>
        <w:top w:val="none" w:sz="0" w:space="0" w:color="auto"/>
        <w:left w:val="none" w:sz="0" w:space="0" w:color="auto"/>
        <w:bottom w:val="none" w:sz="0" w:space="0" w:color="auto"/>
        <w:right w:val="none" w:sz="0" w:space="0" w:color="auto"/>
      </w:divBdr>
    </w:div>
    <w:div w:id="551816371">
      <w:bodyDiv w:val="1"/>
      <w:marLeft w:val="0"/>
      <w:marRight w:val="0"/>
      <w:marTop w:val="0"/>
      <w:marBottom w:val="0"/>
      <w:divBdr>
        <w:top w:val="none" w:sz="0" w:space="0" w:color="auto"/>
        <w:left w:val="none" w:sz="0" w:space="0" w:color="auto"/>
        <w:bottom w:val="none" w:sz="0" w:space="0" w:color="auto"/>
        <w:right w:val="none" w:sz="0" w:space="0" w:color="auto"/>
      </w:divBdr>
    </w:div>
    <w:div w:id="552928380">
      <w:bodyDiv w:val="1"/>
      <w:marLeft w:val="0"/>
      <w:marRight w:val="0"/>
      <w:marTop w:val="0"/>
      <w:marBottom w:val="0"/>
      <w:divBdr>
        <w:top w:val="none" w:sz="0" w:space="0" w:color="auto"/>
        <w:left w:val="none" w:sz="0" w:space="0" w:color="auto"/>
        <w:bottom w:val="none" w:sz="0" w:space="0" w:color="auto"/>
        <w:right w:val="none" w:sz="0" w:space="0" w:color="auto"/>
      </w:divBdr>
    </w:div>
    <w:div w:id="553271667">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3782959">
      <w:bodyDiv w:val="1"/>
      <w:marLeft w:val="0"/>
      <w:marRight w:val="0"/>
      <w:marTop w:val="0"/>
      <w:marBottom w:val="0"/>
      <w:divBdr>
        <w:top w:val="none" w:sz="0" w:space="0" w:color="auto"/>
        <w:left w:val="none" w:sz="0" w:space="0" w:color="auto"/>
        <w:bottom w:val="none" w:sz="0" w:space="0" w:color="auto"/>
        <w:right w:val="none" w:sz="0" w:space="0" w:color="auto"/>
      </w:divBdr>
    </w:div>
    <w:div w:id="555244486">
      <w:bodyDiv w:val="1"/>
      <w:marLeft w:val="0"/>
      <w:marRight w:val="0"/>
      <w:marTop w:val="0"/>
      <w:marBottom w:val="0"/>
      <w:divBdr>
        <w:top w:val="none" w:sz="0" w:space="0" w:color="auto"/>
        <w:left w:val="none" w:sz="0" w:space="0" w:color="auto"/>
        <w:bottom w:val="none" w:sz="0" w:space="0" w:color="auto"/>
        <w:right w:val="none" w:sz="0" w:space="0" w:color="auto"/>
      </w:divBdr>
    </w:div>
    <w:div w:id="555314952">
      <w:bodyDiv w:val="1"/>
      <w:marLeft w:val="0"/>
      <w:marRight w:val="0"/>
      <w:marTop w:val="0"/>
      <w:marBottom w:val="0"/>
      <w:divBdr>
        <w:top w:val="none" w:sz="0" w:space="0" w:color="auto"/>
        <w:left w:val="none" w:sz="0" w:space="0" w:color="auto"/>
        <w:bottom w:val="none" w:sz="0" w:space="0" w:color="auto"/>
        <w:right w:val="none" w:sz="0" w:space="0" w:color="auto"/>
      </w:divBdr>
    </w:div>
    <w:div w:id="556209620">
      <w:bodyDiv w:val="1"/>
      <w:marLeft w:val="0"/>
      <w:marRight w:val="0"/>
      <w:marTop w:val="0"/>
      <w:marBottom w:val="0"/>
      <w:divBdr>
        <w:top w:val="none" w:sz="0" w:space="0" w:color="auto"/>
        <w:left w:val="none" w:sz="0" w:space="0" w:color="auto"/>
        <w:bottom w:val="none" w:sz="0" w:space="0" w:color="auto"/>
        <w:right w:val="none" w:sz="0" w:space="0" w:color="auto"/>
      </w:divBdr>
    </w:div>
    <w:div w:id="556860992">
      <w:bodyDiv w:val="1"/>
      <w:marLeft w:val="0"/>
      <w:marRight w:val="0"/>
      <w:marTop w:val="0"/>
      <w:marBottom w:val="0"/>
      <w:divBdr>
        <w:top w:val="none" w:sz="0" w:space="0" w:color="auto"/>
        <w:left w:val="none" w:sz="0" w:space="0" w:color="auto"/>
        <w:bottom w:val="none" w:sz="0" w:space="0" w:color="auto"/>
        <w:right w:val="none" w:sz="0" w:space="0" w:color="auto"/>
      </w:divBdr>
    </w:div>
    <w:div w:id="557670425">
      <w:bodyDiv w:val="1"/>
      <w:marLeft w:val="0"/>
      <w:marRight w:val="0"/>
      <w:marTop w:val="0"/>
      <w:marBottom w:val="0"/>
      <w:divBdr>
        <w:top w:val="none" w:sz="0" w:space="0" w:color="auto"/>
        <w:left w:val="none" w:sz="0" w:space="0" w:color="auto"/>
        <w:bottom w:val="none" w:sz="0" w:space="0" w:color="auto"/>
        <w:right w:val="none" w:sz="0" w:space="0" w:color="auto"/>
      </w:divBdr>
    </w:div>
    <w:div w:id="557671458">
      <w:bodyDiv w:val="1"/>
      <w:marLeft w:val="0"/>
      <w:marRight w:val="0"/>
      <w:marTop w:val="0"/>
      <w:marBottom w:val="0"/>
      <w:divBdr>
        <w:top w:val="none" w:sz="0" w:space="0" w:color="auto"/>
        <w:left w:val="none" w:sz="0" w:space="0" w:color="auto"/>
        <w:bottom w:val="none" w:sz="0" w:space="0" w:color="auto"/>
        <w:right w:val="none" w:sz="0" w:space="0" w:color="auto"/>
      </w:divBdr>
    </w:div>
    <w:div w:id="558593693">
      <w:bodyDiv w:val="1"/>
      <w:marLeft w:val="0"/>
      <w:marRight w:val="0"/>
      <w:marTop w:val="0"/>
      <w:marBottom w:val="0"/>
      <w:divBdr>
        <w:top w:val="none" w:sz="0" w:space="0" w:color="auto"/>
        <w:left w:val="none" w:sz="0" w:space="0" w:color="auto"/>
        <w:bottom w:val="none" w:sz="0" w:space="0" w:color="auto"/>
        <w:right w:val="none" w:sz="0" w:space="0" w:color="auto"/>
      </w:divBdr>
    </w:div>
    <w:div w:id="559249144">
      <w:bodyDiv w:val="1"/>
      <w:marLeft w:val="0"/>
      <w:marRight w:val="0"/>
      <w:marTop w:val="0"/>
      <w:marBottom w:val="0"/>
      <w:divBdr>
        <w:top w:val="none" w:sz="0" w:space="0" w:color="auto"/>
        <w:left w:val="none" w:sz="0" w:space="0" w:color="auto"/>
        <w:bottom w:val="none" w:sz="0" w:space="0" w:color="auto"/>
        <w:right w:val="none" w:sz="0" w:space="0" w:color="auto"/>
      </w:divBdr>
    </w:div>
    <w:div w:id="560137708">
      <w:bodyDiv w:val="1"/>
      <w:marLeft w:val="0"/>
      <w:marRight w:val="0"/>
      <w:marTop w:val="0"/>
      <w:marBottom w:val="0"/>
      <w:divBdr>
        <w:top w:val="none" w:sz="0" w:space="0" w:color="auto"/>
        <w:left w:val="none" w:sz="0" w:space="0" w:color="auto"/>
        <w:bottom w:val="none" w:sz="0" w:space="0" w:color="auto"/>
        <w:right w:val="none" w:sz="0" w:space="0" w:color="auto"/>
      </w:divBdr>
    </w:div>
    <w:div w:id="560988750">
      <w:bodyDiv w:val="1"/>
      <w:marLeft w:val="0"/>
      <w:marRight w:val="0"/>
      <w:marTop w:val="0"/>
      <w:marBottom w:val="0"/>
      <w:divBdr>
        <w:top w:val="none" w:sz="0" w:space="0" w:color="auto"/>
        <w:left w:val="none" w:sz="0" w:space="0" w:color="auto"/>
        <w:bottom w:val="none" w:sz="0" w:space="0" w:color="auto"/>
        <w:right w:val="none" w:sz="0" w:space="0" w:color="auto"/>
      </w:divBdr>
    </w:div>
    <w:div w:id="562178088">
      <w:bodyDiv w:val="1"/>
      <w:marLeft w:val="0"/>
      <w:marRight w:val="0"/>
      <w:marTop w:val="0"/>
      <w:marBottom w:val="0"/>
      <w:divBdr>
        <w:top w:val="none" w:sz="0" w:space="0" w:color="auto"/>
        <w:left w:val="none" w:sz="0" w:space="0" w:color="auto"/>
        <w:bottom w:val="none" w:sz="0" w:space="0" w:color="auto"/>
        <w:right w:val="none" w:sz="0" w:space="0" w:color="auto"/>
      </w:divBdr>
    </w:div>
    <w:div w:id="563832056">
      <w:bodyDiv w:val="1"/>
      <w:marLeft w:val="0"/>
      <w:marRight w:val="0"/>
      <w:marTop w:val="0"/>
      <w:marBottom w:val="0"/>
      <w:divBdr>
        <w:top w:val="none" w:sz="0" w:space="0" w:color="auto"/>
        <w:left w:val="none" w:sz="0" w:space="0" w:color="auto"/>
        <w:bottom w:val="none" w:sz="0" w:space="0" w:color="auto"/>
        <w:right w:val="none" w:sz="0" w:space="0" w:color="auto"/>
      </w:divBdr>
    </w:div>
    <w:div w:id="564141222">
      <w:bodyDiv w:val="1"/>
      <w:marLeft w:val="0"/>
      <w:marRight w:val="0"/>
      <w:marTop w:val="0"/>
      <w:marBottom w:val="0"/>
      <w:divBdr>
        <w:top w:val="none" w:sz="0" w:space="0" w:color="auto"/>
        <w:left w:val="none" w:sz="0" w:space="0" w:color="auto"/>
        <w:bottom w:val="none" w:sz="0" w:space="0" w:color="auto"/>
        <w:right w:val="none" w:sz="0" w:space="0" w:color="auto"/>
      </w:divBdr>
    </w:div>
    <w:div w:id="564606329">
      <w:bodyDiv w:val="1"/>
      <w:marLeft w:val="0"/>
      <w:marRight w:val="0"/>
      <w:marTop w:val="0"/>
      <w:marBottom w:val="0"/>
      <w:divBdr>
        <w:top w:val="none" w:sz="0" w:space="0" w:color="auto"/>
        <w:left w:val="none" w:sz="0" w:space="0" w:color="auto"/>
        <w:bottom w:val="none" w:sz="0" w:space="0" w:color="auto"/>
        <w:right w:val="none" w:sz="0" w:space="0" w:color="auto"/>
      </w:divBdr>
    </w:div>
    <w:div w:id="567302554">
      <w:bodyDiv w:val="1"/>
      <w:marLeft w:val="0"/>
      <w:marRight w:val="0"/>
      <w:marTop w:val="0"/>
      <w:marBottom w:val="0"/>
      <w:divBdr>
        <w:top w:val="none" w:sz="0" w:space="0" w:color="auto"/>
        <w:left w:val="none" w:sz="0" w:space="0" w:color="auto"/>
        <w:bottom w:val="none" w:sz="0" w:space="0" w:color="auto"/>
        <w:right w:val="none" w:sz="0" w:space="0" w:color="auto"/>
      </w:divBdr>
    </w:div>
    <w:div w:id="567304700">
      <w:bodyDiv w:val="1"/>
      <w:marLeft w:val="0"/>
      <w:marRight w:val="0"/>
      <w:marTop w:val="0"/>
      <w:marBottom w:val="0"/>
      <w:divBdr>
        <w:top w:val="none" w:sz="0" w:space="0" w:color="auto"/>
        <w:left w:val="none" w:sz="0" w:space="0" w:color="auto"/>
        <w:bottom w:val="none" w:sz="0" w:space="0" w:color="auto"/>
        <w:right w:val="none" w:sz="0" w:space="0" w:color="auto"/>
      </w:divBdr>
    </w:div>
    <w:div w:id="567305155">
      <w:bodyDiv w:val="1"/>
      <w:marLeft w:val="0"/>
      <w:marRight w:val="0"/>
      <w:marTop w:val="0"/>
      <w:marBottom w:val="0"/>
      <w:divBdr>
        <w:top w:val="none" w:sz="0" w:space="0" w:color="auto"/>
        <w:left w:val="none" w:sz="0" w:space="0" w:color="auto"/>
        <w:bottom w:val="none" w:sz="0" w:space="0" w:color="auto"/>
        <w:right w:val="none" w:sz="0" w:space="0" w:color="auto"/>
      </w:divBdr>
    </w:div>
    <w:div w:id="567611281">
      <w:bodyDiv w:val="1"/>
      <w:marLeft w:val="0"/>
      <w:marRight w:val="0"/>
      <w:marTop w:val="0"/>
      <w:marBottom w:val="0"/>
      <w:divBdr>
        <w:top w:val="none" w:sz="0" w:space="0" w:color="auto"/>
        <w:left w:val="none" w:sz="0" w:space="0" w:color="auto"/>
        <w:bottom w:val="none" w:sz="0" w:space="0" w:color="auto"/>
        <w:right w:val="none" w:sz="0" w:space="0" w:color="auto"/>
      </w:divBdr>
    </w:div>
    <w:div w:id="567955194">
      <w:bodyDiv w:val="1"/>
      <w:marLeft w:val="0"/>
      <w:marRight w:val="0"/>
      <w:marTop w:val="0"/>
      <w:marBottom w:val="0"/>
      <w:divBdr>
        <w:top w:val="none" w:sz="0" w:space="0" w:color="auto"/>
        <w:left w:val="none" w:sz="0" w:space="0" w:color="auto"/>
        <w:bottom w:val="none" w:sz="0" w:space="0" w:color="auto"/>
        <w:right w:val="none" w:sz="0" w:space="0" w:color="auto"/>
      </w:divBdr>
    </w:div>
    <w:div w:id="568469001">
      <w:bodyDiv w:val="1"/>
      <w:marLeft w:val="0"/>
      <w:marRight w:val="0"/>
      <w:marTop w:val="0"/>
      <w:marBottom w:val="0"/>
      <w:divBdr>
        <w:top w:val="none" w:sz="0" w:space="0" w:color="auto"/>
        <w:left w:val="none" w:sz="0" w:space="0" w:color="auto"/>
        <w:bottom w:val="none" w:sz="0" w:space="0" w:color="auto"/>
        <w:right w:val="none" w:sz="0" w:space="0" w:color="auto"/>
      </w:divBdr>
    </w:div>
    <w:div w:id="568535117">
      <w:bodyDiv w:val="1"/>
      <w:marLeft w:val="0"/>
      <w:marRight w:val="0"/>
      <w:marTop w:val="0"/>
      <w:marBottom w:val="0"/>
      <w:divBdr>
        <w:top w:val="none" w:sz="0" w:space="0" w:color="auto"/>
        <w:left w:val="none" w:sz="0" w:space="0" w:color="auto"/>
        <w:bottom w:val="none" w:sz="0" w:space="0" w:color="auto"/>
        <w:right w:val="none" w:sz="0" w:space="0" w:color="auto"/>
      </w:divBdr>
    </w:div>
    <w:div w:id="568616607">
      <w:bodyDiv w:val="1"/>
      <w:marLeft w:val="0"/>
      <w:marRight w:val="0"/>
      <w:marTop w:val="0"/>
      <w:marBottom w:val="0"/>
      <w:divBdr>
        <w:top w:val="none" w:sz="0" w:space="0" w:color="auto"/>
        <w:left w:val="none" w:sz="0" w:space="0" w:color="auto"/>
        <w:bottom w:val="none" w:sz="0" w:space="0" w:color="auto"/>
        <w:right w:val="none" w:sz="0" w:space="0" w:color="auto"/>
      </w:divBdr>
    </w:div>
    <w:div w:id="569077993">
      <w:bodyDiv w:val="1"/>
      <w:marLeft w:val="0"/>
      <w:marRight w:val="0"/>
      <w:marTop w:val="0"/>
      <w:marBottom w:val="0"/>
      <w:divBdr>
        <w:top w:val="none" w:sz="0" w:space="0" w:color="auto"/>
        <w:left w:val="none" w:sz="0" w:space="0" w:color="auto"/>
        <w:bottom w:val="none" w:sz="0" w:space="0" w:color="auto"/>
        <w:right w:val="none" w:sz="0" w:space="0" w:color="auto"/>
      </w:divBdr>
    </w:div>
    <w:div w:id="569584467">
      <w:bodyDiv w:val="1"/>
      <w:marLeft w:val="0"/>
      <w:marRight w:val="0"/>
      <w:marTop w:val="0"/>
      <w:marBottom w:val="0"/>
      <w:divBdr>
        <w:top w:val="none" w:sz="0" w:space="0" w:color="auto"/>
        <w:left w:val="none" w:sz="0" w:space="0" w:color="auto"/>
        <w:bottom w:val="none" w:sz="0" w:space="0" w:color="auto"/>
        <w:right w:val="none" w:sz="0" w:space="0" w:color="auto"/>
      </w:divBdr>
    </w:div>
    <w:div w:id="571427093">
      <w:bodyDiv w:val="1"/>
      <w:marLeft w:val="0"/>
      <w:marRight w:val="0"/>
      <w:marTop w:val="0"/>
      <w:marBottom w:val="0"/>
      <w:divBdr>
        <w:top w:val="none" w:sz="0" w:space="0" w:color="auto"/>
        <w:left w:val="none" w:sz="0" w:space="0" w:color="auto"/>
        <w:bottom w:val="none" w:sz="0" w:space="0" w:color="auto"/>
        <w:right w:val="none" w:sz="0" w:space="0" w:color="auto"/>
      </w:divBdr>
    </w:div>
    <w:div w:id="571501616">
      <w:bodyDiv w:val="1"/>
      <w:marLeft w:val="0"/>
      <w:marRight w:val="0"/>
      <w:marTop w:val="0"/>
      <w:marBottom w:val="0"/>
      <w:divBdr>
        <w:top w:val="none" w:sz="0" w:space="0" w:color="auto"/>
        <w:left w:val="none" w:sz="0" w:space="0" w:color="auto"/>
        <w:bottom w:val="none" w:sz="0" w:space="0" w:color="auto"/>
        <w:right w:val="none" w:sz="0" w:space="0" w:color="auto"/>
      </w:divBdr>
    </w:div>
    <w:div w:id="571694765">
      <w:bodyDiv w:val="1"/>
      <w:marLeft w:val="0"/>
      <w:marRight w:val="0"/>
      <w:marTop w:val="0"/>
      <w:marBottom w:val="0"/>
      <w:divBdr>
        <w:top w:val="none" w:sz="0" w:space="0" w:color="auto"/>
        <w:left w:val="none" w:sz="0" w:space="0" w:color="auto"/>
        <w:bottom w:val="none" w:sz="0" w:space="0" w:color="auto"/>
        <w:right w:val="none" w:sz="0" w:space="0" w:color="auto"/>
      </w:divBdr>
    </w:div>
    <w:div w:id="572156023">
      <w:bodyDiv w:val="1"/>
      <w:marLeft w:val="0"/>
      <w:marRight w:val="0"/>
      <w:marTop w:val="0"/>
      <w:marBottom w:val="0"/>
      <w:divBdr>
        <w:top w:val="none" w:sz="0" w:space="0" w:color="auto"/>
        <w:left w:val="none" w:sz="0" w:space="0" w:color="auto"/>
        <w:bottom w:val="none" w:sz="0" w:space="0" w:color="auto"/>
        <w:right w:val="none" w:sz="0" w:space="0" w:color="auto"/>
      </w:divBdr>
    </w:div>
    <w:div w:id="572392924">
      <w:bodyDiv w:val="1"/>
      <w:marLeft w:val="0"/>
      <w:marRight w:val="0"/>
      <w:marTop w:val="0"/>
      <w:marBottom w:val="0"/>
      <w:divBdr>
        <w:top w:val="none" w:sz="0" w:space="0" w:color="auto"/>
        <w:left w:val="none" w:sz="0" w:space="0" w:color="auto"/>
        <w:bottom w:val="none" w:sz="0" w:space="0" w:color="auto"/>
        <w:right w:val="none" w:sz="0" w:space="0" w:color="auto"/>
      </w:divBdr>
    </w:div>
    <w:div w:id="572592459">
      <w:bodyDiv w:val="1"/>
      <w:marLeft w:val="0"/>
      <w:marRight w:val="0"/>
      <w:marTop w:val="0"/>
      <w:marBottom w:val="0"/>
      <w:divBdr>
        <w:top w:val="none" w:sz="0" w:space="0" w:color="auto"/>
        <w:left w:val="none" w:sz="0" w:space="0" w:color="auto"/>
        <w:bottom w:val="none" w:sz="0" w:space="0" w:color="auto"/>
        <w:right w:val="none" w:sz="0" w:space="0" w:color="auto"/>
      </w:divBdr>
    </w:div>
    <w:div w:id="573319531">
      <w:bodyDiv w:val="1"/>
      <w:marLeft w:val="0"/>
      <w:marRight w:val="0"/>
      <w:marTop w:val="0"/>
      <w:marBottom w:val="0"/>
      <w:divBdr>
        <w:top w:val="none" w:sz="0" w:space="0" w:color="auto"/>
        <w:left w:val="none" w:sz="0" w:space="0" w:color="auto"/>
        <w:bottom w:val="none" w:sz="0" w:space="0" w:color="auto"/>
        <w:right w:val="none" w:sz="0" w:space="0" w:color="auto"/>
      </w:divBdr>
    </w:div>
    <w:div w:id="573584132">
      <w:bodyDiv w:val="1"/>
      <w:marLeft w:val="0"/>
      <w:marRight w:val="0"/>
      <w:marTop w:val="0"/>
      <w:marBottom w:val="0"/>
      <w:divBdr>
        <w:top w:val="none" w:sz="0" w:space="0" w:color="auto"/>
        <w:left w:val="none" w:sz="0" w:space="0" w:color="auto"/>
        <w:bottom w:val="none" w:sz="0" w:space="0" w:color="auto"/>
        <w:right w:val="none" w:sz="0" w:space="0" w:color="auto"/>
      </w:divBdr>
    </w:div>
    <w:div w:id="575014492">
      <w:bodyDiv w:val="1"/>
      <w:marLeft w:val="0"/>
      <w:marRight w:val="0"/>
      <w:marTop w:val="0"/>
      <w:marBottom w:val="0"/>
      <w:divBdr>
        <w:top w:val="none" w:sz="0" w:space="0" w:color="auto"/>
        <w:left w:val="none" w:sz="0" w:space="0" w:color="auto"/>
        <w:bottom w:val="none" w:sz="0" w:space="0" w:color="auto"/>
        <w:right w:val="none" w:sz="0" w:space="0" w:color="auto"/>
      </w:divBdr>
    </w:div>
    <w:div w:id="575550856">
      <w:bodyDiv w:val="1"/>
      <w:marLeft w:val="0"/>
      <w:marRight w:val="0"/>
      <w:marTop w:val="0"/>
      <w:marBottom w:val="0"/>
      <w:divBdr>
        <w:top w:val="none" w:sz="0" w:space="0" w:color="auto"/>
        <w:left w:val="none" w:sz="0" w:space="0" w:color="auto"/>
        <w:bottom w:val="none" w:sz="0" w:space="0" w:color="auto"/>
        <w:right w:val="none" w:sz="0" w:space="0" w:color="auto"/>
      </w:divBdr>
    </w:div>
    <w:div w:id="575677091">
      <w:bodyDiv w:val="1"/>
      <w:marLeft w:val="0"/>
      <w:marRight w:val="0"/>
      <w:marTop w:val="0"/>
      <w:marBottom w:val="0"/>
      <w:divBdr>
        <w:top w:val="none" w:sz="0" w:space="0" w:color="auto"/>
        <w:left w:val="none" w:sz="0" w:space="0" w:color="auto"/>
        <w:bottom w:val="none" w:sz="0" w:space="0" w:color="auto"/>
        <w:right w:val="none" w:sz="0" w:space="0" w:color="auto"/>
      </w:divBdr>
    </w:div>
    <w:div w:id="575867828">
      <w:bodyDiv w:val="1"/>
      <w:marLeft w:val="0"/>
      <w:marRight w:val="0"/>
      <w:marTop w:val="0"/>
      <w:marBottom w:val="0"/>
      <w:divBdr>
        <w:top w:val="none" w:sz="0" w:space="0" w:color="auto"/>
        <w:left w:val="none" w:sz="0" w:space="0" w:color="auto"/>
        <w:bottom w:val="none" w:sz="0" w:space="0" w:color="auto"/>
        <w:right w:val="none" w:sz="0" w:space="0" w:color="auto"/>
      </w:divBdr>
    </w:div>
    <w:div w:id="575936904">
      <w:bodyDiv w:val="1"/>
      <w:marLeft w:val="0"/>
      <w:marRight w:val="0"/>
      <w:marTop w:val="0"/>
      <w:marBottom w:val="0"/>
      <w:divBdr>
        <w:top w:val="none" w:sz="0" w:space="0" w:color="auto"/>
        <w:left w:val="none" w:sz="0" w:space="0" w:color="auto"/>
        <w:bottom w:val="none" w:sz="0" w:space="0" w:color="auto"/>
        <w:right w:val="none" w:sz="0" w:space="0" w:color="auto"/>
      </w:divBdr>
    </w:div>
    <w:div w:id="576018878">
      <w:bodyDiv w:val="1"/>
      <w:marLeft w:val="0"/>
      <w:marRight w:val="0"/>
      <w:marTop w:val="0"/>
      <w:marBottom w:val="0"/>
      <w:divBdr>
        <w:top w:val="none" w:sz="0" w:space="0" w:color="auto"/>
        <w:left w:val="none" w:sz="0" w:space="0" w:color="auto"/>
        <w:bottom w:val="none" w:sz="0" w:space="0" w:color="auto"/>
        <w:right w:val="none" w:sz="0" w:space="0" w:color="auto"/>
      </w:divBdr>
    </w:div>
    <w:div w:id="576020686">
      <w:bodyDiv w:val="1"/>
      <w:marLeft w:val="0"/>
      <w:marRight w:val="0"/>
      <w:marTop w:val="0"/>
      <w:marBottom w:val="0"/>
      <w:divBdr>
        <w:top w:val="none" w:sz="0" w:space="0" w:color="auto"/>
        <w:left w:val="none" w:sz="0" w:space="0" w:color="auto"/>
        <w:bottom w:val="none" w:sz="0" w:space="0" w:color="auto"/>
        <w:right w:val="none" w:sz="0" w:space="0" w:color="auto"/>
      </w:divBdr>
    </w:div>
    <w:div w:id="576942739">
      <w:bodyDiv w:val="1"/>
      <w:marLeft w:val="0"/>
      <w:marRight w:val="0"/>
      <w:marTop w:val="0"/>
      <w:marBottom w:val="0"/>
      <w:divBdr>
        <w:top w:val="none" w:sz="0" w:space="0" w:color="auto"/>
        <w:left w:val="none" w:sz="0" w:space="0" w:color="auto"/>
        <w:bottom w:val="none" w:sz="0" w:space="0" w:color="auto"/>
        <w:right w:val="none" w:sz="0" w:space="0" w:color="auto"/>
      </w:divBdr>
    </w:div>
    <w:div w:id="576984864">
      <w:bodyDiv w:val="1"/>
      <w:marLeft w:val="0"/>
      <w:marRight w:val="0"/>
      <w:marTop w:val="0"/>
      <w:marBottom w:val="0"/>
      <w:divBdr>
        <w:top w:val="none" w:sz="0" w:space="0" w:color="auto"/>
        <w:left w:val="none" w:sz="0" w:space="0" w:color="auto"/>
        <w:bottom w:val="none" w:sz="0" w:space="0" w:color="auto"/>
        <w:right w:val="none" w:sz="0" w:space="0" w:color="auto"/>
      </w:divBdr>
    </w:div>
    <w:div w:id="577178572">
      <w:bodyDiv w:val="1"/>
      <w:marLeft w:val="0"/>
      <w:marRight w:val="0"/>
      <w:marTop w:val="0"/>
      <w:marBottom w:val="0"/>
      <w:divBdr>
        <w:top w:val="none" w:sz="0" w:space="0" w:color="auto"/>
        <w:left w:val="none" w:sz="0" w:space="0" w:color="auto"/>
        <w:bottom w:val="none" w:sz="0" w:space="0" w:color="auto"/>
        <w:right w:val="none" w:sz="0" w:space="0" w:color="auto"/>
      </w:divBdr>
    </w:div>
    <w:div w:id="577250766">
      <w:bodyDiv w:val="1"/>
      <w:marLeft w:val="0"/>
      <w:marRight w:val="0"/>
      <w:marTop w:val="0"/>
      <w:marBottom w:val="0"/>
      <w:divBdr>
        <w:top w:val="none" w:sz="0" w:space="0" w:color="auto"/>
        <w:left w:val="none" w:sz="0" w:space="0" w:color="auto"/>
        <w:bottom w:val="none" w:sz="0" w:space="0" w:color="auto"/>
        <w:right w:val="none" w:sz="0" w:space="0" w:color="auto"/>
      </w:divBdr>
    </w:div>
    <w:div w:id="577325610">
      <w:bodyDiv w:val="1"/>
      <w:marLeft w:val="0"/>
      <w:marRight w:val="0"/>
      <w:marTop w:val="0"/>
      <w:marBottom w:val="0"/>
      <w:divBdr>
        <w:top w:val="none" w:sz="0" w:space="0" w:color="auto"/>
        <w:left w:val="none" w:sz="0" w:space="0" w:color="auto"/>
        <w:bottom w:val="none" w:sz="0" w:space="0" w:color="auto"/>
        <w:right w:val="none" w:sz="0" w:space="0" w:color="auto"/>
      </w:divBdr>
    </w:div>
    <w:div w:id="578171640">
      <w:bodyDiv w:val="1"/>
      <w:marLeft w:val="0"/>
      <w:marRight w:val="0"/>
      <w:marTop w:val="0"/>
      <w:marBottom w:val="0"/>
      <w:divBdr>
        <w:top w:val="none" w:sz="0" w:space="0" w:color="auto"/>
        <w:left w:val="none" w:sz="0" w:space="0" w:color="auto"/>
        <w:bottom w:val="none" w:sz="0" w:space="0" w:color="auto"/>
        <w:right w:val="none" w:sz="0" w:space="0" w:color="auto"/>
      </w:divBdr>
    </w:div>
    <w:div w:id="578563220">
      <w:bodyDiv w:val="1"/>
      <w:marLeft w:val="0"/>
      <w:marRight w:val="0"/>
      <w:marTop w:val="0"/>
      <w:marBottom w:val="0"/>
      <w:divBdr>
        <w:top w:val="none" w:sz="0" w:space="0" w:color="auto"/>
        <w:left w:val="none" w:sz="0" w:space="0" w:color="auto"/>
        <w:bottom w:val="none" w:sz="0" w:space="0" w:color="auto"/>
        <w:right w:val="none" w:sz="0" w:space="0" w:color="auto"/>
      </w:divBdr>
    </w:div>
    <w:div w:id="578754048">
      <w:bodyDiv w:val="1"/>
      <w:marLeft w:val="0"/>
      <w:marRight w:val="0"/>
      <w:marTop w:val="0"/>
      <w:marBottom w:val="0"/>
      <w:divBdr>
        <w:top w:val="none" w:sz="0" w:space="0" w:color="auto"/>
        <w:left w:val="none" w:sz="0" w:space="0" w:color="auto"/>
        <w:bottom w:val="none" w:sz="0" w:space="0" w:color="auto"/>
        <w:right w:val="none" w:sz="0" w:space="0" w:color="auto"/>
      </w:divBdr>
    </w:div>
    <w:div w:id="579097984">
      <w:bodyDiv w:val="1"/>
      <w:marLeft w:val="0"/>
      <w:marRight w:val="0"/>
      <w:marTop w:val="0"/>
      <w:marBottom w:val="0"/>
      <w:divBdr>
        <w:top w:val="none" w:sz="0" w:space="0" w:color="auto"/>
        <w:left w:val="none" w:sz="0" w:space="0" w:color="auto"/>
        <w:bottom w:val="none" w:sz="0" w:space="0" w:color="auto"/>
        <w:right w:val="none" w:sz="0" w:space="0" w:color="auto"/>
      </w:divBdr>
    </w:div>
    <w:div w:id="579995098">
      <w:bodyDiv w:val="1"/>
      <w:marLeft w:val="0"/>
      <w:marRight w:val="0"/>
      <w:marTop w:val="0"/>
      <w:marBottom w:val="0"/>
      <w:divBdr>
        <w:top w:val="none" w:sz="0" w:space="0" w:color="auto"/>
        <w:left w:val="none" w:sz="0" w:space="0" w:color="auto"/>
        <w:bottom w:val="none" w:sz="0" w:space="0" w:color="auto"/>
        <w:right w:val="none" w:sz="0" w:space="0" w:color="auto"/>
      </w:divBdr>
    </w:div>
    <w:div w:id="580989581">
      <w:bodyDiv w:val="1"/>
      <w:marLeft w:val="0"/>
      <w:marRight w:val="0"/>
      <w:marTop w:val="0"/>
      <w:marBottom w:val="0"/>
      <w:divBdr>
        <w:top w:val="none" w:sz="0" w:space="0" w:color="auto"/>
        <w:left w:val="none" w:sz="0" w:space="0" w:color="auto"/>
        <w:bottom w:val="none" w:sz="0" w:space="0" w:color="auto"/>
        <w:right w:val="none" w:sz="0" w:space="0" w:color="auto"/>
      </w:divBdr>
    </w:div>
    <w:div w:id="581838992">
      <w:bodyDiv w:val="1"/>
      <w:marLeft w:val="0"/>
      <w:marRight w:val="0"/>
      <w:marTop w:val="0"/>
      <w:marBottom w:val="0"/>
      <w:divBdr>
        <w:top w:val="none" w:sz="0" w:space="0" w:color="auto"/>
        <w:left w:val="none" w:sz="0" w:space="0" w:color="auto"/>
        <w:bottom w:val="none" w:sz="0" w:space="0" w:color="auto"/>
        <w:right w:val="none" w:sz="0" w:space="0" w:color="auto"/>
      </w:divBdr>
    </w:div>
    <w:div w:id="582033982">
      <w:bodyDiv w:val="1"/>
      <w:marLeft w:val="0"/>
      <w:marRight w:val="0"/>
      <w:marTop w:val="0"/>
      <w:marBottom w:val="0"/>
      <w:divBdr>
        <w:top w:val="none" w:sz="0" w:space="0" w:color="auto"/>
        <w:left w:val="none" w:sz="0" w:space="0" w:color="auto"/>
        <w:bottom w:val="none" w:sz="0" w:space="0" w:color="auto"/>
        <w:right w:val="none" w:sz="0" w:space="0" w:color="auto"/>
      </w:divBdr>
    </w:div>
    <w:div w:id="583690501">
      <w:bodyDiv w:val="1"/>
      <w:marLeft w:val="0"/>
      <w:marRight w:val="0"/>
      <w:marTop w:val="0"/>
      <w:marBottom w:val="0"/>
      <w:divBdr>
        <w:top w:val="none" w:sz="0" w:space="0" w:color="auto"/>
        <w:left w:val="none" w:sz="0" w:space="0" w:color="auto"/>
        <w:bottom w:val="none" w:sz="0" w:space="0" w:color="auto"/>
        <w:right w:val="none" w:sz="0" w:space="0" w:color="auto"/>
      </w:divBdr>
    </w:div>
    <w:div w:id="584799716">
      <w:bodyDiv w:val="1"/>
      <w:marLeft w:val="0"/>
      <w:marRight w:val="0"/>
      <w:marTop w:val="0"/>
      <w:marBottom w:val="0"/>
      <w:divBdr>
        <w:top w:val="none" w:sz="0" w:space="0" w:color="auto"/>
        <w:left w:val="none" w:sz="0" w:space="0" w:color="auto"/>
        <w:bottom w:val="none" w:sz="0" w:space="0" w:color="auto"/>
        <w:right w:val="none" w:sz="0" w:space="0" w:color="auto"/>
      </w:divBdr>
    </w:div>
    <w:div w:id="584844186">
      <w:bodyDiv w:val="1"/>
      <w:marLeft w:val="0"/>
      <w:marRight w:val="0"/>
      <w:marTop w:val="0"/>
      <w:marBottom w:val="0"/>
      <w:divBdr>
        <w:top w:val="none" w:sz="0" w:space="0" w:color="auto"/>
        <w:left w:val="none" w:sz="0" w:space="0" w:color="auto"/>
        <w:bottom w:val="none" w:sz="0" w:space="0" w:color="auto"/>
        <w:right w:val="none" w:sz="0" w:space="0" w:color="auto"/>
      </w:divBdr>
    </w:div>
    <w:div w:id="585114424">
      <w:bodyDiv w:val="1"/>
      <w:marLeft w:val="0"/>
      <w:marRight w:val="0"/>
      <w:marTop w:val="0"/>
      <w:marBottom w:val="0"/>
      <w:divBdr>
        <w:top w:val="none" w:sz="0" w:space="0" w:color="auto"/>
        <w:left w:val="none" w:sz="0" w:space="0" w:color="auto"/>
        <w:bottom w:val="none" w:sz="0" w:space="0" w:color="auto"/>
        <w:right w:val="none" w:sz="0" w:space="0" w:color="auto"/>
      </w:divBdr>
    </w:div>
    <w:div w:id="586841119">
      <w:bodyDiv w:val="1"/>
      <w:marLeft w:val="0"/>
      <w:marRight w:val="0"/>
      <w:marTop w:val="0"/>
      <w:marBottom w:val="0"/>
      <w:divBdr>
        <w:top w:val="none" w:sz="0" w:space="0" w:color="auto"/>
        <w:left w:val="none" w:sz="0" w:space="0" w:color="auto"/>
        <w:bottom w:val="none" w:sz="0" w:space="0" w:color="auto"/>
        <w:right w:val="none" w:sz="0" w:space="0" w:color="auto"/>
      </w:divBdr>
    </w:div>
    <w:div w:id="587426932">
      <w:bodyDiv w:val="1"/>
      <w:marLeft w:val="0"/>
      <w:marRight w:val="0"/>
      <w:marTop w:val="0"/>
      <w:marBottom w:val="0"/>
      <w:divBdr>
        <w:top w:val="none" w:sz="0" w:space="0" w:color="auto"/>
        <w:left w:val="none" w:sz="0" w:space="0" w:color="auto"/>
        <w:bottom w:val="none" w:sz="0" w:space="0" w:color="auto"/>
        <w:right w:val="none" w:sz="0" w:space="0" w:color="auto"/>
      </w:divBdr>
    </w:div>
    <w:div w:id="587544042">
      <w:bodyDiv w:val="1"/>
      <w:marLeft w:val="0"/>
      <w:marRight w:val="0"/>
      <w:marTop w:val="0"/>
      <w:marBottom w:val="0"/>
      <w:divBdr>
        <w:top w:val="none" w:sz="0" w:space="0" w:color="auto"/>
        <w:left w:val="none" w:sz="0" w:space="0" w:color="auto"/>
        <w:bottom w:val="none" w:sz="0" w:space="0" w:color="auto"/>
        <w:right w:val="none" w:sz="0" w:space="0" w:color="auto"/>
      </w:divBdr>
    </w:div>
    <w:div w:id="588319162">
      <w:bodyDiv w:val="1"/>
      <w:marLeft w:val="0"/>
      <w:marRight w:val="0"/>
      <w:marTop w:val="0"/>
      <w:marBottom w:val="0"/>
      <w:divBdr>
        <w:top w:val="none" w:sz="0" w:space="0" w:color="auto"/>
        <w:left w:val="none" w:sz="0" w:space="0" w:color="auto"/>
        <w:bottom w:val="none" w:sz="0" w:space="0" w:color="auto"/>
        <w:right w:val="none" w:sz="0" w:space="0" w:color="auto"/>
      </w:divBdr>
    </w:div>
    <w:div w:id="589582242">
      <w:bodyDiv w:val="1"/>
      <w:marLeft w:val="0"/>
      <w:marRight w:val="0"/>
      <w:marTop w:val="0"/>
      <w:marBottom w:val="0"/>
      <w:divBdr>
        <w:top w:val="none" w:sz="0" w:space="0" w:color="auto"/>
        <w:left w:val="none" w:sz="0" w:space="0" w:color="auto"/>
        <w:bottom w:val="none" w:sz="0" w:space="0" w:color="auto"/>
        <w:right w:val="none" w:sz="0" w:space="0" w:color="auto"/>
      </w:divBdr>
    </w:div>
    <w:div w:id="589774277">
      <w:bodyDiv w:val="1"/>
      <w:marLeft w:val="0"/>
      <w:marRight w:val="0"/>
      <w:marTop w:val="0"/>
      <w:marBottom w:val="0"/>
      <w:divBdr>
        <w:top w:val="none" w:sz="0" w:space="0" w:color="auto"/>
        <w:left w:val="none" w:sz="0" w:space="0" w:color="auto"/>
        <w:bottom w:val="none" w:sz="0" w:space="0" w:color="auto"/>
        <w:right w:val="none" w:sz="0" w:space="0" w:color="auto"/>
      </w:divBdr>
    </w:div>
    <w:div w:id="590159941">
      <w:bodyDiv w:val="1"/>
      <w:marLeft w:val="0"/>
      <w:marRight w:val="0"/>
      <w:marTop w:val="0"/>
      <w:marBottom w:val="0"/>
      <w:divBdr>
        <w:top w:val="none" w:sz="0" w:space="0" w:color="auto"/>
        <w:left w:val="none" w:sz="0" w:space="0" w:color="auto"/>
        <w:bottom w:val="none" w:sz="0" w:space="0" w:color="auto"/>
        <w:right w:val="none" w:sz="0" w:space="0" w:color="auto"/>
      </w:divBdr>
    </w:div>
    <w:div w:id="590743561">
      <w:bodyDiv w:val="1"/>
      <w:marLeft w:val="0"/>
      <w:marRight w:val="0"/>
      <w:marTop w:val="0"/>
      <w:marBottom w:val="0"/>
      <w:divBdr>
        <w:top w:val="none" w:sz="0" w:space="0" w:color="auto"/>
        <w:left w:val="none" w:sz="0" w:space="0" w:color="auto"/>
        <w:bottom w:val="none" w:sz="0" w:space="0" w:color="auto"/>
        <w:right w:val="none" w:sz="0" w:space="0" w:color="auto"/>
      </w:divBdr>
    </w:div>
    <w:div w:id="591014087">
      <w:bodyDiv w:val="1"/>
      <w:marLeft w:val="0"/>
      <w:marRight w:val="0"/>
      <w:marTop w:val="0"/>
      <w:marBottom w:val="0"/>
      <w:divBdr>
        <w:top w:val="none" w:sz="0" w:space="0" w:color="auto"/>
        <w:left w:val="none" w:sz="0" w:space="0" w:color="auto"/>
        <w:bottom w:val="none" w:sz="0" w:space="0" w:color="auto"/>
        <w:right w:val="none" w:sz="0" w:space="0" w:color="auto"/>
      </w:divBdr>
    </w:div>
    <w:div w:id="592203743">
      <w:bodyDiv w:val="1"/>
      <w:marLeft w:val="0"/>
      <w:marRight w:val="0"/>
      <w:marTop w:val="0"/>
      <w:marBottom w:val="0"/>
      <w:divBdr>
        <w:top w:val="none" w:sz="0" w:space="0" w:color="auto"/>
        <w:left w:val="none" w:sz="0" w:space="0" w:color="auto"/>
        <w:bottom w:val="none" w:sz="0" w:space="0" w:color="auto"/>
        <w:right w:val="none" w:sz="0" w:space="0" w:color="auto"/>
      </w:divBdr>
    </w:div>
    <w:div w:id="592783758">
      <w:bodyDiv w:val="1"/>
      <w:marLeft w:val="0"/>
      <w:marRight w:val="0"/>
      <w:marTop w:val="0"/>
      <w:marBottom w:val="0"/>
      <w:divBdr>
        <w:top w:val="none" w:sz="0" w:space="0" w:color="auto"/>
        <w:left w:val="none" w:sz="0" w:space="0" w:color="auto"/>
        <w:bottom w:val="none" w:sz="0" w:space="0" w:color="auto"/>
        <w:right w:val="none" w:sz="0" w:space="0" w:color="auto"/>
      </w:divBdr>
    </w:div>
    <w:div w:id="593442837">
      <w:bodyDiv w:val="1"/>
      <w:marLeft w:val="0"/>
      <w:marRight w:val="0"/>
      <w:marTop w:val="0"/>
      <w:marBottom w:val="0"/>
      <w:divBdr>
        <w:top w:val="none" w:sz="0" w:space="0" w:color="auto"/>
        <w:left w:val="none" w:sz="0" w:space="0" w:color="auto"/>
        <w:bottom w:val="none" w:sz="0" w:space="0" w:color="auto"/>
        <w:right w:val="none" w:sz="0" w:space="0" w:color="auto"/>
      </w:divBdr>
    </w:div>
    <w:div w:id="594366675">
      <w:bodyDiv w:val="1"/>
      <w:marLeft w:val="0"/>
      <w:marRight w:val="0"/>
      <w:marTop w:val="0"/>
      <w:marBottom w:val="0"/>
      <w:divBdr>
        <w:top w:val="none" w:sz="0" w:space="0" w:color="auto"/>
        <w:left w:val="none" w:sz="0" w:space="0" w:color="auto"/>
        <w:bottom w:val="none" w:sz="0" w:space="0" w:color="auto"/>
        <w:right w:val="none" w:sz="0" w:space="0" w:color="auto"/>
      </w:divBdr>
    </w:div>
    <w:div w:id="595023489">
      <w:bodyDiv w:val="1"/>
      <w:marLeft w:val="0"/>
      <w:marRight w:val="0"/>
      <w:marTop w:val="0"/>
      <w:marBottom w:val="0"/>
      <w:divBdr>
        <w:top w:val="none" w:sz="0" w:space="0" w:color="auto"/>
        <w:left w:val="none" w:sz="0" w:space="0" w:color="auto"/>
        <w:bottom w:val="none" w:sz="0" w:space="0" w:color="auto"/>
        <w:right w:val="none" w:sz="0" w:space="0" w:color="auto"/>
      </w:divBdr>
    </w:div>
    <w:div w:id="595090327">
      <w:bodyDiv w:val="1"/>
      <w:marLeft w:val="0"/>
      <w:marRight w:val="0"/>
      <w:marTop w:val="0"/>
      <w:marBottom w:val="0"/>
      <w:divBdr>
        <w:top w:val="none" w:sz="0" w:space="0" w:color="auto"/>
        <w:left w:val="none" w:sz="0" w:space="0" w:color="auto"/>
        <w:bottom w:val="none" w:sz="0" w:space="0" w:color="auto"/>
        <w:right w:val="none" w:sz="0" w:space="0" w:color="auto"/>
      </w:divBdr>
    </w:div>
    <w:div w:id="596015738">
      <w:bodyDiv w:val="1"/>
      <w:marLeft w:val="0"/>
      <w:marRight w:val="0"/>
      <w:marTop w:val="0"/>
      <w:marBottom w:val="0"/>
      <w:divBdr>
        <w:top w:val="none" w:sz="0" w:space="0" w:color="auto"/>
        <w:left w:val="none" w:sz="0" w:space="0" w:color="auto"/>
        <w:bottom w:val="none" w:sz="0" w:space="0" w:color="auto"/>
        <w:right w:val="none" w:sz="0" w:space="0" w:color="auto"/>
      </w:divBdr>
    </w:div>
    <w:div w:id="596787596">
      <w:bodyDiv w:val="1"/>
      <w:marLeft w:val="0"/>
      <w:marRight w:val="0"/>
      <w:marTop w:val="0"/>
      <w:marBottom w:val="0"/>
      <w:divBdr>
        <w:top w:val="none" w:sz="0" w:space="0" w:color="auto"/>
        <w:left w:val="none" w:sz="0" w:space="0" w:color="auto"/>
        <w:bottom w:val="none" w:sz="0" w:space="0" w:color="auto"/>
        <w:right w:val="none" w:sz="0" w:space="0" w:color="auto"/>
      </w:divBdr>
    </w:div>
    <w:div w:id="597104392">
      <w:bodyDiv w:val="1"/>
      <w:marLeft w:val="0"/>
      <w:marRight w:val="0"/>
      <w:marTop w:val="0"/>
      <w:marBottom w:val="0"/>
      <w:divBdr>
        <w:top w:val="none" w:sz="0" w:space="0" w:color="auto"/>
        <w:left w:val="none" w:sz="0" w:space="0" w:color="auto"/>
        <w:bottom w:val="none" w:sz="0" w:space="0" w:color="auto"/>
        <w:right w:val="none" w:sz="0" w:space="0" w:color="auto"/>
      </w:divBdr>
    </w:div>
    <w:div w:id="597637695">
      <w:bodyDiv w:val="1"/>
      <w:marLeft w:val="0"/>
      <w:marRight w:val="0"/>
      <w:marTop w:val="0"/>
      <w:marBottom w:val="0"/>
      <w:divBdr>
        <w:top w:val="none" w:sz="0" w:space="0" w:color="auto"/>
        <w:left w:val="none" w:sz="0" w:space="0" w:color="auto"/>
        <w:bottom w:val="none" w:sz="0" w:space="0" w:color="auto"/>
        <w:right w:val="none" w:sz="0" w:space="0" w:color="auto"/>
      </w:divBdr>
    </w:div>
    <w:div w:id="598224379">
      <w:bodyDiv w:val="1"/>
      <w:marLeft w:val="0"/>
      <w:marRight w:val="0"/>
      <w:marTop w:val="0"/>
      <w:marBottom w:val="0"/>
      <w:divBdr>
        <w:top w:val="none" w:sz="0" w:space="0" w:color="auto"/>
        <w:left w:val="none" w:sz="0" w:space="0" w:color="auto"/>
        <w:bottom w:val="none" w:sz="0" w:space="0" w:color="auto"/>
        <w:right w:val="none" w:sz="0" w:space="0" w:color="auto"/>
      </w:divBdr>
    </w:div>
    <w:div w:id="599684991">
      <w:bodyDiv w:val="1"/>
      <w:marLeft w:val="0"/>
      <w:marRight w:val="0"/>
      <w:marTop w:val="0"/>
      <w:marBottom w:val="0"/>
      <w:divBdr>
        <w:top w:val="none" w:sz="0" w:space="0" w:color="auto"/>
        <w:left w:val="none" w:sz="0" w:space="0" w:color="auto"/>
        <w:bottom w:val="none" w:sz="0" w:space="0" w:color="auto"/>
        <w:right w:val="none" w:sz="0" w:space="0" w:color="auto"/>
      </w:divBdr>
    </w:div>
    <w:div w:id="600380432">
      <w:bodyDiv w:val="1"/>
      <w:marLeft w:val="0"/>
      <w:marRight w:val="0"/>
      <w:marTop w:val="0"/>
      <w:marBottom w:val="0"/>
      <w:divBdr>
        <w:top w:val="none" w:sz="0" w:space="0" w:color="auto"/>
        <w:left w:val="none" w:sz="0" w:space="0" w:color="auto"/>
        <w:bottom w:val="none" w:sz="0" w:space="0" w:color="auto"/>
        <w:right w:val="none" w:sz="0" w:space="0" w:color="auto"/>
      </w:divBdr>
    </w:div>
    <w:div w:id="601186751">
      <w:bodyDiv w:val="1"/>
      <w:marLeft w:val="0"/>
      <w:marRight w:val="0"/>
      <w:marTop w:val="0"/>
      <w:marBottom w:val="0"/>
      <w:divBdr>
        <w:top w:val="none" w:sz="0" w:space="0" w:color="auto"/>
        <w:left w:val="none" w:sz="0" w:space="0" w:color="auto"/>
        <w:bottom w:val="none" w:sz="0" w:space="0" w:color="auto"/>
        <w:right w:val="none" w:sz="0" w:space="0" w:color="auto"/>
      </w:divBdr>
    </w:div>
    <w:div w:id="601305819">
      <w:bodyDiv w:val="1"/>
      <w:marLeft w:val="0"/>
      <w:marRight w:val="0"/>
      <w:marTop w:val="0"/>
      <w:marBottom w:val="0"/>
      <w:divBdr>
        <w:top w:val="none" w:sz="0" w:space="0" w:color="auto"/>
        <w:left w:val="none" w:sz="0" w:space="0" w:color="auto"/>
        <w:bottom w:val="none" w:sz="0" w:space="0" w:color="auto"/>
        <w:right w:val="none" w:sz="0" w:space="0" w:color="auto"/>
      </w:divBdr>
    </w:div>
    <w:div w:id="601765426">
      <w:bodyDiv w:val="1"/>
      <w:marLeft w:val="0"/>
      <w:marRight w:val="0"/>
      <w:marTop w:val="0"/>
      <w:marBottom w:val="0"/>
      <w:divBdr>
        <w:top w:val="none" w:sz="0" w:space="0" w:color="auto"/>
        <w:left w:val="none" w:sz="0" w:space="0" w:color="auto"/>
        <w:bottom w:val="none" w:sz="0" w:space="0" w:color="auto"/>
        <w:right w:val="none" w:sz="0" w:space="0" w:color="auto"/>
      </w:divBdr>
    </w:div>
    <w:div w:id="602152974">
      <w:bodyDiv w:val="1"/>
      <w:marLeft w:val="0"/>
      <w:marRight w:val="0"/>
      <w:marTop w:val="0"/>
      <w:marBottom w:val="0"/>
      <w:divBdr>
        <w:top w:val="none" w:sz="0" w:space="0" w:color="auto"/>
        <w:left w:val="none" w:sz="0" w:space="0" w:color="auto"/>
        <w:bottom w:val="none" w:sz="0" w:space="0" w:color="auto"/>
        <w:right w:val="none" w:sz="0" w:space="0" w:color="auto"/>
      </w:divBdr>
    </w:div>
    <w:div w:id="603155694">
      <w:bodyDiv w:val="1"/>
      <w:marLeft w:val="0"/>
      <w:marRight w:val="0"/>
      <w:marTop w:val="0"/>
      <w:marBottom w:val="0"/>
      <w:divBdr>
        <w:top w:val="none" w:sz="0" w:space="0" w:color="auto"/>
        <w:left w:val="none" w:sz="0" w:space="0" w:color="auto"/>
        <w:bottom w:val="none" w:sz="0" w:space="0" w:color="auto"/>
        <w:right w:val="none" w:sz="0" w:space="0" w:color="auto"/>
      </w:divBdr>
    </w:div>
    <w:div w:id="604271335">
      <w:bodyDiv w:val="1"/>
      <w:marLeft w:val="0"/>
      <w:marRight w:val="0"/>
      <w:marTop w:val="0"/>
      <w:marBottom w:val="0"/>
      <w:divBdr>
        <w:top w:val="none" w:sz="0" w:space="0" w:color="auto"/>
        <w:left w:val="none" w:sz="0" w:space="0" w:color="auto"/>
        <w:bottom w:val="none" w:sz="0" w:space="0" w:color="auto"/>
        <w:right w:val="none" w:sz="0" w:space="0" w:color="auto"/>
      </w:divBdr>
    </w:div>
    <w:div w:id="605163059">
      <w:bodyDiv w:val="1"/>
      <w:marLeft w:val="0"/>
      <w:marRight w:val="0"/>
      <w:marTop w:val="0"/>
      <w:marBottom w:val="0"/>
      <w:divBdr>
        <w:top w:val="none" w:sz="0" w:space="0" w:color="auto"/>
        <w:left w:val="none" w:sz="0" w:space="0" w:color="auto"/>
        <w:bottom w:val="none" w:sz="0" w:space="0" w:color="auto"/>
        <w:right w:val="none" w:sz="0" w:space="0" w:color="auto"/>
      </w:divBdr>
    </w:div>
    <w:div w:id="605576397">
      <w:bodyDiv w:val="1"/>
      <w:marLeft w:val="0"/>
      <w:marRight w:val="0"/>
      <w:marTop w:val="0"/>
      <w:marBottom w:val="0"/>
      <w:divBdr>
        <w:top w:val="none" w:sz="0" w:space="0" w:color="auto"/>
        <w:left w:val="none" w:sz="0" w:space="0" w:color="auto"/>
        <w:bottom w:val="none" w:sz="0" w:space="0" w:color="auto"/>
        <w:right w:val="none" w:sz="0" w:space="0" w:color="auto"/>
      </w:divBdr>
    </w:div>
    <w:div w:id="607466197">
      <w:bodyDiv w:val="1"/>
      <w:marLeft w:val="0"/>
      <w:marRight w:val="0"/>
      <w:marTop w:val="0"/>
      <w:marBottom w:val="0"/>
      <w:divBdr>
        <w:top w:val="none" w:sz="0" w:space="0" w:color="auto"/>
        <w:left w:val="none" w:sz="0" w:space="0" w:color="auto"/>
        <w:bottom w:val="none" w:sz="0" w:space="0" w:color="auto"/>
        <w:right w:val="none" w:sz="0" w:space="0" w:color="auto"/>
      </w:divBdr>
    </w:div>
    <w:div w:id="608196319">
      <w:bodyDiv w:val="1"/>
      <w:marLeft w:val="0"/>
      <w:marRight w:val="0"/>
      <w:marTop w:val="0"/>
      <w:marBottom w:val="0"/>
      <w:divBdr>
        <w:top w:val="none" w:sz="0" w:space="0" w:color="auto"/>
        <w:left w:val="none" w:sz="0" w:space="0" w:color="auto"/>
        <w:bottom w:val="none" w:sz="0" w:space="0" w:color="auto"/>
        <w:right w:val="none" w:sz="0" w:space="0" w:color="auto"/>
      </w:divBdr>
    </w:div>
    <w:div w:id="609506915">
      <w:bodyDiv w:val="1"/>
      <w:marLeft w:val="0"/>
      <w:marRight w:val="0"/>
      <w:marTop w:val="0"/>
      <w:marBottom w:val="0"/>
      <w:divBdr>
        <w:top w:val="none" w:sz="0" w:space="0" w:color="auto"/>
        <w:left w:val="none" w:sz="0" w:space="0" w:color="auto"/>
        <w:bottom w:val="none" w:sz="0" w:space="0" w:color="auto"/>
        <w:right w:val="none" w:sz="0" w:space="0" w:color="auto"/>
      </w:divBdr>
    </w:div>
    <w:div w:id="609507090">
      <w:bodyDiv w:val="1"/>
      <w:marLeft w:val="0"/>
      <w:marRight w:val="0"/>
      <w:marTop w:val="0"/>
      <w:marBottom w:val="0"/>
      <w:divBdr>
        <w:top w:val="none" w:sz="0" w:space="0" w:color="auto"/>
        <w:left w:val="none" w:sz="0" w:space="0" w:color="auto"/>
        <w:bottom w:val="none" w:sz="0" w:space="0" w:color="auto"/>
        <w:right w:val="none" w:sz="0" w:space="0" w:color="auto"/>
      </w:divBdr>
    </w:div>
    <w:div w:id="609553844">
      <w:bodyDiv w:val="1"/>
      <w:marLeft w:val="0"/>
      <w:marRight w:val="0"/>
      <w:marTop w:val="0"/>
      <w:marBottom w:val="0"/>
      <w:divBdr>
        <w:top w:val="none" w:sz="0" w:space="0" w:color="auto"/>
        <w:left w:val="none" w:sz="0" w:space="0" w:color="auto"/>
        <w:bottom w:val="none" w:sz="0" w:space="0" w:color="auto"/>
        <w:right w:val="none" w:sz="0" w:space="0" w:color="auto"/>
      </w:divBdr>
    </w:div>
    <w:div w:id="611404161">
      <w:bodyDiv w:val="1"/>
      <w:marLeft w:val="0"/>
      <w:marRight w:val="0"/>
      <w:marTop w:val="0"/>
      <w:marBottom w:val="0"/>
      <w:divBdr>
        <w:top w:val="none" w:sz="0" w:space="0" w:color="auto"/>
        <w:left w:val="none" w:sz="0" w:space="0" w:color="auto"/>
        <w:bottom w:val="none" w:sz="0" w:space="0" w:color="auto"/>
        <w:right w:val="none" w:sz="0" w:space="0" w:color="auto"/>
      </w:divBdr>
    </w:div>
    <w:div w:id="611740748">
      <w:bodyDiv w:val="1"/>
      <w:marLeft w:val="0"/>
      <w:marRight w:val="0"/>
      <w:marTop w:val="0"/>
      <w:marBottom w:val="0"/>
      <w:divBdr>
        <w:top w:val="none" w:sz="0" w:space="0" w:color="auto"/>
        <w:left w:val="none" w:sz="0" w:space="0" w:color="auto"/>
        <w:bottom w:val="none" w:sz="0" w:space="0" w:color="auto"/>
        <w:right w:val="none" w:sz="0" w:space="0" w:color="auto"/>
      </w:divBdr>
    </w:div>
    <w:div w:id="611980714">
      <w:bodyDiv w:val="1"/>
      <w:marLeft w:val="0"/>
      <w:marRight w:val="0"/>
      <w:marTop w:val="0"/>
      <w:marBottom w:val="0"/>
      <w:divBdr>
        <w:top w:val="none" w:sz="0" w:space="0" w:color="auto"/>
        <w:left w:val="none" w:sz="0" w:space="0" w:color="auto"/>
        <w:bottom w:val="none" w:sz="0" w:space="0" w:color="auto"/>
        <w:right w:val="none" w:sz="0" w:space="0" w:color="auto"/>
      </w:divBdr>
    </w:div>
    <w:div w:id="614093598">
      <w:bodyDiv w:val="1"/>
      <w:marLeft w:val="0"/>
      <w:marRight w:val="0"/>
      <w:marTop w:val="0"/>
      <w:marBottom w:val="0"/>
      <w:divBdr>
        <w:top w:val="none" w:sz="0" w:space="0" w:color="auto"/>
        <w:left w:val="none" w:sz="0" w:space="0" w:color="auto"/>
        <w:bottom w:val="none" w:sz="0" w:space="0" w:color="auto"/>
        <w:right w:val="none" w:sz="0" w:space="0" w:color="auto"/>
      </w:divBdr>
    </w:div>
    <w:div w:id="614676953">
      <w:bodyDiv w:val="1"/>
      <w:marLeft w:val="0"/>
      <w:marRight w:val="0"/>
      <w:marTop w:val="0"/>
      <w:marBottom w:val="0"/>
      <w:divBdr>
        <w:top w:val="none" w:sz="0" w:space="0" w:color="auto"/>
        <w:left w:val="none" w:sz="0" w:space="0" w:color="auto"/>
        <w:bottom w:val="none" w:sz="0" w:space="0" w:color="auto"/>
        <w:right w:val="none" w:sz="0" w:space="0" w:color="auto"/>
      </w:divBdr>
    </w:div>
    <w:div w:id="614825939">
      <w:bodyDiv w:val="1"/>
      <w:marLeft w:val="0"/>
      <w:marRight w:val="0"/>
      <w:marTop w:val="0"/>
      <w:marBottom w:val="0"/>
      <w:divBdr>
        <w:top w:val="none" w:sz="0" w:space="0" w:color="auto"/>
        <w:left w:val="none" w:sz="0" w:space="0" w:color="auto"/>
        <w:bottom w:val="none" w:sz="0" w:space="0" w:color="auto"/>
        <w:right w:val="none" w:sz="0" w:space="0" w:color="auto"/>
      </w:divBdr>
    </w:div>
    <w:div w:id="616105524">
      <w:bodyDiv w:val="1"/>
      <w:marLeft w:val="0"/>
      <w:marRight w:val="0"/>
      <w:marTop w:val="0"/>
      <w:marBottom w:val="0"/>
      <w:divBdr>
        <w:top w:val="none" w:sz="0" w:space="0" w:color="auto"/>
        <w:left w:val="none" w:sz="0" w:space="0" w:color="auto"/>
        <w:bottom w:val="none" w:sz="0" w:space="0" w:color="auto"/>
        <w:right w:val="none" w:sz="0" w:space="0" w:color="auto"/>
      </w:divBdr>
    </w:div>
    <w:div w:id="617491735">
      <w:bodyDiv w:val="1"/>
      <w:marLeft w:val="0"/>
      <w:marRight w:val="0"/>
      <w:marTop w:val="0"/>
      <w:marBottom w:val="0"/>
      <w:divBdr>
        <w:top w:val="none" w:sz="0" w:space="0" w:color="auto"/>
        <w:left w:val="none" w:sz="0" w:space="0" w:color="auto"/>
        <w:bottom w:val="none" w:sz="0" w:space="0" w:color="auto"/>
        <w:right w:val="none" w:sz="0" w:space="0" w:color="auto"/>
      </w:divBdr>
    </w:div>
    <w:div w:id="618488007">
      <w:bodyDiv w:val="1"/>
      <w:marLeft w:val="0"/>
      <w:marRight w:val="0"/>
      <w:marTop w:val="0"/>
      <w:marBottom w:val="0"/>
      <w:divBdr>
        <w:top w:val="none" w:sz="0" w:space="0" w:color="auto"/>
        <w:left w:val="none" w:sz="0" w:space="0" w:color="auto"/>
        <w:bottom w:val="none" w:sz="0" w:space="0" w:color="auto"/>
        <w:right w:val="none" w:sz="0" w:space="0" w:color="auto"/>
      </w:divBdr>
    </w:div>
    <w:div w:id="619259214">
      <w:bodyDiv w:val="1"/>
      <w:marLeft w:val="0"/>
      <w:marRight w:val="0"/>
      <w:marTop w:val="0"/>
      <w:marBottom w:val="0"/>
      <w:divBdr>
        <w:top w:val="none" w:sz="0" w:space="0" w:color="auto"/>
        <w:left w:val="none" w:sz="0" w:space="0" w:color="auto"/>
        <w:bottom w:val="none" w:sz="0" w:space="0" w:color="auto"/>
        <w:right w:val="none" w:sz="0" w:space="0" w:color="auto"/>
      </w:divBdr>
    </w:div>
    <w:div w:id="619608352">
      <w:bodyDiv w:val="1"/>
      <w:marLeft w:val="0"/>
      <w:marRight w:val="0"/>
      <w:marTop w:val="0"/>
      <w:marBottom w:val="0"/>
      <w:divBdr>
        <w:top w:val="none" w:sz="0" w:space="0" w:color="auto"/>
        <w:left w:val="none" w:sz="0" w:space="0" w:color="auto"/>
        <w:bottom w:val="none" w:sz="0" w:space="0" w:color="auto"/>
        <w:right w:val="none" w:sz="0" w:space="0" w:color="auto"/>
      </w:divBdr>
    </w:div>
    <w:div w:id="620841282">
      <w:bodyDiv w:val="1"/>
      <w:marLeft w:val="0"/>
      <w:marRight w:val="0"/>
      <w:marTop w:val="0"/>
      <w:marBottom w:val="0"/>
      <w:divBdr>
        <w:top w:val="none" w:sz="0" w:space="0" w:color="auto"/>
        <w:left w:val="none" w:sz="0" w:space="0" w:color="auto"/>
        <w:bottom w:val="none" w:sz="0" w:space="0" w:color="auto"/>
        <w:right w:val="none" w:sz="0" w:space="0" w:color="auto"/>
      </w:divBdr>
    </w:div>
    <w:div w:id="621348399">
      <w:bodyDiv w:val="1"/>
      <w:marLeft w:val="0"/>
      <w:marRight w:val="0"/>
      <w:marTop w:val="0"/>
      <w:marBottom w:val="0"/>
      <w:divBdr>
        <w:top w:val="none" w:sz="0" w:space="0" w:color="auto"/>
        <w:left w:val="none" w:sz="0" w:space="0" w:color="auto"/>
        <w:bottom w:val="none" w:sz="0" w:space="0" w:color="auto"/>
        <w:right w:val="none" w:sz="0" w:space="0" w:color="auto"/>
      </w:divBdr>
    </w:div>
    <w:div w:id="622075683">
      <w:bodyDiv w:val="1"/>
      <w:marLeft w:val="0"/>
      <w:marRight w:val="0"/>
      <w:marTop w:val="0"/>
      <w:marBottom w:val="0"/>
      <w:divBdr>
        <w:top w:val="none" w:sz="0" w:space="0" w:color="auto"/>
        <w:left w:val="none" w:sz="0" w:space="0" w:color="auto"/>
        <w:bottom w:val="none" w:sz="0" w:space="0" w:color="auto"/>
        <w:right w:val="none" w:sz="0" w:space="0" w:color="auto"/>
      </w:divBdr>
    </w:div>
    <w:div w:id="622082273">
      <w:bodyDiv w:val="1"/>
      <w:marLeft w:val="0"/>
      <w:marRight w:val="0"/>
      <w:marTop w:val="0"/>
      <w:marBottom w:val="0"/>
      <w:divBdr>
        <w:top w:val="none" w:sz="0" w:space="0" w:color="auto"/>
        <w:left w:val="none" w:sz="0" w:space="0" w:color="auto"/>
        <w:bottom w:val="none" w:sz="0" w:space="0" w:color="auto"/>
        <w:right w:val="none" w:sz="0" w:space="0" w:color="auto"/>
      </w:divBdr>
    </w:div>
    <w:div w:id="622270119">
      <w:bodyDiv w:val="1"/>
      <w:marLeft w:val="0"/>
      <w:marRight w:val="0"/>
      <w:marTop w:val="0"/>
      <w:marBottom w:val="0"/>
      <w:divBdr>
        <w:top w:val="none" w:sz="0" w:space="0" w:color="auto"/>
        <w:left w:val="none" w:sz="0" w:space="0" w:color="auto"/>
        <w:bottom w:val="none" w:sz="0" w:space="0" w:color="auto"/>
        <w:right w:val="none" w:sz="0" w:space="0" w:color="auto"/>
      </w:divBdr>
    </w:div>
    <w:div w:id="622736431">
      <w:bodyDiv w:val="1"/>
      <w:marLeft w:val="0"/>
      <w:marRight w:val="0"/>
      <w:marTop w:val="0"/>
      <w:marBottom w:val="0"/>
      <w:divBdr>
        <w:top w:val="none" w:sz="0" w:space="0" w:color="auto"/>
        <w:left w:val="none" w:sz="0" w:space="0" w:color="auto"/>
        <w:bottom w:val="none" w:sz="0" w:space="0" w:color="auto"/>
        <w:right w:val="none" w:sz="0" w:space="0" w:color="auto"/>
      </w:divBdr>
    </w:div>
    <w:div w:id="622883084">
      <w:bodyDiv w:val="1"/>
      <w:marLeft w:val="0"/>
      <w:marRight w:val="0"/>
      <w:marTop w:val="0"/>
      <w:marBottom w:val="0"/>
      <w:divBdr>
        <w:top w:val="none" w:sz="0" w:space="0" w:color="auto"/>
        <w:left w:val="none" w:sz="0" w:space="0" w:color="auto"/>
        <w:bottom w:val="none" w:sz="0" w:space="0" w:color="auto"/>
        <w:right w:val="none" w:sz="0" w:space="0" w:color="auto"/>
      </w:divBdr>
    </w:div>
    <w:div w:id="623317337">
      <w:bodyDiv w:val="1"/>
      <w:marLeft w:val="0"/>
      <w:marRight w:val="0"/>
      <w:marTop w:val="0"/>
      <w:marBottom w:val="0"/>
      <w:divBdr>
        <w:top w:val="none" w:sz="0" w:space="0" w:color="auto"/>
        <w:left w:val="none" w:sz="0" w:space="0" w:color="auto"/>
        <w:bottom w:val="none" w:sz="0" w:space="0" w:color="auto"/>
        <w:right w:val="none" w:sz="0" w:space="0" w:color="auto"/>
      </w:divBdr>
    </w:div>
    <w:div w:id="624308580">
      <w:bodyDiv w:val="1"/>
      <w:marLeft w:val="0"/>
      <w:marRight w:val="0"/>
      <w:marTop w:val="0"/>
      <w:marBottom w:val="0"/>
      <w:divBdr>
        <w:top w:val="none" w:sz="0" w:space="0" w:color="auto"/>
        <w:left w:val="none" w:sz="0" w:space="0" w:color="auto"/>
        <w:bottom w:val="none" w:sz="0" w:space="0" w:color="auto"/>
        <w:right w:val="none" w:sz="0" w:space="0" w:color="auto"/>
      </w:divBdr>
    </w:div>
    <w:div w:id="624702659">
      <w:bodyDiv w:val="1"/>
      <w:marLeft w:val="0"/>
      <w:marRight w:val="0"/>
      <w:marTop w:val="0"/>
      <w:marBottom w:val="0"/>
      <w:divBdr>
        <w:top w:val="none" w:sz="0" w:space="0" w:color="auto"/>
        <w:left w:val="none" w:sz="0" w:space="0" w:color="auto"/>
        <w:bottom w:val="none" w:sz="0" w:space="0" w:color="auto"/>
        <w:right w:val="none" w:sz="0" w:space="0" w:color="auto"/>
      </w:divBdr>
    </w:div>
    <w:div w:id="624846301">
      <w:bodyDiv w:val="1"/>
      <w:marLeft w:val="0"/>
      <w:marRight w:val="0"/>
      <w:marTop w:val="0"/>
      <w:marBottom w:val="0"/>
      <w:divBdr>
        <w:top w:val="none" w:sz="0" w:space="0" w:color="auto"/>
        <w:left w:val="none" w:sz="0" w:space="0" w:color="auto"/>
        <w:bottom w:val="none" w:sz="0" w:space="0" w:color="auto"/>
        <w:right w:val="none" w:sz="0" w:space="0" w:color="auto"/>
      </w:divBdr>
    </w:div>
    <w:div w:id="624896678">
      <w:bodyDiv w:val="1"/>
      <w:marLeft w:val="0"/>
      <w:marRight w:val="0"/>
      <w:marTop w:val="0"/>
      <w:marBottom w:val="0"/>
      <w:divBdr>
        <w:top w:val="none" w:sz="0" w:space="0" w:color="auto"/>
        <w:left w:val="none" w:sz="0" w:space="0" w:color="auto"/>
        <w:bottom w:val="none" w:sz="0" w:space="0" w:color="auto"/>
        <w:right w:val="none" w:sz="0" w:space="0" w:color="auto"/>
      </w:divBdr>
    </w:div>
    <w:div w:id="625425324">
      <w:bodyDiv w:val="1"/>
      <w:marLeft w:val="0"/>
      <w:marRight w:val="0"/>
      <w:marTop w:val="0"/>
      <w:marBottom w:val="0"/>
      <w:divBdr>
        <w:top w:val="none" w:sz="0" w:space="0" w:color="auto"/>
        <w:left w:val="none" w:sz="0" w:space="0" w:color="auto"/>
        <w:bottom w:val="none" w:sz="0" w:space="0" w:color="auto"/>
        <w:right w:val="none" w:sz="0" w:space="0" w:color="auto"/>
      </w:divBdr>
    </w:div>
    <w:div w:id="627394512">
      <w:bodyDiv w:val="1"/>
      <w:marLeft w:val="0"/>
      <w:marRight w:val="0"/>
      <w:marTop w:val="0"/>
      <w:marBottom w:val="0"/>
      <w:divBdr>
        <w:top w:val="none" w:sz="0" w:space="0" w:color="auto"/>
        <w:left w:val="none" w:sz="0" w:space="0" w:color="auto"/>
        <w:bottom w:val="none" w:sz="0" w:space="0" w:color="auto"/>
        <w:right w:val="none" w:sz="0" w:space="0" w:color="auto"/>
      </w:divBdr>
    </w:div>
    <w:div w:id="627781572">
      <w:bodyDiv w:val="1"/>
      <w:marLeft w:val="0"/>
      <w:marRight w:val="0"/>
      <w:marTop w:val="0"/>
      <w:marBottom w:val="0"/>
      <w:divBdr>
        <w:top w:val="none" w:sz="0" w:space="0" w:color="auto"/>
        <w:left w:val="none" w:sz="0" w:space="0" w:color="auto"/>
        <w:bottom w:val="none" w:sz="0" w:space="0" w:color="auto"/>
        <w:right w:val="none" w:sz="0" w:space="0" w:color="auto"/>
      </w:divBdr>
    </w:div>
    <w:div w:id="628973026">
      <w:bodyDiv w:val="1"/>
      <w:marLeft w:val="0"/>
      <w:marRight w:val="0"/>
      <w:marTop w:val="0"/>
      <w:marBottom w:val="0"/>
      <w:divBdr>
        <w:top w:val="none" w:sz="0" w:space="0" w:color="auto"/>
        <w:left w:val="none" w:sz="0" w:space="0" w:color="auto"/>
        <w:bottom w:val="none" w:sz="0" w:space="0" w:color="auto"/>
        <w:right w:val="none" w:sz="0" w:space="0" w:color="auto"/>
      </w:divBdr>
    </w:div>
    <w:div w:id="630400912">
      <w:bodyDiv w:val="1"/>
      <w:marLeft w:val="0"/>
      <w:marRight w:val="0"/>
      <w:marTop w:val="0"/>
      <w:marBottom w:val="0"/>
      <w:divBdr>
        <w:top w:val="none" w:sz="0" w:space="0" w:color="auto"/>
        <w:left w:val="none" w:sz="0" w:space="0" w:color="auto"/>
        <w:bottom w:val="none" w:sz="0" w:space="0" w:color="auto"/>
        <w:right w:val="none" w:sz="0" w:space="0" w:color="auto"/>
      </w:divBdr>
    </w:div>
    <w:div w:id="630675210">
      <w:bodyDiv w:val="1"/>
      <w:marLeft w:val="0"/>
      <w:marRight w:val="0"/>
      <w:marTop w:val="0"/>
      <w:marBottom w:val="0"/>
      <w:divBdr>
        <w:top w:val="none" w:sz="0" w:space="0" w:color="auto"/>
        <w:left w:val="none" w:sz="0" w:space="0" w:color="auto"/>
        <w:bottom w:val="none" w:sz="0" w:space="0" w:color="auto"/>
        <w:right w:val="none" w:sz="0" w:space="0" w:color="auto"/>
      </w:divBdr>
    </w:div>
    <w:div w:id="631448057">
      <w:bodyDiv w:val="1"/>
      <w:marLeft w:val="0"/>
      <w:marRight w:val="0"/>
      <w:marTop w:val="0"/>
      <w:marBottom w:val="0"/>
      <w:divBdr>
        <w:top w:val="none" w:sz="0" w:space="0" w:color="auto"/>
        <w:left w:val="none" w:sz="0" w:space="0" w:color="auto"/>
        <w:bottom w:val="none" w:sz="0" w:space="0" w:color="auto"/>
        <w:right w:val="none" w:sz="0" w:space="0" w:color="auto"/>
      </w:divBdr>
    </w:div>
    <w:div w:id="632249747">
      <w:bodyDiv w:val="1"/>
      <w:marLeft w:val="0"/>
      <w:marRight w:val="0"/>
      <w:marTop w:val="0"/>
      <w:marBottom w:val="0"/>
      <w:divBdr>
        <w:top w:val="none" w:sz="0" w:space="0" w:color="auto"/>
        <w:left w:val="none" w:sz="0" w:space="0" w:color="auto"/>
        <w:bottom w:val="none" w:sz="0" w:space="0" w:color="auto"/>
        <w:right w:val="none" w:sz="0" w:space="0" w:color="auto"/>
      </w:divBdr>
    </w:div>
    <w:div w:id="633603373">
      <w:bodyDiv w:val="1"/>
      <w:marLeft w:val="0"/>
      <w:marRight w:val="0"/>
      <w:marTop w:val="0"/>
      <w:marBottom w:val="0"/>
      <w:divBdr>
        <w:top w:val="none" w:sz="0" w:space="0" w:color="auto"/>
        <w:left w:val="none" w:sz="0" w:space="0" w:color="auto"/>
        <w:bottom w:val="none" w:sz="0" w:space="0" w:color="auto"/>
        <w:right w:val="none" w:sz="0" w:space="0" w:color="auto"/>
      </w:divBdr>
    </w:div>
    <w:div w:id="633684771">
      <w:bodyDiv w:val="1"/>
      <w:marLeft w:val="0"/>
      <w:marRight w:val="0"/>
      <w:marTop w:val="0"/>
      <w:marBottom w:val="0"/>
      <w:divBdr>
        <w:top w:val="none" w:sz="0" w:space="0" w:color="auto"/>
        <w:left w:val="none" w:sz="0" w:space="0" w:color="auto"/>
        <w:bottom w:val="none" w:sz="0" w:space="0" w:color="auto"/>
        <w:right w:val="none" w:sz="0" w:space="0" w:color="auto"/>
      </w:divBdr>
    </w:div>
    <w:div w:id="633872613">
      <w:bodyDiv w:val="1"/>
      <w:marLeft w:val="0"/>
      <w:marRight w:val="0"/>
      <w:marTop w:val="0"/>
      <w:marBottom w:val="0"/>
      <w:divBdr>
        <w:top w:val="none" w:sz="0" w:space="0" w:color="auto"/>
        <w:left w:val="none" w:sz="0" w:space="0" w:color="auto"/>
        <w:bottom w:val="none" w:sz="0" w:space="0" w:color="auto"/>
        <w:right w:val="none" w:sz="0" w:space="0" w:color="auto"/>
      </w:divBdr>
    </w:div>
    <w:div w:id="634214903">
      <w:bodyDiv w:val="1"/>
      <w:marLeft w:val="0"/>
      <w:marRight w:val="0"/>
      <w:marTop w:val="0"/>
      <w:marBottom w:val="0"/>
      <w:divBdr>
        <w:top w:val="none" w:sz="0" w:space="0" w:color="auto"/>
        <w:left w:val="none" w:sz="0" w:space="0" w:color="auto"/>
        <w:bottom w:val="none" w:sz="0" w:space="0" w:color="auto"/>
        <w:right w:val="none" w:sz="0" w:space="0" w:color="auto"/>
      </w:divBdr>
    </w:div>
    <w:div w:id="634332391">
      <w:bodyDiv w:val="1"/>
      <w:marLeft w:val="0"/>
      <w:marRight w:val="0"/>
      <w:marTop w:val="0"/>
      <w:marBottom w:val="0"/>
      <w:divBdr>
        <w:top w:val="none" w:sz="0" w:space="0" w:color="auto"/>
        <w:left w:val="none" w:sz="0" w:space="0" w:color="auto"/>
        <w:bottom w:val="none" w:sz="0" w:space="0" w:color="auto"/>
        <w:right w:val="none" w:sz="0" w:space="0" w:color="auto"/>
      </w:divBdr>
    </w:div>
    <w:div w:id="634337417">
      <w:bodyDiv w:val="1"/>
      <w:marLeft w:val="0"/>
      <w:marRight w:val="0"/>
      <w:marTop w:val="0"/>
      <w:marBottom w:val="0"/>
      <w:divBdr>
        <w:top w:val="none" w:sz="0" w:space="0" w:color="auto"/>
        <w:left w:val="none" w:sz="0" w:space="0" w:color="auto"/>
        <w:bottom w:val="none" w:sz="0" w:space="0" w:color="auto"/>
        <w:right w:val="none" w:sz="0" w:space="0" w:color="auto"/>
      </w:divBdr>
    </w:div>
    <w:div w:id="636300525">
      <w:bodyDiv w:val="1"/>
      <w:marLeft w:val="0"/>
      <w:marRight w:val="0"/>
      <w:marTop w:val="0"/>
      <w:marBottom w:val="0"/>
      <w:divBdr>
        <w:top w:val="none" w:sz="0" w:space="0" w:color="auto"/>
        <w:left w:val="none" w:sz="0" w:space="0" w:color="auto"/>
        <w:bottom w:val="none" w:sz="0" w:space="0" w:color="auto"/>
        <w:right w:val="none" w:sz="0" w:space="0" w:color="auto"/>
      </w:divBdr>
    </w:div>
    <w:div w:id="636573569">
      <w:bodyDiv w:val="1"/>
      <w:marLeft w:val="0"/>
      <w:marRight w:val="0"/>
      <w:marTop w:val="0"/>
      <w:marBottom w:val="0"/>
      <w:divBdr>
        <w:top w:val="none" w:sz="0" w:space="0" w:color="auto"/>
        <w:left w:val="none" w:sz="0" w:space="0" w:color="auto"/>
        <w:bottom w:val="none" w:sz="0" w:space="0" w:color="auto"/>
        <w:right w:val="none" w:sz="0" w:space="0" w:color="auto"/>
      </w:divBdr>
    </w:div>
    <w:div w:id="636879504">
      <w:bodyDiv w:val="1"/>
      <w:marLeft w:val="0"/>
      <w:marRight w:val="0"/>
      <w:marTop w:val="0"/>
      <w:marBottom w:val="0"/>
      <w:divBdr>
        <w:top w:val="none" w:sz="0" w:space="0" w:color="auto"/>
        <w:left w:val="none" w:sz="0" w:space="0" w:color="auto"/>
        <w:bottom w:val="none" w:sz="0" w:space="0" w:color="auto"/>
        <w:right w:val="none" w:sz="0" w:space="0" w:color="auto"/>
      </w:divBdr>
    </w:div>
    <w:div w:id="637997284">
      <w:bodyDiv w:val="1"/>
      <w:marLeft w:val="0"/>
      <w:marRight w:val="0"/>
      <w:marTop w:val="0"/>
      <w:marBottom w:val="0"/>
      <w:divBdr>
        <w:top w:val="none" w:sz="0" w:space="0" w:color="auto"/>
        <w:left w:val="none" w:sz="0" w:space="0" w:color="auto"/>
        <w:bottom w:val="none" w:sz="0" w:space="0" w:color="auto"/>
        <w:right w:val="none" w:sz="0" w:space="0" w:color="auto"/>
      </w:divBdr>
    </w:div>
    <w:div w:id="638612927">
      <w:bodyDiv w:val="1"/>
      <w:marLeft w:val="0"/>
      <w:marRight w:val="0"/>
      <w:marTop w:val="0"/>
      <w:marBottom w:val="0"/>
      <w:divBdr>
        <w:top w:val="none" w:sz="0" w:space="0" w:color="auto"/>
        <w:left w:val="none" w:sz="0" w:space="0" w:color="auto"/>
        <w:bottom w:val="none" w:sz="0" w:space="0" w:color="auto"/>
        <w:right w:val="none" w:sz="0" w:space="0" w:color="auto"/>
      </w:divBdr>
    </w:div>
    <w:div w:id="64038292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0620107">
      <w:bodyDiv w:val="1"/>
      <w:marLeft w:val="0"/>
      <w:marRight w:val="0"/>
      <w:marTop w:val="0"/>
      <w:marBottom w:val="0"/>
      <w:divBdr>
        <w:top w:val="none" w:sz="0" w:space="0" w:color="auto"/>
        <w:left w:val="none" w:sz="0" w:space="0" w:color="auto"/>
        <w:bottom w:val="none" w:sz="0" w:space="0" w:color="auto"/>
        <w:right w:val="none" w:sz="0" w:space="0" w:color="auto"/>
      </w:divBdr>
    </w:div>
    <w:div w:id="643855919">
      <w:bodyDiv w:val="1"/>
      <w:marLeft w:val="0"/>
      <w:marRight w:val="0"/>
      <w:marTop w:val="0"/>
      <w:marBottom w:val="0"/>
      <w:divBdr>
        <w:top w:val="none" w:sz="0" w:space="0" w:color="auto"/>
        <w:left w:val="none" w:sz="0" w:space="0" w:color="auto"/>
        <w:bottom w:val="none" w:sz="0" w:space="0" w:color="auto"/>
        <w:right w:val="none" w:sz="0" w:space="0" w:color="auto"/>
      </w:divBdr>
    </w:div>
    <w:div w:id="644239342">
      <w:bodyDiv w:val="1"/>
      <w:marLeft w:val="0"/>
      <w:marRight w:val="0"/>
      <w:marTop w:val="0"/>
      <w:marBottom w:val="0"/>
      <w:divBdr>
        <w:top w:val="none" w:sz="0" w:space="0" w:color="auto"/>
        <w:left w:val="none" w:sz="0" w:space="0" w:color="auto"/>
        <w:bottom w:val="none" w:sz="0" w:space="0" w:color="auto"/>
        <w:right w:val="none" w:sz="0" w:space="0" w:color="auto"/>
      </w:divBdr>
    </w:div>
    <w:div w:id="644746939">
      <w:bodyDiv w:val="1"/>
      <w:marLeft w:val="0"/>
      <w:marRight w:val="0"/>
      <w:marTop w:val="0"/>
      <w:marBottom w:val="0"/>
      <w:divBdr>
        <w:top w:val="none" w:sz="0" w:space="0" w:color="auto"/>
        <w:left w:val="none" w:sz="0" w:space="0" w:color="auto"/>
        <w:bottom w:val="none" w:sz="0" w:space="0" w:color="auto"/>
        <w:right w:val="none" w:sz="0" w:space="0" w:color="auto"/>
      </w:divBdr>
    </w:div>
    <w:div w:id="645934984">
      <w:bodyDiv w:val="1"/>
      <w:marLeft w:val="0"/>
      <w:marRight w:val="0"/>
      <w:marTop w:val="0"/>
      <w:marBottom w:val="0"/>
      <w:divBdr>
        <w:top w:val="none" w:sz="0" w:space="0" w:color="auto"/>
        <w:left w:val="none" w:sz="0" w:space="0" w:color="auto"/>
        <w:bottom w:val="none" w:sz="0" w:space="0" w:color="auto"/>
        <w:right w:val="none" w:sz="0" w:space="0" w:color="auto"/>
      </w:divBdr>
    </w:div>
    <w:div w:id="648293942">
      <w:bodyDiv w:val="1"/>
      <w:marLeft w:val="0"/>
      <w:marRight w:val="0"/>
      <w:marTop w:val="0"/>
      <w:marBottom w:val="0"/>
      <w:divBdr>
        <w:top w:val="none" w:sz="0" w:space="0" w:color="auto"/>
        <w:left w:val="none" w:sz="0" w:space="0" w:color="auto"/>
        <w:bottom w:val="none" w:sz="0" w:space="0" w:color="auto"/>
        <w:right w:val="none" w:sz="0" w:space="0" w:color="auto"/>
      </w:divBdr>
    </w:div>
    <w:div w:id="648361332">
      <w:bodyDiv w:val="1"/>
      <w:marLeft w:val="0"/>
      <w:marRight w:val="0"/>
      <w:marTop w:val="0"/>
      <w:marBottom w:val="0"/>
      <w:divBdr>
        <w:top w:val="none" w:sz="0" w:space="0" w:color="auto"/>
        <w:left w:val="none" w:sz="0" w:space="0" w:color="auto"/>
        <w:bottom w:val="none" w:sz="0" w:space="0" w:color="auto"/>
        <w:right w:val="none" w:sz="0" w:space="0" w:color="auto"/>
      </w:divBdr>
    </w:div>
    <w:div w:id="649485796">
      <w:bodyDiv w:val="1"/>
      <w:marLeft w:val="0"/>
      <w:marRight w:val="0"/>
      <w:marTop w:val="0"/>
      <w:marBottom w:val="0"/>
      <w:divBdr>
        <w:top w:val="none" w:sz="0" w:space="0" w:color="auto"/>
        <w:left w:val="none" w:sz="0" w:space="0" w:color="auto"/>
        <w:bottom w:val="none" w:sz="0" w:space="0" w:color="auto"/>
        <w:right w:val="none" w:sz="0" w:space="0" w:color="auto"/>
      </w:divBdr>
    </w:div>
    <w:div w:id="649604067">
      <w:bodyDiv w:val="1"/>
      <w:marLeft w:val="0"/>
      <w:marRight w:val="0"/>
      <w:marTop w:val="0"/>
      <w:marBottom w:val="0"/>
      <w:divBdr>
        <w:top w:val="none" w:sz="0" w:space="0" w:color="auto"/>
        <w:left w:val="none" w:sz="0" w:space="0" w:color="auto"/>
        <w:bottom w:val="none" w:sz="0" w:space="0" w:color="auto"/>
        <w:right w:val="none" w:sz="0" w:space="0" w:color="auto"/>
      </w:divBdr>
    </w:div>
    <w:div w:id="650254085">
      <w:bodyDiv w:val="1"/>
      <w:marLeft w:val="0"/>
      <w:marRight w:val="0"/>
      <w:marTop w:val="0"/>
      <w:marBottom w:val="0"/>
      <w:divBdr>
        <w:top w:val="none" w:sz="0" w:space="0" w:color="auto"/>
        <w:left w:val="none" w:sz="0" w:space="0" w:color="auto"/>
        <w:bottom w:val="none" w:sz="0" w:space="0" w:color="auto"/>
        <w:right w:val="none" w:sz="0" w:space="0" w:color="auto"/>
      </w:divBdr>
    </w:div>
    <w:div w:id="652174699">
      <w:bodyDiv w:val="1"/>
      <w:marLeft w:val="0"/>
      <w:marRight w:val="0"/>
      <w:marTop w:val="0"/>
      <w:marBottom w:val="0"/>
      <w:divBdr>
        <w:top w:val="none" w:sz="0" w:space="0" w:color="auto"/>
        <w:left w:val="none" w:sz="0" w:space="0" w:color="auto"/>
        <w:bottom w:val="none" w:sz="0" w:space="0" w:color="auto"/>
        <w:right w:val="none" w:sz="0" w:space="0" w:color="auto"/>
      </w:divBdr>
    </w:div>
    <w:div w:id="652416856">
      <w:bodyDiv w:val="1"/>
      <w:marLeft w:val="0"/>
      <w:marRight w:val="0"/>
      <w:marTop w:val="0"/>
      <w:marBottom w:val="0"/>
      <w:divBdr>
        <w:top w:val="none" w:sz="0" w:space="0" w:color="auto"/>
        <w:left w:val="none" w:sz="0" w:space="0" w:color="auto"/>
        <w:bottom w:val="none" w:sz="0" w:space="0" w:color="auto"/>
        <w:right w:val="none" w:sz="0" w:space="0" w:color="auto"/>
      </w:divBdr>
    </w:div>
    <w:div w:id="652560026">
      <w:bodyDiv w:val="1"/>
      <w:marLeft w:val="0"/>
      <w:marRight w:val="0"/>
      <w:marTop w:val="0"/>
      <w:marBottom w:val="0"/>
      <w:divBdr>
        <w:top w:val="none" w:sz="0" w:space="0" w:color="auto"/>
        <w:left w:val="none" w:sz="0" w:space="0" w:color="auto"/>
        <w:bottom w:val="none" w:sz="0" w:space="0" w:color="auto"/>
        <w:right w:val="none" w:sz="0" w:space="0" w:color="auto"/>
      </w:divBdr>
    </w:div>
    <w:div w:id="652684409">
      <w:bodyDiv w:val="1"/>
      <w:marLeft w:val="0"/>
      <w:marRight w:val="0"/>
      <w:marTop w:val="0"/>
      <w:marBottom w:val="0"/>
      <w:divBdr>
        <w:top w:val="none" w:sz="0" w:space="0" w:color="auto"/>
        <w:left w:val="none" w:sz="0" w:space="0" w:color="auto"/>
        <w:bottom w:val="none" w:sz="0" w:space="0" w:color="auto"/>
        <w:right w:val="none" w:sz="0" w:space="0" w:color="auto"/>
      </w:divBdr>
    </w:div>
    <w:div w:id="653603053">
      <w:bodyDiv w:val="1"/>
      <w:marLeft w:val="0"/>
      <w:marRight w:val="0"/>
      <w:marTop w:val="0"/>
      <w:marBottom w:val="0"/>
      <w:divBdr>
        <w:top w:val="none" w:sz="0" w:space="0" w:color="auto"/>
        <w:left w:val="none" w:sz="0" w:space="0" w:color="auto"/>
        <w:bottom w:val="none" w:sz="0" w:space="0" w:color="auto"/>
        <w:right w:val="none" w:sz="0" w:space="0" w:color="auto"/>
      </w:divBdr>
    </w:div>
    <w:div w:id="654651340">
      <w:bodyDiv w:val="1"/>
      <w:marLeft w:val="0"/>
      <w:marRight w:val="0"/>
      <w:marTop w:val="0"/>
      <w:marBottom w:val="0"/>
      <w:divBdr>
        <w:top w:val="none" w:sz="0" w:space="0" w:color="auto"/>
        <w:left w:val="none" w:sz="0" w:space="0" w:color="auto"/>
        <w:bottom w:val="none" w:sz="0" w:space="0" w:color="auto"/>
        <w:right w:val="none" w:sz="0" w:space="0" w:color="auto"/>
      </w:divBdr>
    </w:div>
    <w:div w:id="654802410">
      <w:bodyDiv w:val="1"/>
      <w:marLeft w:val="0"/>
      <w:marRight w:val="0"/>
      <w:marTop w:val="0"/>
      <w:marBottom w:val="0"/>
      <w:divBdr>
        <w:top w:val="none" w:sz="0" w:space="0" w:color="auto"/>
        <w:left w:val="none" w:sz="0" w:space="0" w:color="auto"/>
        <w:bottom w:val="none" w:sz="0" w:space="0" w:color="auto"/>
        <w:right w:val="none" w:sz="0" w:space="0" w:color="auto"/>
      </w:divBdr>
    </w:div>
    <w:div w:id="654988924">
      <w:bodyDiv w:val="1"/>
      <w:marLeft w:val="0"/>
      <w:marRight w:val="0"/>
      <w:marTop w:val="0"/>
      <w:marBottom w:val="0"/>
      <w:divBdr>
        <w:top w:val="none" w:sz="0" w:space="0" w:color="auto"/>
        <w:left w:val="none" w:sz="0" w:space="0" w:color="auto"/>
        <w:bottom w:val="none" w:sz="0" w:space="0" w:color="auto"/>
        <w:right w:val="none" w:sz="0" w:space="0" w:color="auto"/>
      </w:divBdr>
    </w:div>
    <w:div w:id="654992463">
      <w:bodyDiv w:val="1"/>
      <w:marLeft w:val="0"/>
      <w:marRight w:val="0"/>
      <w:marTop w:val="0"/>
      <w:marBottom w:val="0"/>
      <w:divBdr>
        <w:top w:val="none" w:sz="0" w:space="0" w:color="auto"/>
        <w:left w:val="none" w:sz="0" w:space="0" w:color="auto"/>
        <w:bottom w:val="none" w:sz="0" w:space="0" w:color="auto"/>
        <w:right w:val="none" w:sz="0" w:space="0" w:color="auto"/>
      </w:divBdr>
    </w:div>
    <w:div w:id="656760781">
      <w:bodyDiv w:val="1"/>
      <w:marLeft w:val="0"/>
      <w:marRight w:val="0"/>
      <w:marTop w:val="0"/>
      <w:marBottom w:val="0"/>
      <w:divBdr>
        <w:top w:val="none" w:sz="0" w:space="0" w:color="auto"/>
        <w:left w:val="none" w:sz="0" w:space="0" w:color="auto"/>
        <w:bottom w:val="none" w:sz="0" w:space="0" w:color="auto"/>
        <w:right w:val="none" w:sz="0" w:space="0" w:color="auto"/>
      </w:divBdr>
    </w:div>
    <w:div w:id="656766856">
      <w:bodyDiv w:val="1"/>
      <w:marLeft w:val="0"/>
      <w:marRight w:val="0"/>
      <w:marTop w:val="0"/>
      <w:marBottom w:val="0"/>
      <w:divBdr>
        <w:top w:val="none" w:sz="0" w:space="0" w:color="auto"/>
        <w:left w:val="none" w:sz="0" w:space="0" w:color="auto"/>
        <w:bottom w:val="none" w:sz="0" w:space="0" w:color="auto"/>
        <w:right w:val="none" w:sz="0" w:space="0" w:color="auto"/>
      </w:divBdr>
    </w:div>
    <w:div w:id="657227117">
      <w:bodyDiv w:val="1"/>
      <w:marLeft w:val="0"/>
      <w:marRight w:val="0"/>
      <w:marTop w:val="0"/>
      <w:marBottom w:val="0"/>
      <w:divBdr>
        <w:top w:val="none" w:sz="0" w:space="0" w:color="auto"/>
        <w:left w:val="none" w:sz="0" w:space="0" w:color="auto"/>
        <w:bottom w:val="none" w:sz="0" w:space="0" w:color="auto"/>
        <w:right w:val="none" w:sz="0" w:space="0" w:color="auto"/>
      </w:divBdr>
    </w:div>
    <w:div w:id="658995593">
      <w:bodyDiv w:val="1"/>
      <w:marLeft w:val="0"/>
      <w:marRight w:val="0"/>
      <w:marTop w:val="0"/>
      <w:marBottom w:val="0"/>
      <w:divBdr>
        <w:top w:val="none" w:sz="0" w:space="0" w:color="auto"/>
        <w:left w:val="none" w:sz="0" w:space="0" w:color="auto"/>
        <w:bottom w:val="none" w:sz="0" w:space="0" w:color="auto"/>
        <w:right w:val="none" w:sz="0" w:space="0" w:color="auto"/>
      </w:divBdr>
    </w:div>
    <w:div w:id="659697073">
      <w:bodyDiv w:val="1"/>
      <w:marLeft w:val="0"/>
      <w:marRight w:val="0"/>
      <w:marTop w:val="0"/>
      <w:marBottom w:val="0"/>
      <w:divBdr>
        <w:top w:val="none" w:sz="0" w:space="0" w:color="auto"/>
        <w:left w:val="none" w:sz="0" w:space="0" w:color="auto"/>
        <w:bottom w:val="none" w:sz="0" w:space="0" w:color="auto"/>
        <w:right w:val="none" w:sz="0" w:space="0" w:color="auto"/>
      </w:divBdr>
    </w:div>
    <w:div w:id="660617122">
      <w:bodyDiv w:val="1"/>
      <w:marLeft w:val="0"/>
      <w:marRight w:val="0"/>
      <w:marTop w:val="0"/>
      <w:marBottom w:val="0"/>
      <w:divBdr>
        <w:top w:val="none" w:sz="0" w:space="0" w:color="auto"/>
        <w:left w:val="none" w:sz="0" w:space="0" w:color="auto"/>
        <w:bottom w:val="none" w:sz="0" w:space="0" w:color="auto"/>
        <w:right w:val="none" w:sz="0" w:space="0" w:color="auto"/>
      </w:divBdr>
    </w:div>
    <w:div w:id="662709303">
      <w:bodyDiv w:val="1"/>
      <w:marLeft w:val="0"/>
      <w:marRight w:val="0"/>
      <w:marTop w:val="0"/>
      <w:marBottom w:val="0"/>
      <w:divBdr>
        <w:top w:val="none" w:sz="0" w:space="0" w:color="auto"/>
        <w:left w:val="none" w:sz="0" w:space="0" w:color="auto"/>
        <w:bottom w:val="none" w:sz="0" w:space="0" w:color="auto"/>
        <w:right w:val="none" w:sz="0" w:space="0" w:color="auto"/>
      </w:divBdr>
    </w:div>
    <w:div w:id="662856093">
      <w:bodyDiv w:val="1"/>
      <w:marLeft w:val="0"/>
      <w:marRight w:val="0"/>
      <w:marTop w:val="0"/>
      <w:marBottom w:val="0"/>
      <w:divBdr>
        <w:top w:val="none" w:sz="0" w:space="0" w:color="auto"/>
        <w:left w:val="none" w:sz="0" w:space="0" w:color="auto"/>
        <w:bottom w:val="none" w:sz="0" w:space="0" w:color="auto"/>
        <w:right w:val="none" w:sz="0" w:space="0" w:color="auto"/>
      </w:divBdr>
    </w:div>
    <w:div w:id="662926255">
      <w:bodyDiv w:val="1"/>
      <w:marLeft w:val="0"/>
      <w:marRight w:val="0"/>
      <w:marTop w:val="0"/>
      <w:marBottom w:val="0"/>
      <w:divBdr>
        <w:top w:val="none" w:sz="0" w:space="0" w:color="auto"/>
        <w:left w:val="none" w:sz="0" w:space="0" w:color="auto"/>
        <w:bottom w:val="none" w:sz="0" w:space="0" w:color="auto"/>
        <w:right w:val="none" w:sz="0" w:space="0" w:color="auto"/>
      </w:divBdr>
    </w:div>
    <w:div w:id="663625701">
      <w:bodyDiv w:val="1"/>
      <w:marLeft w:val="0"/>
      <w:marRight w:val="0"/>
      <w:marTop w:val="0"/>
      <w:marBottom w:val="0"/>
      <w:divBdr>
        <w:top w:val="none" w:sz="0" w:space="0" w:color="auto"/>
        <w:left w:val="none" w:sz="0" w:space="0" w:color="auto"/>
        <w:bottom w:val="none" w:sz="0" w:space="0" w:color="auto"/>
        <w:right w:val="none" w:sz="0" w:space="0" w:color="auto"/>
      </w:divBdr>
    </w:div>
    <w:div w:id="663630921">
      <w:bodyDiv w:val="1"/>
      <w:marLeft w:val="0"/>
      <w:marRight w:val="0"/>
      <w:marTop w:val="0"/>
      <w:marBottom w:val="0"/>
      <w:divBdr>
        <w:top w:val="none" w:sz="0" w:space="0" w:color="auto"/>
        <w:left w:val="none" w:sz="0" w:space="0" w:color="auto"/>
        <w:bottom w:val="none" w:sz="0" w:space="0" w:color="auto"/>
        <w:right w:val="none" w:sz="0" w:space="0" w:color="auto"/>
      </w:divBdr>
    </w:div>
    <w:div w:id="663750394">
      <w:bodyDiv w:val="1"/>
      <w:marLeft w:val="0"/>
      <w:marRight w:val="0"/>
      <w:marTop w:val="0"/>
      <w:marBottom w:val="0"/>
      <w:divBdr>
        <w:top w:val="none" w:sz="0" w:space="0" w:color="auto"/>
        <w:left w:val="none" w:sz="0" w:space="0" w:color="auto"/>
        <w:bottom w:val="none" w:sz="0" w:space="0" w:color="auto"/>
        <w:right w:val="none" w:sz="0" w:space="0" w:color="auto"/>
      </w:divBdr>
    </w:div>
    <w:div w:id="664741830">
      <w:bodyDiv w:val="1"/>
      <w:marLeft w:val="0"/>
      <w:marRight w:val="0"/>
      <w:marTop w:val="0"/>
      <w:marBottom w:val="0"/>
      <w:divBdr>
        <w:top w:val="none" w:sz="0" w:space="0" w:color="auto"/>
        <w:left w:val="none" w:sz="0" w:space="0" w:color="auto"/>
        <w:bottom w:val="none" w:sz="0" w:space="0" w:color="auto"/>
        <w:right w:val="none" w:sz="0" w:space="0" w:color="auto"/>
      </w:divBdr>
    </w:div>
    <w:div w:id="664745689">
      <w:bodyDiv w:val="1"/>
      <w:marLeft w:val="0"/>
      <w:marRight w:val="0"/>
      <w:marTop w:val="0"/>
      <w:marBottom w:val="0"/>
      <w:divBdr>
        <w:top w:val="none" w:sz="0" w:space="0" w:color="auto"/>
        <w:left w:val="none" w:sz="0" w:space="0" w:color="auto"/>
        <w:bottom w:val="none" w:sz="0" w:space="0" w:color="auto"/>
        <w:right w:val="none" w:sz="0" w:space="0" w:color="auto"/>
      </w:divBdr>
    </w:div>
    <w:div w:id="665520106">
      <w:bodyDiv w:val="1"/>
      <w:marLeft w:val="0"/>
      <w:marRight w:val="0"/>
      <w:marTop w:val="0"/>
      <w:marBottom w:val="0"/>
      <w:divBdr>
        <w:top w:val="none" w:sz="0" w:space="0" w:color="auto"/>
        <w:left w:val="none" w:sz="0" w:space="0" w:color="auto"/>
        <w:bottom w:val="none" w:sz="0" w:space="0" w:color="auto"/>
        <w:right w:val="none" w:sz="0" w:space="0" w:color="auto"/>
      </w:divBdr>
    </w:div>
    <w:div w:id="665522289">
      <w:bodyDiv w:val="1"/>
      <w:marLeft w:val="0"/>
      <w:marRight w:val="0"/>
      <w:marTop w:val="0"/>
      <w:marBottom w:val="0"/>
      <w:divBdr>
        <w:top w:val="none" w:sz="0" w:space="0" w:color="auto"/>
        <w:left w:val="none" w:sz="0" w:space="0" w:color="auto"/>
        <w:bottom w:val="none" w:sz="0" w:space="0" w:color="auto"/>
        <w:right w:val="none" w:sz="0" w:space="0" w:color="auto"/>
      </w:divBdr>
    </w:div>
    <w:div w:id="667562882">
      <w:bodyDiv w:val="1"/>
      <w:marLeft w:val="0"/>
      <w:marRight w:val="0"/>
      <w:marTop w:val="0"/>
      <w:marBottom w:val="0"/>
      <w:divBdr>
        <w:top w:val="none" w:sz="0" w:space="0" w:color="auto"/>
        <w:left w:val="none" w:sz="0" w:space="0" w:color="auto"/>
        <w:bottom w:val="none" w:sz="0" w:space="0" w:color="auto"/>
        <w:right w:val="none" w:sz="0" w:space="0" w:color="auto"/>
      </w:divBdr>
    </w:div>
    <w:div w:id="667637333">
      <w:bodyDiv w:val="1"/>
      <w:marLeft w:val="0"/>
      <w:marRight w:val="0"/>
      <w:marTop w:val="0"/>
      <w:marBottom w:val="0"/>
      <w:divBdr>
        <w:top w:val="none" w:sz="0" w:space="0" w:color="auto"/>
        <w:left w:val="none" w:sz="0" w:space="0" w:color="auto"/>
        <w:bottom w:val="none" w:sz="0" w:space="0" w:color="auto"/>
        <w:right w:val="none" w:sz="0" w:space="0" w:color="auto"/>
      </w:divBdr>
    </w:div>
    <w:div w:id="668171910">
      <w:bodyDiv w:val="1"/>
      <w:marLeft w:val="0"/>
      <w:marRight w:val="0"/>
      <w:marTop w:val="0"/>
      <w:marBottom w:val="0"/>
      <w:divBdr>
        <w:top w:val="none" w:sz="0" w:space="0" w:color="auto"/>
        <w:left w:val="none" w:sz="0" w:space="0" w:color="auto"/>
        <w:bottom w:val="none" w:sz="0" w:space="0" w:color="auto"/>
        <w:right w:val="none" w:sz="0" w:space="0" w:color="auto"/>
      </w:divBdr>
    </w:div>
    <w:div w:id="669216125">
      <w:bodyDiv w:val="1"/>
      <w:marLeft w:val="0"/>
      <w:marRight w:val="0"/>
      <w:marTop w:val="0"/>
      <w:marBottom w:val="0"/>
      <w:divBdr>
        <w:top w:val="none" w:sz="0" w:space="0" w:color="auto"/>
        <w:left w:val="none" w:sz="0" w:space="0" w:color="auto"/>
        <w:bottom w:val="none" w:sz="0" w:space="0" w:color="auto"/>
        <w:right w:val="none" w:sz="0" w:space="0" w:color="auto"/>
      </w:divBdr>
    </w:div>
    <w:div w:id="669992203">
      <w:bodyDiv w:val="1"/>
      <w:marLeft w:val="0"/>
      <w:marRight w:val="0"/>
      <w:marTop w:val="0"/>
      <w:marBottom w:val="0"/>
      <w:divBdr>
        <w:top w:val="none" w:sz="0" w:space="0" w:color="auto"/>
        <w:left w:val="none" w:sz="0" w:space="0" w:color="auto"/>
        <w:bottom w:val="none" w:sz="0" w:space="0" w:color="auto"/>
        <w:right w:val="none" w:sz="0" w:space="0" w:color="auto"/>
      </w:divBdr>
    </w:div>
    <w:div w:id="670647823">
      <w:bodyDiv w:val="1"/>
      <w:marLeft w:val="0"/>
      <w:marRight w:val="0"/>
      <w:marTop w:val="0"/>
      <w:marBottom w:val="0"/>
      <w:divBdr>
        <w:top w:val="none" w:sz="0" w:space="0" w:color="auto"/>
        <w:left w:val="none" w:sz="0" w:space="0" w:color="auto"/>
        <w:bottom w:val="none" w:sz="0" w:space="0" w:color="auto"/>
        <w:right w:val="none" w:sz="0" w:space="0" w:color="auto"/>
      </w:divBdr>
    </w:div>
    <w:div w:id="671448950">
      <w:bodyDiv w:val="1"/>
      <w:marLeft w:val="0"/>
      <w:marRight w:val="0"/>
      <w:marTop w:val="0"/>
      <w:marBottom w:val="0"/>
      <w:divBdr>
        <w:top w:val="none" w:sz="0" w:space="0" w:color="auto"/>
        <w:left w:val="none" w:sz="0" w:space="0" w:color="auto"/>
        <w:bottom w:val="none" w:sz="0" w:space="0" w:color="auto"/>
        <w:right w:val="none" w:sz="0" w:space="0" w:color="auto"/>
      </w:divBdr>
    </w:div>
    <w:div w:id="671837320">
      <w:bodyDiv w:val="1"/>
      <w:marLeft w:val="0"/>
      <w:marRight w:val="0"/>
      <w:marTop w:val="0"/>
      <w:marBottom w:val="0"/>
      <w:divBdr>
        <w:top w:val="none" w:sz="0" w:space="0" w:color="auto"/>
        <w:left w:val="none" w:sz="0" w:space="0" w:color="auto"/>
        <w:bottom w:val="none" w:sz="0" w:space="0" w:color="auto"/>
        <w:right w:val="none" w:sz="0" w:space="0" w:color="auto"/>
      </w:divBdr>
    </w:div>
    <w:div w:id="671879654">
      <w:bodyDiv w:val="1"/>
      <w:marLeft w:val="0"/>
      <w:marRight w:val="0"/>
      <w:marTop w:val="0"/>
      <w:marBottom w:val="0"/>
      <w:divBdr>
        <w:top w:val="none" w:sz="0" w:space="0" w:color="auto"/>
        <w:left w:val="none" w:sz="0" w:space="0" w:color="auto"/>
        <w:bottom w:val="none" w:sz="0" w:space="0" w:color="auto"/>
        <w:right w:val="none" w:sz="0" w:space="0" w:color="auto"/>
      </w:divBdr>
    </w:div>
    <w:div w:id="672100695">
      <w:bodyDiv w:val="1"/>
      <w:marLeft w:val="0"/>
      <w:marRight w:val="0"/>
      <w:marTop w:val="0"/>
      <w:marBottom w:val="0"/>
      <w:divBdr>
        <w:top w:val="none" w:sz="0" w:space="0" w:color="auto"/>
        <w:left w:val="none" w:sz="0" w:space="0" w:color="auto"/>
        <w:bottom w:val="none" w:sz="0" w:space="0" w:color="auto"/>
        <w:right w:val="none" w:sz="0" w:space="0" w:color="auto"/>
      </w:divBdr>
    </w:div>
    <w:div w:id="672343661">
      <w:bodyDiv w:val="1"/>
      <w:marLeft w:val="0"/>
      <w:marRight w:val="0"/>
      <w:marTop w:val="0"/>
      <w:marBottom w:val="0"/>
      <w:divBdr>
        <w:top w:val="none" w:sz="0" w:space="0" w:color="auto"/>
        <w:left w:val="none" w:sz="0" w:space="0" w:color="auto"/>
        <w:bottom w:val="none" w:sz="0" w:space="0" w:color="auto"/>
        <w:right w:val="none" w:sz="0" w:space="0" w:color="auto"/>
      </w:divBdr>
    </w:div>
    <w:div w:id="672531034">
      <w:bodyDiv w:val="1"/>
      <w:marLeft w:val="0"/>
      <w:marRight w:val="0"/>
      <w:marTop w:val="0"/>
      <w:marBottom w:val="0"/>
      <w:divBdr>
        <w:top w:val="none" w:sz="0" w:space="0" w:color="auto"/>
        <w:left w:val="none" w:sz="0" w:space="0" w:color="auto"/>
        <w:bottom w:val="none" w:sz="0" w:space="0" w:color="auto"/>
        <w:right w:val="none" w:sz="0" w:space="0" w:color="auto"/>
      </w:divBdr>
    </w:div>
    <w:div w:id="672756290">
      <w:bodyDiv w:val="1"/>
      <w:marLeft w:val="0"/>
      <w:marRight w:val="0"/>
      <w:marTop w:val="0"/>
      <w:marBottom w:val="0"/>
      <w:divBdr>
        <w:top w:val="none" w:sz="0" w:space="0" w:color="auto"/>
        <w:left w:val="none" w:sz="0" w:space="0" w:color="auto"/>
        <w:bottom w:val="none" w:sz="0" w:space="0" w:color="auto"/>
        <w:right w:val="none" w:sz="0" w:space="0" w:color="auto"/>
      </w:divBdr>
    </w:div>
    <w:div w:id="672948887">
      <w:bodyDiv w:val="1"/>
      <w:marLeft w:val="0"/>
      <w:marRight w:val="0"/>
      <w:marTop w:val="0"/>
      <w:marBottom w:val="0"/>
      <w:divBdr>
        <w:top w:val="none" w:sz="0" w:space="0" w:color="auto"/>
        <w:left w:val="none" w:sz="0" w:space="0" w:color="auto"/>
        <w:bottom w:val="none" w:sz="0" w:space="0" w:color="auto"/>
        <w:right w:val="none" w:sz="0" w:space="0" w:color="auto"/>
      </w:divBdr>
    </w:div>
    <w:div w:id="673647274">
      <w:bodyDiv w:val="1"/>
      <w:marLeft w:val="0"/>
      <w:marRight w:val="0"/>
      <w:marTop w:val="0"/>
      <w:marBottom w:val="0"/>
      <w:divBdr>
        <w:top w:val="none" w:sz="0" w:space="0" w:color="auto"/>
        <w:left w:val="none" w:sz="0" w:space="0" w:color="auto"/>
        <w:bottom w:val="none" w:sz="0" w:space="0" w:color="auto"/>
        <w:right w:val="none" w:sz="0" w:space="0" w:color="auto"/>
      </w:divBdr>
    </w:div>
    <w:div w:id="673916430">
      <w:bodyDiv w:val="1"/>
      <w:marLeft w:val="0"/>
      <w:marRight w:val="0"/>
      <w:marTop w:val="0"/>
      <w:marBottom w:val="0"/>
      <w:divBdr>
        <w:top w:val="none" w:sz="0" w:space="0" w:color="auto"/>
        <w:left w:val="none" w:sz="0" w:space="0" w:color="auto"/>
        <w:bottom w:val="none" w:sz="0" w:space="0" w:color="auto"/>
        <w:right w:val="none" w:sz="0" w:space="0" w:color="auto"/>
      </w:divBdr>
    </w:div>
    <w:div w:id="674259987">
      <w:bodyDiv w:val="1"/>
      <w:marLeft w:val="0"/>
      <w:marRight w:val="0"/>
      <w:marTop w:val="0"/>
      <w:marBottom w:val="0"/>
      <w:divBdr>
        <w:top w:val="none" w:sz="0" w:space="0" w:color="auto"/>
        <w:left w:val="none" w:sz="0" w:space="0" w:color="auto"/>
        <w:bottom w:val="none" w:sz="0" w:space="0" w:color="auto"/>
        <w:right w:val="none" w:sz="0" w:space="0" w:color="auto"/>
      </w:divBdr>
    </w:div>
    <w:div w:id="674654660">
      <w:bodyDiv w:val="1"/>
      <w:marLeft w:val="0"/>
      <w:marRight w:val="0"/>
      <w:marTop w:val="0"/>
      <w:marBottom w:val="0"/>
      <w:divBdr>
        <w:top w:val="none" w:sz="0" w:space="0" w:color="auto"/>
        <w:left w:val="none" w:sz="0" w:space="0" w:color="auto"/>
        <w:bottom w:val="none" w:sz="0" w:space="0" w:color="auto"/>
        <w:right w:val="none" w:sz="0" w:space="0" w:color="auto"/>
      </w:divBdr>
    </w:div>
    <w:div w:id="676230536">
      <w:bodyDiv w:val="1"/>
      <w:marLeft w:val="0"/>
      <w:marRight w:val="0"/>
      <w:marTop w:val="0"/>
      <w:marBottom w:val="0"/>
      <w:divBdr>
        <w:top w:val="none" w:sz="0" w:space="0" w:color="auto"/>
        <w:left w:val="none" w:sz="0" w:space="0" w:color="auto"/>
        <w:bottom w:val="none" w:sz="0" w:space="0" w:color="auto"/>
        <w:right w:val="none" w:sz="0" w:space="0" w:color="auto"/>
      </w:divBdr>
    </w:div>
    <w:div w:id="677461361">
      <w:bodyDiv w:val="1"/>
      <w:marLeft w:val="0"/>
      <w:marRight w:val="0"/>
      <w:marTop w:val="0"/>
      <w:marBottom w:val="0"/>
      <w:divBdr>
        <w:top w:val="none" w:sz="0" w:space="0" w:color="auto"/>
        <w:left w:val="none" w:sz="0" w:space="0" w:color="auto"/>
        <w:bottom w:val="none" w:sz="0" w:space="0" w:color="auto"/>
        <w:right w:val="none" w:sz="0" w:space="0" w:color="auto"/>
      </w:divBdr>
    </w:div>
    <w:div w:id="678001891">
      <w:bodyDiv w:val="1"/>
      <w:marLeft w:val="0"/>
      <w:marRight w:val="0"/>
      <w:marTop w:val="0"/>
      <w:marBottom w:val="0"/>
      <w:divBdr>
        <w:top w:val="none" w:sz="0" w:space="0" w:color="auto"/>
        <w:left w:val="none" w:sz="0" w:space="0" w:color="auto"/>
        <w:bottom w:val="none" w:sz="0" w:space="0" w:color="auto"/>
        <w:right w:val="none" w:sz="0" w:space="0" w:color="auto"/>
      </w:divBdr>
    </w:div>
    <w:div w:id="678234641">
      <w:bodyDiv w:val="1"/>
      <w:marLeft w:val="0"/>
      <w:marRight w:val="0"/>
      <w:marTop w:val="0"/>
      <w:marBottom w:val="0"/>
      <w:divBdr>
        <w:top w:val="none" w:sz="0" w:space="0" w:color="auto"/>
        <w:left w:val="none" w:sz="0" w:space="0" w:color="auto"/>
        <w:bottom w:val="none" w:sz="0" w:space="0" w:color="auto"/>
        <w:right w:val="none" w:sz="0" w:space="0" w:color="auto"/>
      </w:divBdr>
    </w:div>
    <w:div w:id="678507263">
      <w:bodyDiv w:val="1"/>
      <w:marLeft w:val="0"/>
      <w:marRight w:val="0"/>
      <w:marTop w:val="0"/>
      <w:marBottom w:val="0"/>
      <w:divBdr>
        <w:top w:val="none" w:sz="0" w:space="0" w:color="auto"/>
        <w:left w:val="none" w:sz="0" w:space="0" w:color="auto"/>
        <w:bottom w:val="none" w:sz="0" w:space="0" w:color="auto"/>
        <w:right w:val="none" w:sz="0" w:space="0" w:color="auto"/>
      </w:divBdr>
    </w:div>
    <w:div w:id="678654640">
      <w:bodyDiv w:val="1"/>
      <w:marLeft w:val="0"/>
      <w:marRight w:val="0"/>
      <w:marTop w:val="0"/>
      <w:marBottom w:val="0"/>
      <w:divBdr>
        <w:top w:val="none" w:sz="0" w:space="0" w:color="auto"/>
        <w:left w:val="none" w:sz="0" w:space="0" w:color="auto"/>
        <w:bottom w:val="none" w:sz="0" w:space="0" w:color="auto"/>
        <w:right w:val="none" w:sz="0" w:space="0" w:color="auto"/>
      </w:divBdr>
    </w:div>
    <w:div w:id="680205299">
      <w:bodyDiv w:val="1"/>
      <w:marLeft w:val="0"/>
      <w:marRight w:val="0"/>
      <w:marTop w:val="0"/>
      <w:marBottom w:val="0"/>
      <w:divBdr>
        <w:top w:val="none" w:sz="0" w:space="0" w:color="auto"/>
        <w:left w:val="none" w:sz="0" w:space="0" w:color="auto"/>
        <w:bottom w:val="none" w:sz="0" w:space="0" w:color="auto"/>
        <w:right w:val="none" w:sz="0" w:space="0" w:color="auto"/>
      </w:divBdr>
    </w:div>
    <w:div w:id="680358059">
      <w:bodyDiv w:val="1"/>
      <w:marLeft w:val="0"/>
      <w:marRight w:val="0"/>
      <w:marTop w:val="0"/>
      <w:marBottom w:val="0"/>
      <w:divBdr>
        <w:top w:val="none" w:sz="0" w:space="0" w:color="auto"/>
        <w:left w:val="none" w:sz="0" w:space="0" w:color="auto"/>
        <w:bottom w:val="none" w:sz="0" w:space="0" w:color="auto"/>
        <w:right w:val="none" w:sz="0" w:space="0" w:color="auto"/>
      </w:divBdr>
    </w:div>
    <w:div w:id="680473203">
      <w:bodyDiv w:val="1"/>
      <w:marLeft w:val="0"/>
      <w:marRight w:val="0"/>
      <w:marTop w:val="0"/>
      <w:marBottom w:val="0"/>
      <w:divBdr>
        <w:top w:val="none" w:sz="0" w:space="0" w:color="auto"/>
        <w:left w:val="none" w:sz="0" w:space="0" w:color="auto"/>
        <w:bottom w:val="none" w:sz="0" w:space="0" w:color="auto"/>
        <w:right w:val="none" w:sz="0" w:space="0" w:color="auto"/>
      </w:divBdr>
    </w:div>
    <w:div w:id="680815202">
      <w:bodyDiv w:val="1"/>
      <w:marLeft w:val="0"/>
      <w:marRight w:val="0"/>
      <w:marTop w:val="0"/>
      <w:marBottom w:val="0"/>
      <w:divBdr>
        <w:top w:val="none" w:sz="0" w:space="0" w:color="auto"/>
        <w:left w:val="none" w:sz="0" w:space="0" w:color="auto"/>
        <w:bottom w:val="none" w:sz="0" w:space="0" w:color="auto"/>
        <w:right w:val="none" w:sz="0" w:space="0" w:color="auto"/>
      </w:divBdr>
    </w:div>
    <w:div w:id="682128818">
      <w:bodyDiv w:val="1"/>
      <w:marLeft w:val="0"/>
      <w:marRight w:val="0"/>
      <w:marTop w:val="0"/>
      <w:marBottom w:val="0"/>
      <w:divBdr>
        <w:top w:val="none" w:sz="0" w:space="0" w:color="auto"/>
        <w:left w:val="none" w:sz="0" w:space="0" w:color="auto"/>
        <w:bottom w:val="none" w:sz="0" w:space="0" w:color="auto"/>
        <w:right w:val="none" w:sz="0" w:space="0" w:color="auto"/>
      </w:divBdr>
    </w:div>
    <w:div w:id="683746406">
      <w:bodyDiv w:val="1"/>
      <w:marLeft w:val="0"/>
      <w:marRight w:val="0"/>
      <w:marTop w:val="0"/>
      <w:marBottom w:val="0"/>
      <w:divBdr>
        <w:top w:val="none" w:sz="0" w:space="0" w:color="auto"/>
        <w:left w:val="none" w:sz="0" w:space="0" w:color="auto"/>
        <w:bottom w:val="none" w:sz="0" w:space="0" w:color="auto"/>
        <w:right w:val="none" w:sz="0" w:space="0" w:color="auto"/>
      </w:divBdr>
    </w:div>
    <w:div w:id="684288353">
      <w:bodyDiv w:val="1"/>
      <w:marLeft w:val="0"/>
      <w:marRight w:val="0"/>
      <w:marTop w:val="0"/>
      <w:marBottom w:val="0"/>
      <w:divBdr>
        <w:top w:val="none" w:sz="0" w:space="0" w:color="auto"/>
        <w:left w:val="none" w:sz="0" w:space="0" w:color="auto"/>
        <w:bottom w:val="none" w:sz="0" w:space="0" w:color="auto"/>
        <w:right w:val="none" w:sz="0" w:space="0" w:color="auto"/>
      </w:divBdr>
    </w:div>
    <w:div w:id="684556147">
      <w:bodyDiv w:val="1"/>
      <w:marLeft w:val="0"/>
      <w:marRight w:val="0"/>
      <w:marTop w:val="0"/>
      <w:marBottom w:val="0"/>
      <w:divBdr>
        <w:top w:val="none" w:sz="0" w:space="0" w:color="auto"/>
        <w:left w:val="none" w:sz="0" w:space="0" w:color="auto"/>
        <w:bottom w:val="none" w:sz="0" w:space="0" w:color="auto"/>
        <w:right w:val="none" w:sz="0" w:space="0" w:color="auto"/>
      </w:divBdr>
    </w:div>
    <w:div w:id="684749708">
      <w:bodyDiv w:val="1"/>
      <w:marLeft w:val="0"/>
      <w:marRight w:val="0"/>
      <w:marTop w:val="0"/>
      <w:marBottom w:val="0"/>
      <w:divBdr>
        <w:top w:val="none" w:sz="0" w:space="0" w:color="auto"/>
        <w:left w:val="none" w:sz="0" w:space="0" w:color="auto"/>
        <w:bottom w:val="none" w:sz="0" w:space="0" w:color="auto"/>
        <w:right w:val="none" w:sz="0" w:space="0" w:color="auto"/>
      </w:divBdr>
    </w:div>
    <w:div w:id="686100336">
      <w:bodyDiv w:val="1"/>
      <w:marLeft w:val="0"/>
      <w:marRight w:val="0"/>
      <w:marTop w:val="0"/>
      <w:marBottom w:val="0"/>
      <w:divBdr>
        <w:top w:val="none" w:sz="0" w:space="0" w:color="auto"/>
        <w:left w:val="none" w:sz="0" w:space="0" w:color="auto"/>
        <w:bottom w:val="none" w:sz="0" w:space="0" w:color="auto"/>
        <w:right w:val="none" w:sz="0" w:space="0" w:color="auto"/>
      </w:divBdr>
    </w:div>
    <w:div w:id="687827502">
      <w:bodyDiv w:val="1"/>
      <w:marLeft w:val="0"/>
      <w:marRight w:val="0"/>
      <w:marTop w:val="0"/>
      <w:marBottom w:val="0"/>
      <w:divBdr>
        <w:top w:val="none" w:sz="0" w:space="0" w:color="auto"/>
        <w:left w:val="none" w:sz="0" w:space="0" w:color="auto"/>
        <w:bottom w:val="none" w:sz="0" w:space="0" w:color="auto"/>
        <w:right w:val="none" w:sz="0" w:space="0" w:color="auto"/>
      </w:divBdr>
    </w:div>
    <w:div w:id="688066944">
      <w:bodyDiv w:val="1"/>
      <w:marLeft w:val="0"/>
      <w:marRight w:val="0"/>
      <w:marTop w:val="0"/>
      <w:marBottom w:val="0"/>
      <w:divBdr>
        <w:top w:val="none" w:sz="0" w:space="0" w:color="auto"/>
        <w:left w:val="none" w:sz="0" w:space="0" w:color="auto"/>
        <w:bottom w:val="none" w:sz="0" w:space="0" w:color="auto"/>
        <w:right w:val="none" w:sz="0" w:space="0" w:color="auto"/>
      </w:divBdr>
    </w:div>
    <w:div w:id="688067265">
      <w:bodyDiv w:val="1"/>
      <w:marLeft w:val="0"/>
      <w:marRight w:val="0"/>
      <w:marTop w:val="0"/>
      <w:marBottom w:val="0"/>
      <w:divBdr>
        <w:top w:val="none" w:sz="0" w:space="0" w:color="auto"/>
        <w:left w:val="none" w:sz="0" w:space="0" w:color="auto"/>
        <w:bottom w:val="none" w:sz="0" w:space="0" w:color="auto"/>
        <w:right w:val="none" w:sz="0" w:space="0" w:color="auto"/>
      </w:divBdr>
    </w:div>
    <w:div w:id="688456253">
      <w:bodyDiv w:val="1"/>
      <w:marLeft w:val="0"/>
      <w:marRight w:val="0"/>
      <w:marTop w:val="0"/>
      <w:marBottom w:val="0"/>
      <w:divBdr>
        <w:top w:val="none" w:sz="0" w:space="0" w:color="auto"/>
        <w:left w:val="none" w:sz="0" w:space="0" w:color="auto"/>
        <w:bottom w:val="none" w:sz="0" w:space="0" w:color="auto"/>
        <w:right w:val="none" w:sz="0" w:space="0" w:color="auto"/>
      </w:divBdr>
    </w:div>
    <w:div w:id="688532233">
      <w:bodyDiv w:val="1"/>
      <w:marLeft w:val="0"/>
      <w:marRight w:val="0"/>
      <w:marTop w:val="0"/>
      <w:marBottom w:val="0"/>
      <w:divBdr>
        <w:top w:val="none" w:sz="0" w:space="0" w:color="auto"/>
        <w:left w:val="none" w:sz="0" w:space="0" w:color="auto"/>
        <w:bottom w:val="none" w:sz="0" w:space="0" w:color="auto"/>
        <w:right w:val="none" w:sz="0" w:space="0" w:color="auto"/>
      </w:divBdr>
    </w:div>
    <w:div w:id="689720322">
      <w:bodyDiv w:val="1"/>
      <w:marLeft w:val="0"/>
      <w:marRight w:val="0"/>
      <w:marTop w:val="0"/>
      <w:marBottom w:val="0"/>
      <w:divBdr>
        <w:top w:val="none" w:sz="0" w:space="0" w:color="auto"/>
        <w:left w:val="none" w:sz="0" w:space="0" w:color="auto"/>
        <w:bottom w:val="none" w:sz="0" w:space="0" w:color="auto"/>
        <w:right w:val="none" w:sz="0" w:space="0" w:color="auto"/>
      </w:divBdr>
    </w:div>
    <w:div w:id="690379642">
      <w:bodyDiv w:val="1"/>
      <w:marLeft w:val="0"/>
      <w:marRight w:val="0"/>
      <w:marTop w:val="0"/>
      <w:marBottom w:val="0"/>
      <w:divBdr>
        <w:top w:val="none" w:sz="0" w:space="0" w:color="auto"/>
        <w:left w:val="none" w:sz="0" w:space="0" w:color="auto"/>
        <w:bottom w:val="none" w:sz="0" w:space="0" w:color="auto"/>
        <w:right w:val="none" w:sz="0" w:space="0" w:color="auto"/>
      </w:divBdr>
    </w:div>
    <w:div w:id="690764830">
      <w:bodyDiv w:val="1"/>
      <w:marLeft w:val="0"/>
      <w:marRight w:val="0"/>
      <w:marTop w:val="0"/>
      <w:marBottom w:val="0"/>
      <w:divBdr>
        <w:top w:val="none" w:sz="0" w:space="0" w:color="auto"/>
        <w:left w:val="none" w:sz="0" w:space="0" w:color="auto"/>
        <w:bottom w:val="none" w:sz="0" w:space="0" w:color="auto"/>
        <w:right w:val="none" w:sz="0" w:space="0" w:color="auto"/>
      </w:divBdr>
    </w:div>
    <w:div w:id="691077525">
      <w:bodyDiv w:val="1"/>
      <w:marLeft w:val="0"/>
      <w:marRight w:val="0"/>
      <w:marTop w:val="0"/>
      <w:marBottom w:val="0"/>
      <w:divBdr>
        <w:top w:val="none" w:sz="0" w:space="0" w:color="auto"/>
        <w:left w:val="none" w:sz="0" w:space="0" w:color="auto"/>
        <w:bottom w:val="none" w:sz="0" w:space="0" w:color="auto"/>
        <w:right w:val="none" w:sz="0" w:space="0" w:color="auto"/>
      </w:divBdr>
    </w:div>
    <w:div w:id="691759716">
      <w:bodyDiv w:val="1"/>
      <w:marLeft w:val="0"/>
      <w:marRight w:val="0"/>
      <w:marTop w:val="0"/>
      <w:marBottom w:val="0"/>
      <w:divBdr>
        <w:top w:val="none" w:sz="0" w:space="0" w:color="auto"/>
        <w:left w:val="none" w:sz="0" w:space="0" w:color="auto"/>
        <w:bottom w:val="none" w:sz="0" w:space="0" w:color="auto"/>
        <w:right w:val="none" w:sz="0" w:space="0" w:color="auto"/>
      </w:divBdr>
    </w:div>
    <w:div w:id="693116848">
      <w:bodyDiv w:val="1"/>
      <w:marLeft w:val="0"/>
      <w:marRight w:val="0"/>
      <w:marTop w:val="0"/>
      <w:marBottom w:val="0"/>
      <w:divBdr>
        <w:top w:val="none" w:sz="0" w:space="0" w:color="auto"/>
        <w:left w:val="none" w:sz="0" w:space="0" w:color="auto"/>
        <w:bottom w:val="none" w:sz="0" w:space="0" w:color="auto"/>
        <w:right w:val="none" w:sz="0" w:space="0" w:color="auto"/>
      </w:divBdr>
    </w:div>
    <w:div w:id="693582160">
      <w:bodyDiv w:val="1"/>
      <w:marLeft w:val="0"/>
      <w:marRight w:val="0"/>
      <w:marTop w:val="0"/>
      <w:marBottom w:val="0"/>
      <w:divBdr>
        <w:top w:val="none" w:sz="0" w:space="0" w:color="auto"/>
        <w:left w:val="none" w:sz="0" w:space="0" w:color="auto"/>
        <w:bottom w:val="none" w:sz="0" w:space="0" w:color="auto"/>
        <w:right w:val="none" w:sz="0" w:space="0" w:color="auto"/>
      </w:divBdr>
    </w:div>
    <w:div w:id="693921521">
      <w:bodyDiv w:val="1"/>
      <w:marLeft w:val="0"/>
      <w:marRight w:val="0"/>
      <w:marTop w:val="0"/>
      <w:marBottom w:val="0"/>
      <w:divBdr>
        <w:top w:val="none" w:sz="0" w:space="0" w:color="auto"/>
        <w:left w:val="none" w:sz="0" w:space="0" w:color="auto"/>
        <w:bottom w:val="none" w:sz="0" w:space="0" w:color="auto"/>
        <w:right w:val="none" w:sz="0" w:space="0" w:color="auto"/>
      </w:divBdr>
    </w:div>
    <w:div w:id="694381001">
      <w:bodyDiv w:val="1"/>
      <w:marLeft w:val="0"/>
      <w:marRight w:val="0"/>
      <w:marTop w:val="0"/>
      <w:marBottom w:val="0"/>
      <w:divBdr>
        <w:top w:val="none" w:sz="0" w:space="0" w:color="auto"/>
        <w:left w:val="none" w:sz="0" w:space="0" w:color="auto"/>
        <w:bottom w:val="none" w:sz="0" w:space="0" w:color="auto"/>
        <w:right w:val="none" w:sz="0" w:space="0" w:color="auto"/>
      </w:divBdr>
    </w:div>
    <w:div w:id="694965537">
      <w:bodyDiv w:val="1"/>
      <w:marLeft w:val="0"/>
      <w:marRight w:val="0"/>
      <w:marTop w:val="0"/>
      <w:marBottom w:val="0"/>
      <w:divBdr>
        <w:top w:val="none" w:sz="0" w:space="0" w:color="auto"/>
        <w:left w:val="none" w:sz="0" w:space="0" w:color="auto"/>
        <w:bottom w:val="none" w:sz="0" w:space="0" w:color="auto"/>
        <w:right w:val="none" w:sz="0" w:space="0" w:color="auto"/>
      </w:divBdr>
    </w:div>
    <w:div w:id="695236048">
      <w:bodyDiv w:val="1"/>
      <w:marLeft w:val="0"/>
      <w:marRight w:val="0"/>
      <w:marTop w:val="0"/>
      <w:marBottom w:val="0"/>
      <w:divBdr>
        <w:top w:val="none" w:sz="0" w:space="0" w:color="auto"/>
        <w:left w:val="none" w:sz="0" w:space="0" w:color="auto"/>
        <w:bottom w:val="none" w:sz="0" w:space="0" w:color="auto"/>
        <w:right w:val="none" w:sz="0" w:space="0" w:color="auto"/>
      </w:divBdr>
    </w:div>
    <w:div w:id="695664750">
      <w:bodyDiv w:val="1"/>
      <w:marLeft w:val="0"/>
      <w:marRight w:val="0"/>
      <w:marTop w:val="0"/>
      <w:marBottom w:val="0"/>
      <w:divBdr>
        <w:top w:val="none" w:sz="0" w:space="0" w:color="auto"/>
        <w:left w:val="none" w:sz="0" w:space="0" w:color="auto"/>
        <w:bottom w:val="none" w:sz="0" w:space="0" w:color="auto"/>
        <w:right w:val="none" w:sz="0" w:space="0" w:color="auto"/>
      </w:divBdr>
    </w:div>
    <w:div w:id="695816756">
      <w:bodyDiv w:val="1"/>
      <w:marLeft w:val="0"/>
      <w:marRight w:val="0"/>
      <w:marTop w:val="0"/>
      <w:marBottom w:val="0"/>
      <w:divBdr>
        <w:top w:val="none" w:sz="0" w:space="0" w:color="auto"/>
        <w:left w:val="none" w:sz="0" w:space="0" w:color="auto"/>
        <w:bottom w:val="none" w:sz="0" w:space="0" w:color="auto"/>
        <w:right w:val="none" w:sz="0" w:space="0" w:color="auto"/>
      </w:divBdr>
    </w:div>
    <w:div w:id="695927264">
      <w:bodyDiv w:val="1"/>
      <w:marLeft w:val="0"/>
      <w:marRight w:val="0"/>
      <w:marTop w:val="0"/>
      <w:marBottom w:val="0"/>
      <w:divBdr>
        <w:top w:val="none" w:sz="0" w:space="0" w:color="auto"/>
        <w:left w:val="none" w:sz="0" w:space="0" w:color="auto"/>
        <w:bottom w:val="none" w:sz="0" w:space="0" w:color="auto"/>
        <w:right w:val="none" w:sz="0" w:space="0" w:color="auto"/>
      </w:divBdr>
    </w:div>
    <w:div w:id="696469863">
      <w:bodyDiv w:val="1"/>
      <w:marLeft w:val="0"/>
      <w:marRight w:val="0"/>
      <w:marTop w:val="0"/>
      <w:marBottom w:val="0"/>
      <w:divBdr>
        <w:top w:val="none" w:sz="0" w:space="0" w:color="auto"/>
        <w:left w:val="none" w:sz="0" w:space="0" w:color="auto"/>
        <w:bottom w:val="none" w:sz="0" w:space="0" w:color="auto"/>
        <w:right w:val="none" w:sz="0" w:space="0" w:color="auto"/>
      </w:divBdr>
    </w:div>
    <w:div w:id="697045248">
      <w:bodyDiv w:val="1"/>
      <w:marLeft w:val="0"/>
      <w:marRight w:val="0"/>
      <w:marTop w:val="0"/>
      <w:marBottom w:val="0"/>
      <w:divBdr>
        <w:top w:val="none" w:sz="0" w:space="0" w:color="auto"/>
        <w:left w:val="none" w:sz="0" w:space="0" w:color="auto"/>
        <w:bottom w:val="none" w:sz="0" w:space="0" w:color="auto"/>
        <w:right w:val="none" w:sz="0" w:space="0" w:color="auto"/>
      </w:divBdr>
    </w:div>
    <w:div w:id="697200839">
      <w:bodyDiv w:val="1"/>
      <w:marLeft w:val="0"/>
      <w:marRight w:val="0"/>
      <w:marTop w:val="0"/>
      <w:marBottom w:val="0"/>
      <w:divBdr>
        <w:top w:val="none" w:sz="0" w:space="0" w:color="auto"/>
        <w:left w:val="none" w:sz="0" w:space="0" w:color="auto"/>
        <w:bottom w:val="none" w:sz="0" w:space="0" w:color="auto"/>
        <w:right w:val="none" w:sz="0" w:space="0" w:color="auto"/>
      </w:divBdr>
    </w:div>
    <w:div w:id="697466494">
      <w:bodyDiv w:val="1"/>
      <w:marLeft w:val="0"/>
      <w:marRight w:val="0"/>
      <w:marTop w:val="0"/>
      <w:marBottom w:val="0"/>
      <w:divBdr>
        <w:top w:val="none" w:sz="0" w:space="0" w:color="auto"/>
        <w:left w:val="none" w:sz="0" w:space="0" w:color="auto"/>
        <w:bottom w:val="none" w:sz="0" w:space="0" w:color="auto"/>
        <w:right w:val="none" w:sz="0" w:space="0" w:color="auto"/>
      </w:divBdr>
    </w:div>
    <w:div w:id="697778865">
      <w:bodyDiv w:val="1"/>
      <w:marLeft w:val="0"/>
      <w:marRight w:val="0"/>
      <w:marTop w:val="0"/>
      <w:marBottom w:val="0"/>
      <w:divBdr>
        <w:top w:val="none" w:sz="0" w:space="0" w:color="auto"/>
        <w:left w:val="none" w:sz="0" w:space="0" w:color="auto"/>
        <w:bottom w:val="none" w:sz="0" w:space="0" w:color="auto"/>
        <w:right w:val="none" w:sz="0" w:space="0" w:color="auto"/>
      </w:divBdr>
    </w:div>
    <w:div w:id="697899725">
      <w:bodyDiv w:val="1"/>
      <w:marLeft w:val="0"/>
      <w:marRight w:val="0"/>
      <w:marTop w:val="0"/>
      <w:marBottom w:val="0"/>
      <w:divBdr>
        <w:top w:val="none" w:sz="0" w:space="0" w:color="auto"/>
        <w:left w:val="none" w:sz="0" w:space="0" w:color="auto"/>
        <w:bottom w:val="none" w:sz="0" w:space="0" w:color="auto"/>
        <w:right w:val="none" w:sz="0" w:space="0" w:color="auto"/>
      </w:divBdr>
    </w:div>
    <w:div w:id="699209008">
      <w:bodyDiv w:val="1"/>
      <w:marLeft w:val="0"/>
      <w:marRight w:val="0"/>
      <w:marTop w:val="0"/>
      <w:marBottom w:val="0"/>
      <w:divBdr>
        <w:top w:val="none" w:sz="0" w:space="0" w:color="auto"/>
        <w:left w:val="none" w:sz="0" w:space="0" w:color="auto"/>
        <w:bottom w:val="none" w:sz="0" w:space="0" w:color="auto"/>
        <w:right w:val="none" w:sz="0" w:space="0" w:color="auto"/>
      </w:divBdr>
    </w:div>
    <w:div w:id="699553848">
      <w:bodyDiv w:val="1"/>
      <w:marLeft w:val="0"/>
      <w:marRight w:val="0"/>
      <w:marTop w:val="0"/>
      <w:marBottom w:val="0"/>
      <w:divBdr>
        <w:top w:val="none" w:sz="0" w:space="0" w:color="auto"/>
        <w:left w:val="none" w:sz="0" w:space="0" w:color="auto"/>
        <w:bottom w:val="none" w:sz="0" w:space="0" w:color="auto"/>
        <w:right w:val="none" w:sz="0" w:space="0" w:color="auto"/>
      </w:divBdr>
    </w:div>
    <w:div w:id="701053724">
      <w:bodyDiv w:val="1"/>
      <w:marLeft w:val="0"/>
      <w:marRight w:val="0"/>
      <w:marTop w:val="0"/>
      <w:marBottom w:val="0"/>
      <w:divBdr>
        <w:top w:val="none" w:sz="0" w:space="0" w:color="auto"/>
        <w:left w:val="none" w:sz="0" w:space="0" w:color="auto"/>
        <w:bottom w:val="none" w:sz="0" w:space="0" w:color="auto"/>
        <w:right w:val="none" w:sz="0" w:space="0" w:color="auto"/>
      </w:divBdr>
    </w:div>
    <w:div w:id="701176428">
      <w:bodyDiv w:val="1"/>
      <w:marLeft w:val="0"/>
      <w:marRight w:val="0"/>
      <w:marTop w:val="0"/>
      <w:marBottom w:val="0"/>
      <w:divBdr>
        <w:top w:val="none" w:sz="0" w:space="0" w:color="auto"/>
        <w:left w:val="none" w:sz="0" w:space="0" w:color="auto"/>
        <w:bottom w:val="none" w:sz="0" w:space="0" w:color="auto"/>
        <w:right w:val="none" w:sz="0" w:space="0" w:color="auto"/>
      </w:divBdr>
    </w:div>
    <w:div w:id="701706896">
      <w:bodyDiv w:val="1"/>
      <w:marLeft w:val="0"/>
      <w:marRight w:val="0"/>
      <w:marTop w:val="0"/>
      <w:marBottom w:val="0"/>
      <w:divBdr>
        <w:top w:val="none" w:sz="0" w:space="0" w:color="auto"/>
        <w:left w:val="none" w:sz="0" w:space="0" w:color="auto"/>
        <w:bottom w:val="none" w:sz="0" w:space="0" w:color="auto"/>
        <w:right w:val="none" w:sz="0" w:space="0" w:color="auto"/>
      </w:divBdr>
    </w:div>
    <w:div w:id="703946790">
      <w:bodyDiv w:val="1"/>
      <w:marLeft w:val="0"/>
      <w:marRight w:val="0"/>
      <w:marTop w:val="0"/>
      <w:marBottom w:val="0"/>
      <w:divBdr>
        <w:top w:val="none" w:sz="0" w:space="0" w:color="auto"/>
        <w:left w:val="none" w:sz="0" w:space="0" w:color="auto"/>
        <w:bottom w:val="none" w:sz="0" w:space="0" w:color="auto"/>
        <w:right w:val="none" w:sz="0" w:space="0" w:color="auto"/>
      </w:divBdr>
    </w:div>
    <w:div w:id="704525098">
      <w:bodyDiv w:val="1"/>
      <w:marLeft w:val="0"/>
      <w:marRight w:val="0"/>
      <w:marTop w:val="0"/>
      <w:marBottom w:val="0"/>
      <w:divBdr>
        <w:top w:val="none" w:sz="0" w:space="0" w:color="auto"/>
        <w:left w:val="none" w:sz="0" w:space="0" w:color="auto"/>
        <w:bottom w:val="none" w:sz="0" w:space="0" w:color="auto"/>
        <w:right w:val="none" w:sz="0" w:space="0" w:color="auto"/>
      </w:divBdr>
    </w:div>
    <w:div w:id="704715009">
      <w:bodyDiv w:val="1"/>
      <w:marLeft w:val="0"/>
      <w:marRight w:val="0"/>
      <w:marTop w:val="0"/>
      <w:marBottom w:val="0"/>
      <w:divBdr>
        <w:top w:val="none" w:sz="0" w:space="0" w:color="auto"/>
        <w:left w:val="none" w:sz="0" w:space="0" w:color="auto"/>
        <w:bottom w:val="none" w:sz="0" w:space="0" w:color="auto"/>
        <w:right w:val="none" w:sz="0" w:space="0" w:color="auto"/>
      </w:divBdr>
    </w:div>
    <w:div w:id="704909302">
      <w:bodyDiv w:val="1"/>
      <w:marLeft w:val="0"/>
      <w:marRight w:val="0"/>
      <w:marTop w:val="0"/>
      <w:marBottom w:val="0"/>
      <w:divBdr>
        <w:top w:val="none" w:sz="0" w:space="0" w:color="auto"/>
        <w:left w:val="none" w:sz="0" w:space="0" w:color="auto"/>
        <w:bottom w:val="none" w:sz="0" w:space="0" w:color="auto"/>
        <w:right w:val="none" w:sz="0" w:space="0" w:color="auto"/>
      </w:divBdr>
    </w:div>
    <w:div w:id="705177302">
      <w:bodyDiv w:val="1"/>
      <w:marLeft w:val="0"/>
      <w:marRight w:val="0"/>
      <w:marTop w:val="0"/>
      <w:marBottom w:val="0"/>
      <w:divBdr>
        <w:top w:val="none" w:sz="0" w:space="0" w:color="auto"/>
        <w:left w:val="none" w:sz="0" w:space="0" w:color="auto"/>
        <w:bottom w:val="none" w:sz="0" w:space="0" w:color="auto"/>
        <w:right w:val="none" w:sz="0" w:space="0" w:color="auto"/>
      </w:divBdr>
    </w:div>
    <w:div w:id="705720123">
      <w:bodyDiv w:val="1"/>
      <w:marLeft w:val="0"/>
      <w:marRight w:val="0"/>
      <w:marTop w:val="0"/>
      <w:marBottom w:val="0"/>
      <w:divBdr>
        <w:top w:val="none" w:sz="0" w:space="0" w:color="auto"/>
        <w:left w:val="none" w:sz="0" w:space="0" w:color="auto"/>
        <w:bottom w:val="none" w:sz="0" w:space="0" w:color="auto"/>
        <w:right w:val="none" w:sz="0" w:space="0" w:color="auto"/>
      </w:divBdr>
    </w:div>
    <w:div w:id="706224767">
      <w:bodyDiv w:val="1"/>
      <w:marLeft w:val="0"/>
      <w:marRight w:val="0"/>
      <w:marTop w:val="0"/>
      <w:marBottom w:val="0"/>
      <w:divBdr>
        <w:top w:val="none" w:sz="0" w:space="0" w:color="auto"/>
        <w:left w:val="none" w:sz="0" w:space="0" w:color="auto"/>
        <w:bottom w:val="none" w:sz="0" w:space="0" w:color="auto"/>
        <w:right w:val="none" w:sz="0" w:space="0" w:color="auto"/>
      </w:divBdr>
    </w:div>
    <w:div w:id="706562257">
      <w:bodyDiv w:val="1"/>
      <w:marLeft w:val="0"/>
      <w:marRight w:val="0"/>
      <w:marTop w:val="0"/>
      <w:marBottom w:val="0"/>
      <w:divBdr>
        <w:top w:val="none" w:sz="0" w:space="0" w:color="auto"/>
        <w:left w:val="none" w:sz="0" w:space="0" w:color="auto"/>
        <w:bottom w:val="none" w:sz="0" w:space="0" w:color="auto"/>
        <w:right w:val="none" w:sz="0" w:space="0" w:color="auto"/>
      </w:divBdr>
    </w:div>
    <w:div w:id="707071489">
      <w:bodyDiv w:val="1"/>
      <w:marLeft w:val="0"/>
      <w:marRight w:val="0"/>
      <w:marTop w:val="0"/>
      <w:marBottom w:val="0"/>
      <w:divBdr>
        <w:top w:val="none" w:sz="0" w:space="0" w:color="auto"/>
        <w:left w:val="none" w:sz="0" w:space="0" w:color="auto"/>
        <w:bottom w:val="none" w:sz="0" w:space="0" w:color="auto"/>
        <w:right w:val="none" w:sz="0" w:space="0" w:color="auto"/>
      </w:divBdr>
    </w:div>
    <w:div w:id="707337257">
      <w:bodyDiv w:val="1"/>
      <w:marLeft w:val="0"/>
      <w:marRight w:val="0"/>
      <w:marTop w:val="0"/>
      <w:marBottom w:val="0"/>
      <w:divBdr>
        <w:top w:val="none" w:sz="0" w:space="0" w:color="auto"/>
        <w:left w:val="none" w:sz="0" w:space="0" w:color="auto"/>
        <w:bottom w:val="none" w:sz="0" w:space="0" w:color="auto"/>
        <w:right w:val="none" w:sz="0" w:space="0" w:color="auto"/>
      </w:divBdr>
    </w:div>
    <w:div w:id="707991977">
      <w:bodyDiv w:val="1"/>
      <w:marLeft w:val="0"/>
      <w:marRight w:val="0"/>
      <w:marTop w:val="0"/>
      <w:marBottom w:val="0"/>
      <w:divBdr>
        <w:top w:val="none" w:sz="0" w:space="0" w:color="auto"/>
        <w:left w:val="none" w:sz="0" w:space="0" w:color="auto"/>
        <w:bottom w:val="none" w:sz="0" w:space="0" w:color="auto"/>
        <w:right w:val="none" w:sz="0" w:space="0" w:color="auto"/>
      </w:divBdr>
    </w:div>
    <w:div w:id="708988433">
      <w:bodyDiv w:val="1"/>
      <w:marLeft w:val="0"/>
      <w:marRight w:val="0"/>
      <w:marTop w:val="0"/>
      <w:marBottom w:val="0"/>
      <w:divBdr>
        <w:top w:val="none" w:sz="0" w:space="0" w:color="auto"/>
        <w:left w:val="none" w:sz="0" w:space="0" w:color="auto"/>
        <w:bottom w:val="none" w:sz="0" w:space="0" w:color="auto"/>
        <w:right w:val="none" w:sz="0" w:space="0" w:color="auto"/>
      </w:divBdr>
    </w:div>
    <w:div w:id="709186847">
      <w:bodyDiv w:val="1"/>
      <w:marLeft w:val="0"/>
      <w:marRight w:val="0"/>
      <w:marTop w:val="0"/>
      <w:marBottom w:val="0"/>
      <w:divBdr>
        <w:top w:val="none" w:sz="0" w:space="0" w:color="auto"/>
        <w:left w:val="none" w:sz="0" w:space="0" w:color="auto"/>
        <w:bottom w:val="none" w:sz="0" w:space="0" w:color="auto"/>
        <w:right w:val="none" w:sz="0" w:space="0" w:color="auto"/>
      </w:divBdr>
    </w:div>
    <w:div w:id="709575952">
      <w:bodyDiv w:val="1"/>
      <w:marLeft w:val="0"/>
      <w:marRight w:val="0"/>
      <w:marTop w:val="0"/>
      <w:marBottom w:val="0"/>
      <w:divBdr>
        <w:top w:val="none" w:sz="0" w:space="0" w:color="auto"/>
        <w:left w:val="none" w:sz="0" w:space="0" w:color="auto"/>
        <w:bottom w:val="none" w:sz="0" w:space="0" w:color="auto"/>
        <w:right w:val="none" w:sz="0" w:space="0" w:color="auto"/>
      </w:divBdr>
    </w:div>
    <w:div w:id="709766688">
      <w:bodyDiv w:val="1"/>
      <w:marLeft w:val="0"/>
      <w:marRight w:val="0"/>
      <w:marTop w:val="0"/>
      <w:marBottom w:val="0"/>
      <w:divBdr>
        <w:top w:val="none" w:sz="0" w:space="0" w:color="auto"/>
        <w:left w:val="none" w:sz="0" w:space="0" w:color="auto"/>
        <w:bottom w:val="none" w:sz="0" w:space="0" w:color="auto"/>
        <w:right w:val="none" w:sz="0" w:space="0" w:color="auto"/>
      </w:divBdr>
    </w:div>
    <w:div w:id="709770963">
      <w:bodyDiv w:val="1"/>
      <w:marLeft w:val="0"/>
      <w:marRight w:val="0"/>
      <w:marTop w:val="0"/>
      <w:marBottom w:val="0"/>
      <w:divBdr>
        <w:top w:val="none" w:sz="0" w:space="0" w:color="auto"/>
        <w:left w:val="none" w:sz="0" w:space="0" w:color="auto"/>
        <w:bottom w:val="none" w:sz="0" w:space="0" w:color="auto"/>
        <w:right w:val="none" w:sz="0" w:space="0" w:color="auto"/>
      </w:divBdr>
    </w:div>
    <w:div w:id="709964174">
      <w:bodyDiv w:val="1"/>
      <w:marLeft w:val="0"/>
      <w:marRight w:val="0"/>
      <w:marTop w:val="0"/>
      <w:marBottom w:val="0"/>
      <w:divBdr>
        <w:top w:val="none" w:sz="0" w:space="0" w:color="auto"/>
        <w:left w:val="none" w:sz="0" w:space="0" w:color="auto"/>
        <w:bottom w:val="none" w:sz="0" w:space="0" w:color="auto"/>
        <w:right w:val="none" w:sz="0" w:space="0" w:color="auto"/>
      </w:divBdr>
    </w:div>
    <w:div w:id="710154256">
      <w:bodyDiv w:val="1"/>
      <w:marLeft w:val="0"/>
      <w:marRight w:val="0"/>
      <w:marTop w:val="0"/>
      <w:marBottom w:val="0"/>
      <w:divBdr>
        <w:top w:val="none" w:sz="0" w:space="0" w:color="auto"/>
        <w:left w:val="none" w:sz="0" w:space="0" w:color="auto"/>
        <w:bottom w:val="none" w:sz="0" w:space="0" w:color="auto"/>
        <w:right w:val="none" w:sz="0" w:space="0" w:color="auto"/>
      </w:divBdr>
    </w:div>
    <w:div w:id="710499936">
      <w:bodyDiv w:val="1"/>
      <w:marLeft w:val="0"/>
      <w:marRight w:val="0"/>
      <w:marTop w:val="0"/>
      <w:marBottom w:val="0"/>
      <w:divBdr>
        <w:top w:val="none" w:sz="0" w:space="0" w:color="auto"/>
        <w:left w:val="none" w:sz="0" w:space="0" w:color="auto"/>
        <w:bottom w:val="none" w:sz="0" w:space="0" w:color="auto"/>
        <w:right w:val="none" w:sz="0" w:space="0" w:color="auto"/>
      </w:divBdr>
    </w:div>
    <w:div w:id="710954898">
      <w:bodyDiv w:val="1"/>
      <w:marLeft w:val="0"/>
      <w:marRight w:val="0"/>
      <w:marTop w:val="0"/>
      <w:marBottom w:val="0"/>
      <w:divBdr>
        <w:top w:val="none" w:sz="0" w:space="0" w:color="auto"/>
        <w:left w:val="none" w:sz="0" w:space="0" w:color="auto"/>
        <w:bottom w:val="none" w:sz="0" w:space="0" w:color="auto"/>
        <w:right w:val="none" w:sz="0" w:space="0" w:color="auto"/>
      </w:divBdr>
    </w:div>
    <w:div w:id="711659666">
      <w:bodyDiv w:val="1"/>
      <w:marLeft w:val="0"/>
      <w:marRight w:val="0"/>
      <w:marTop w:val="0"/>
      <w:marBottom w:val="0"/>
      <w:divBdr>
        <w:top w:val="none" w:sz="0" w:space="0" w:color="auto"/>
        <w:left w:val="none" w:sz="0" w:space="0" w:color="auto"/>
        <w:bottom w:val="none" w:sz="0" w:space="0" w:color="auto"/>
        <w:right w:val="none" w:sz="0" w:space="0" w:color="auto"/>
      </w:divBdr>
    </w:div>
    <w:div w:id="712071772">
      <w:bodyDiv w:val="1"/>
      <w:marLeft w:val="0"/>
      <w:marRight w:val="0"/>
      <w:marTop w:val="0"/>
      <w:marBottom w:val="0"/>
      <w:divBdr>
        <w:top w:val="none" w:sz="0" w:space="0" w:color="auto"/>
        <w:left w:val="none" w:sz="0" w:space="0" w:color="auto"/>
        <w:bottom w:val="none" w:sz="0" w:space="0" w:color="auto"/>
        <w:right w:val="none" w:sz="0" w:space="0" w:color="auto"/>
      </w:divBdr>
    </w:div>
    <w:div w:id="712270223">
      <w:bodyDiv w:val="1"/>
      <w:marLeft w:val="0"/>
      <w:marRight w:val="0"/>
      <w:marTop w:val="0"/>
      <w:marBottom w:val="0"/>
      <w:divBdr>
        <w:top w:val="none" w:sz="0" w:space="0" w:color="auto"/>
        <w:left w:val="none" w:sz="0" w:space="0" w:color="auto"/>
        <w:bottom w:val="none" w:sz="0" w:space="0" w:color="auto"/>
        <w:right w:val="none" w:sz="0" w:space="0" w:color="auto"/>
      </w:divBdr>
    </w:div>
    <w:div w:id="712383562">
      <w:bodyDiv w:val="1"/>
      <w:marLeft w:val="0"/>
      <w:marRight w:val="0"/>
      <w:marTop w:val="0"/>
      <w:marBottom w:val="0"/>
      <w:divBdr>
        <w:top w:val="none" w:sz="0" w:space="0" w:color="auto"/>
        <w:left w:val="none" w:sz="0" w:space="0" w:color="auto"/>
        <w:bottom w:val="none" w:sz="0" w:space="0" w:color="auto"/>
        <w:right w:val="none" w:sz="0" w:space="0" w:color="auto"/>
      </w:divBdr>
    </w:div>
    <w:div w:id="712392167">
      <w:bodyDiv w:val="1"/>
      <w:marLeft w:val="0"/>
      <w:marRight w:val="0"/>
      <w:marTop w:val="0"/>
      <w:marBottom w:val="0"/>
      <w:divBdr>
        <w:top w:val="none" w:sz="0" w:space="0" w:color="auto"/>
        <w:left w:val="none" w:sz="0" w:space="0" w:color="auto"/>
        <w:bottom w:val="none" w:sz="0" w:space="0" w:color="auto"/>
        <w:right w:val="none" w:sz="0" w:space="0" w:color="auto"/>
      </w:divBdr>
    </w:div>
    <w:div w:id="712730687">
      <w:bodyDiv w:val="1"/>
      <w:marLeft w:val="0"/>
      <w:marRight w:val="0"/>
      <w:marTop w:val="0"/>
      <w:marBottom w:val="0"/>
      <w:divBdr>
        <w:top w:val="none" w:sz="0" w:space="0" w:color="auto"/>
        <w:left w:val="none" w:sz="0" w:space="0" w:color="auto"/>
        <w:bottom w:val="none" w:sz="0" w:space="0" w:color="auto"/>
        <w:right w:val="none" w:sz="0" w:space="0" w:color="auto"/>
      </w:divBdr>
    </w:div>
    <w:div w:id="712853413">
      <w:bodyDiv w:val="1"/>
      <w:marLeft w:val="0"/>
      <w:marRight w:val="0"/>
      <w:marTop w:val="0"/>
      <w:marBottom w:val="0"/>
      <w:divBdr>
        <w:top w:val="none" w:sz="0" w:space="0" w:color="auto"/>
        <w:left w:val="none" w:sz="0" w:space="0" w:color="auto"/>
        <w:bottom w:val="none" w:sz="0" w:space="0" w:color="auto"/>
        <w:right w:val="none" w:sz="0" w:space="0" w:color="auto"/>
      </w:divBdr>
    </w:div>
    <w:div w:id="713850608">
      <w:bodyDiv w:val="1"/>
      <w:marLeft w:val="0"/>
      <w:marRight w:val="0"/>
      <w:marTop w:val="0"/>
      <w:marBottom w:val="0"/>
      <w:divBdr>
        <w:top w:val="none" w:sz="0" w:space="0" w:color="auto"/>
        <w:left w:val="none" w:sz="0" w:space="0" w:color="auto"/>
        <w:bottom w:val="none" w:sz="0" w:space="0" w:color="auto"/>
        <w:right w:val="none" w:sz="0" w:space="0" w:color="auto"/>
      </w:divBdr>
    </w:div>
    <w:div w:id="714084784">
      <w:bodyDiv w:val="1"/>
      <w:marLeft w:val="0"/>
      <w:marRight w:val="0"/>
      <w:marTop w:val="0"/>
      <w:marBottom w:val="0"/>
      <w:divBdr>
        <w:top w:val="none" w:sz="0" w:space="0" w:color="auto"/>
        <w:left w:val="none" w:sz="0" w:space="0" w:color="auto"/>
        <w:bottom w:val="none" w:sz="0" w:space="0" w:color="auto"/>
        <w:right w:val="none" w:sz="0" w:space="0" w:color="auto"/>
      </w:divBdr>
    </w:div>
    <w:div w:id="716129935">
      <w:bodyDiv w:val="1"/>
      <w:marLeft w:val="0"/>
      <w:marRight w:val="0"/>
      <w:marTop w:val="0"/>
      <w:marBottom w:val="0"/>
      <w:divBdr>
        <w:top w:val="none" w:sz="0" w:space="0" w:color="auto"/>
        <w:left w:val="none" w:sz="0" w:space="0" w:color="auto"/>
        <w:bottom w:val="none" w:sz="0" w:space="0" w:color="auto"/>
        <w:right w:val="none" w:sz="0" w:space="0" w:color="auto"/>
      </w:divBdr>
    </w:div>
    <w:div w:id="717127072">
      <w:bodyDiv w:val="1"/>
      <w:marLeft w:val="0"/>
      <w:marRight w:val="0"/>
      <w:marTop w:val="0"/>
      <w:marBottom w:val="0"/>
      <w:divBdr>
        <w:top w:val="none" w:sz="0" w:space="0" w:color="auto"/>
        <w:left w:val="none" w:sz="0" w:space="0" w:color="auto"/>
        <w:bottom w:val="none" w:sz="0" w:space="0" w:color="auto"/>
        <w:right w:val="none" w:sz="0" w:space="0" w:color="auto"/>
      </w:divBdr>
    </w:div>
    <w:div w:id="717511390">
      <w:bodyDiv w:val="1"/>
      <w:marLeft w:val="0"/>
      <w:marRight w:val="0"/>
      <w:marTop w:val="0"/>
      <w:marBottom w:val="0"/>
      <w:divBdr>
        <w:top w:val="none" w:sz="0" w:space="0" w:color="auto"/>
        <w:left w:val="none" w:sz="0" w:space="0" w:color="auto"/>
        <w:bottom w:val="none" w:sz="0" w:space="0" w:color="auto"/>
        <w:right w:val="none" w:sz="0" w:space="0" w:color="auto"/>
      </w:divBdr>
    </w:div>
    <w:div w:id="717630850">
      <w:bodyDiv w:val="1"/>
      <w:marLeft w:val="0"/>
      <w:marRight w:val="0"/>
      <w:marTop w:val="0"/>
      <w:marBottom w:val="0"/>
      <w:divBdr>
        <w:top w:val="none" w:sz="0" w:space="0" w:color="auto"/>
        <w:left w:val="none" w:sz="0" w:space="0" w:color="auto"/>
        <w:bottom w:val="none" w:sz="0" w:space="0" w:color="auto"/>
        <w:right w:val="none" w:sz="0" w:space="0" w:color="auto"/>
      </w:divBdr>
    </w:div>
    <w:div w:id="717751502">
      <w:bodyDiv w:val="1"/>
      <w:marLeft w:val="0"/>
      <w:marRight w:val="0"/>
      <w:marTop w:val="0"/>
      <w:marBottom w:val="0"/>
      <w:divBdr>
        <w:top w:val="none" w:sz="0" w:space="0" w:color="auto"/>
        <w:left w:val="none" w:sz="0" w:space="0" w:color="auto"/>
        <w:bottom w:val="none" w:sz="0" w:space="0" w:color="auto"/>
        <w:right w:val="none" w:sz="0" w:space="0" w:color="auto"/>
      </w:divBdr>
    </w:div>
    <w:div w:id="717899648">
      <w:bodyDiv w:val="1"/>
      <w:marLeft w:val="0"/>
      <w:marRight w:val="0"/>
      <w:marTop w:val="0"/>
      <w:marBottom w:val="0"/>
      <w:divBdr>
        <w:top w:val="none" w:sz="0" w:space="0" w:color="auto"/>
        <w:left w:val="none" w:sz="0" w:space="0" w:color="auto"/>
        <w:bottom w:val="none" w:sz="0" w:space="0" w:color="auto"/>
        <w:right w:val="none" w:sz="0" w:space="0" w:color="auto"/>
      </w:divBdr>
    </w:div>
    <w:div w:id="718742502">
      <w:bodyDiv w:val="1"/>
      <w:marLeft w:val="0"/>
      <w:marRight w:val="0"/>
      <w:marTop w:val="0"/>
      <w:marBottom w:val="0"/>
      <w:divBdr>
        <w:top w:val="none" w:sz="0" w:space="0" w:color="auto"/>
        <w:left w:val="none" w:sz="0" w:space="0" w:color="auto"/>
        <w:bottom w:val="none" w:sz="0" w:space="0" w:color="auto"/>
        <w:right w:val="none" w:sz="0" w:space="0" w:color="auto"/>
      </w:divBdr>
    </w:div>
    <w:div w:id="720135202">
      <w:bodyDiv w:val="1"/>
      <w:marLeft w:val="0"/>
      <w:marRight w:val="0"/>
      <w:marTop w:val="0"/>
      <w:marBottom w:val="0"/>
      <w:divBdr>
        <w:top w:val="none" w:sz="0" w:space="0" w:color="auto"/>
        <w:left w:val="none" w:sz="0" w:space="0" w:color="auto"/>
        <w:bottom w:val="none" w:sz="0" w:space="0" w:color="auto"/>
        <w:right w:val="none" w:sz="0" w:space="0" w:color="auto"/>
      </w:divBdr>
    </w:div>
    <w:div w:id="720787796">
      <w:bodyDiv w:val="1"/>
      <w:marLeft w:val="0"/>
      <w:marRight w:val="0"/>
      <w:marTop w:val="0"/>
      <w:marBottom w:val="0"/>
      <w:divBdr>
        <w:top w:val="none" w:sz="0" w:space="0" w:color="auto"/>
        <w:left w:val="none" w:sz="0" w:space="0" w:color="auto"/>
        <w:bottom w:val="none" w:sz="0" w:space="0" w:color="auto"/>
        <w:right w:val="none" w:sz="0" w:space="0" w:color="auto"/>
      </w:divBdr>
    </w:div>
    <w:div w:id="721369152">
      <w:bodyDiv w:val="1"/>
      <w:marLeft w:val="0"/>
      <w:marRight w:val="0"/>
      <w:marTop w:val="0"/>
      <w:marBottom w:val="0"/>
      <w:divBdr>
        <w:top w:val="none" w:sz="0" w:space="0" w:color="auto"/>
        <w:left w:val="none" w:sz="0" w:space="0" w:color="auto"/>
        <w:bottom w:val="none" w:sz="0" w:space="0" w:color="auto"/>
        <w:right w:val="none" w:sz="0" w:space="0" w:color="auto"/>
      </w:divBdr>
    </w:div>
    <w:div w:id="722798806">
      <w:bodyDiv w:val="1"/>
      <w:marLeft w:val="0"/>
      <w:marRight w:val="0"/>
      <w:marTop w:val="0"/>
      <w:marBottom w:val="0"/>
      <w:divBdr>
        <w:top w:val="none" w:sz="0" w:space="0" w:color="auto"/>
        <w:left w:val="none" w:sz="0" w:space="0" w:color="auto"/>
        <w:bottom w:val="none" w:sz="0" w:space="0" w:color="auto"/>
        <w:right w:val="none" w:sz="0" w:space="0" w:color="auto"/>
      </w:divBdr>
    </w:div>
    <w:div w:id="722872436">
      <w:bodyDiv w:val="1"/>
      <w:marLeft w:val="0"/>
      <w:marRight w:val="0"/>
      <w:marTop w:val="0"/>
      <w:marBottom w:val="0"/>
      <w:divBdr>
        <w:top w:val="none" w:sz="0" w:space="0" w:color="auto"/>
        <w:left w:val="none" w:sz="0" w:space="0" w:color="auto"/>
        <w:bottom w:val="none" w:sz="0" w:space="0" w:color="auto"/>
        <w:right w:val="none" w:sz="0" w:space="0" w:color="auto"/>
      </w:divBdr>
    </w:div>
    <w:div w:id="723675275">
      <w:bodyDiv w:val="1"/>
      <w:marLeft w:val="0"/>
      <w:marRight w:val="0"/>
      <w:marTop w:val="0"/>
      <w:marBottom w:val="0"/>
      <w:divBdr>
        <w:top w:val="none" w:sz="0" w:space="0" w:color="auto"/>
        <w:left w:val="none" w:sz="0" w:space="0" w:color="auto"/>
        <w:bottom w:val="none" w:sz="0" w:space="0" w:color="auto"/>
        <w:right w:val="none" w:sz="0" w:space="0" w:color="auto"/>
      </w:divBdr>
    </w:div>
    <w:div w:id="723676316">
      <w:bodyDiv w:val="1"/>
      <w:marLeft w:val="0"/>
      <w:marRight w:val="0"/>
      <w:marTop w:val="0"/>
      <w:marBottom w:val="0"/>
      <w:divBdr>
        <w:top w:val="none" w:sz="0" w:space="0" w:color="auto"/>
        <w:left w:val="none" w:sz="0" w:space="0" w:color="auto"/>
        <w:bottom w:val="none" w:sz="0" w:space="0" w:color="auto"/>
        <w:right w:val="none" w:sz="0" w:space="0" w:color="auto"/>
      </w:divBdr>
    </w:div>
    <w:div w:id="723680851">
      <w:bodyDiv w:val="1"/>
      <w:marLeft w:val="0"/>
      <w:marRight w:val="0"/>
      <w:marTop w:val="0"/>
      <w:marBottom w:val="0"/>
      <w:divBdr>
        <w:top w:val="none" w:sz="0" w:space="0" w:color="auto"/>
        <w:left w:val="none" w:sz="0" w:space="0" w:color="auto"/>
        <w:bottom w:val="none" w:sz="0" w:space="0" w:color="auto"/>
        <w:right w:val="none" w:sz="0" w:space="0" w:color="auto"/>
      </w:divBdr>
    </w:div>
    <w:div w:id="724108433">
      <w:bodyDiv w:val="1"/>
      <w:marLeft w:val="0"/>
      <w:marRight w:val="0"/>
      <w:marTop w:val="0"/>
      <w:marBottom w:val="0"/>
      <w:divBdr>
        <w:top w:val="none" w:sz="0" w:space="0" w:color="auto"/>
        <w:left w:val="none" w:sz="0" w:space="0" w:color="auto"/>
        <w:bottom w:val="none" w:sz="0" w:space="0" w:color="auto"/>
        <w:right w:val="none" w:sz="0" w:space="0" w:color="auto"/>
      </w:divBdr>
    </w:div>
    <w:div w:id="724333366">
      <w:bodyDiv w:val="1"/>
      <w:marLeft w:val="0"/>
      <w:marRight w:val="0"/>
      <w:marTop w:val="0"/>
      <w:marBottom w:val="0"/>
      <w:divBdr>
        <w:top w:val="none" w:sz="0" w:space="0" w:color="auto"/>
        <w:left w:val="none" w:sz="0" w:space="0" w:color="auto"/>
        <w:bottom w:val="none" w:sz="0" w:space="0" w:color="auto"/>
        <w:right w:val="none" w:sz="0" w:space="0" w:color="auto"/>
      </w:divBdr>
    </w:div>
    <w:div w:id="725295350">
      <w:bodyDiv w:val="1"/>
      <w:marLeft w:val="0"/>
      <w:marRight w:val="0"/>
      <w:marTop w:val="0"/>
      <w:marBottom w:val="0"/>
      <w:divBdr>
        <w:top w:val="none" w:sz="0" w:space="0" w:color="auto"/>
        <w:left w:val="none" w:sz="0" w:space="0" w:color="auto"/>
        <w:bottom w:val="none" w:sz="0" w:space="0" w:color="auto"/>
        <w:right w:val="none" w:sz="0" w:space="0" w:color="auto"/>
      </w:divBdr>
    </w:div>
    <w:div w:id="725832604">
      <w:bodyDiv w:val="1"/>
      <w:marLeft w:val="0"/>
      <w:marRight w:val="0"/>
      <w:marTop w:val="0"/>
      <w:marBottom w:val="0"/>
      <w:divBdr>
        <w:top w:val="none" w:sz="0" w:space="0" w:color="auto"/>
        <w:left w:val="none" w:sz="0" w:space="0" w:color="auto"/>
        <w:bottom w:val="none" w:sz="0" w:space="0" w:color="auto"/>
        <w:right w:val="none" w:sz="0" w:space="0" w:color="auto"/>
      </w:divBdr>
    </w:div>
    <w:div w:id="726800644">
      <w:bodyDiv w:val="1"/>
      <w:marLeft w:val="0"/>
      <w:marRight w:val="0"/>
      <w:marTop w:val="0"/>
      <w:marBottom w:val="0"/>
      <w:divBdr>
        <w:top w:val="none" w:sz="0" w:space="0" w:color="auto"/>
        <w:left w:val="none" w:sz="0" w:space="0" w:color="auto"/>
        <w:bottom w:val="none" w:sz="0" w:space="0" w:color="auto"/>
        <w:right w:val="none" w:sz="0" w:space="0" w:color="auto"/>
      </w:divBdr>
    </w:div>
    <w:div w:id="726882560">
      <w:bodyDiv w:val="1"/>
      <w:marLeft w:val="0"/>
      <w:marRight w:val="0"/>
      <w:marTop w:val="0"/>
      <w:marBottom w:val="0"/>
      <w:divBdr>
        <w:top w:val="none" w:sz="0" w:space="0" w:color="auto"/>
        <w:left w:val="none" w:sz="0" w:space="0" w:color="auto"/>
        <w:bottom w:val="none" w:sz="0" w:space="0" w:color="auto"/>
        <w:right w:val="none" w:sz="0" w:space="0" w:color="auto"/>
      </w:divBdr>
    </w:div>
    <w:div w:id="727461237">
      <w:bodyDiv w:val="1"/>
      <w:marLeft w:val="0"/>
      <w:marRight w:val="0"/>
      <w:marTop w:val="0"/>
      <w:marBottom w:val="0"/>
      <w:divBdr>
        <w:top w:val="none" w:sz="0" w:space="0" w:color="auto"/>
        <w:left w:val="none" w:sz="0" w:space="0" w:color="auto"/>
        <w:bottom w:val="none" w:sz="0" w:space="0" w:color="auto"/>
        <w:right w:val="none" w:sz="0" w:space="0" w:color="auto"/>
      </w:divBdr>
    </w:div>
    <w:div w:id="728068501">
      <w:bodyDiv w:val="1"/>
      <w:marLeft w:val="0"/>
      <w:marRight w:val="0"/>
      <w:marTop w:val="0"/>
      <w:marBottom w:val="0"/>
      <w:divBdr>
        <w:top w:val="none" w:sz="0" w:space="0" w:color="auto"/>
        <w:left w:val="none" w:sz="0" w:space="0" w:color="auto"/>
        <w:bottom w:val="none" w:sz="0" w:space="0" w:color="auto"/>
        <w:right w:val="none" w:sz="0" w:space="0" w:color="auto"/>
      </w:divBdr>
    </w:div>
    <w:div w:id="728648006">
      <w:bodyDiv w:val="1"/>
      <w:marLeft w:val="0"/>
      <w:marRight w:val="0"/>
      <w:marTop w:val="0"/>
      <w:marBottom w:val="0"/>
      <w:divBdr>
        <w:top w:val="none" w:sz="0" w:space="0" w:color="auto"/>
        <w:left w:val="none" w:sz="0" w:space="0" w:color="auto"/>
        <w:bottom w:val="none" w:sz="0" w:space="0" w:color="auto"/>
        <w:right w:val="none" w:sz="0" w:space="0" w:color="auto"/>
      </w:divBdr>
    </w:div>
    <w:div w:id="728961574">
      <w:bodyDiv w:val="1"/>
      <w:marLeft w:val="0"/>
      <w:marRight w:val="0"/>
      <w:marTop w:val="0"/>
      <w:marBottom w:val="0"/>
      <w:divBdr>
        <w:top w:val="none" w:sz="0" w:space="0" w:color="auto"/>
        <w:left w:val="none" w:sz="0" w:space="0" w:color="auto"/>
        <w:bottom w:val="none" w:sz="0" w:space="0" w:color="auto"/>
        <w:right w:val="none" w:sz="0" w:space="0" w:color="auto"/>
      </w:divBdr>
    </w:div>
    <w:div w:id="729422418">
      <w:bodyDiv w:val="1"/>
      <w:marLeft w:val="0"/>
      <w:marRight w:val="0"/>
      <w:marTop w:val="0"/>
      <w:marBottom w:val="0"/>
      <w:divBdr>
        <w:top w:val="none" w:sz="0" w:space="0" w:color="auto"/>
        <w:left w:val="none" w:sz="0" w:space="0" w:color="auto"/>
        <w:bottom w:val="none" w:sz="0" w:space="0" w:color="auto"/>
        <w:right w:val="none" w:sz="0" w:space="0" w:color="auto"/>
      </w:divBdr>
    </w:div>
    <w:div w:id="730159043">
      <w:bodyDiv w:val="1"/>
      <w:marLeft w:val="0"/>
      <w:marRight w:val="0"/>
      <w:marTop w:val="0"/>
      <w:marBottom w:val="0"/>
      <w:divBdr>
        <w:top w:val="none" w:sz="0" w:space="0" w:color="auto"/>
        <w:left w:val="none" w:sz="0" w:space="0" w:color="auto"/>
        <w:bottom w:val="none" w:sz="0" w:space="0" w:color="auto"/>
        <w:right w:val="none" w:sz="0" w:space="0" w:color="auto"/>
      </w:divBdr>
    </w:div>
    <w:div w:id="730274660">
      <w:bodyDiv w:val="1"/>
      <w:marLeft w:val="0"/>
      <w:marRight w:val="0"/>
      <w:marTop w:val="0"/>
      <w:marBottom w:val="0"/>
      <w:divBdr>
        <w:top w:val="none" w:sz="0" w:space="0" w:color="auto"/>
        <w:left w:val="none" w:sz="0" w:space="0" w:color="auto"/>
        <w:bottom w:val="none" w:sz="0" w:space="0" w:color="auto"/>
        <w:right w:val="none" w:sz="0" w:space="0" w:color="auto"/>
      </w:divBdr>
    </w:div>
    <w:div w:id="730664240">
      <w:bodyDiv w:val="1"/>
      <w:marLeft w:val="0"/>
      <w:marRight w:val="0"/>
      <w:marTop w:val="0"/>
      <w:marBottom w:val="0"/>
      <w:divBdr>
        <w:top w:val="none" w:sz="0" w:space="0" w:color="auto"/>
        <w:left w:val="none" w:sz="0" w:space="0" w:color="auto"/>
        <w:bottom w:val="none" w:sz="0" w:space="0" w:color="auto"/>
        <w:right w:val="none" w:sz="0" w:space="0" w:color="auto"/>
      </w:divBdr>
    </w:div>
    <w:div w:id="731124886">
      <w:bodyDiv w:val="1"/>
      <w:marLeft w:val="0"/>
      <w:marRight w:val="0"/>
      <w:marTop w:val="0"/>
      <w:marBottom w:val="0"/>
      <w:divBdr>
        <w:top w:val="none" w:sz="0" w:space="0" w:color="auto"/>
        <w:left w:val="none" w:sz="0" w:space="0" w:color="auto"/>
        <w:bottom w:val="none" w:sz="0" w:space="0" w:color="auto"/>
        <w:right w:val="none" w:sz="0" w:space="0" w:color="auto"/>
      </w:divBdr>
    </w:div>
    <w:div w:id="731856894">
      <w:bodyDiv w:val="1"/>
      <w:marLeft w:val="0"/>
      <w:marRight w:val="0"/>
      <w:marTop w:val="0"/>
      <w:marBottom w:val="0"/>
      <w:divBdr>
        <w:top w:val="none" w:sz="0" w:space="0" w:color="auto"/>
        <w:left w:val="none" w:sz="0" w:space="0" w:color="auto"/>
        <w:bottom w:val="none" w:sz="0" w:space="0" w:color="auto"/>
        <w:right w:val="none" w:sz="0" w:space="0" w:color="auto"/>
      </w:divBdr>
    </w:div>
    <w:div w:id="731928050">
      <w:bodyDiv w:val="1"/>
      <w:marLeft w:val="0"/>
      <w:marRight w:val="0"/>
      <w:marTop w:val="0"/>
      <w:marBottom w:val="0"/>
      <w:divBdr>
        <w:top w:val="none" w:sz="0" w:space="0" w:color="auto"/>
        <w:left w:val="none" w:sz="0" w:space="0" w:color="auto"/>
        <w:bottom w:val="none" w:sz="0" w:space="0" w:color="auto"/>
        <w:right w:val="none" w:sz="0" w:space="0" w:color="auto"/>
      </w:divBdr>
    </w:div>
    <w:div w:id="734472476">
      <w:bodyDiv w:val="1"/>
      <w:marLeft w:val="0"/>
      <w:marRight w:val="0"/>
      <w:marTop w:val="0"/>
      <w:marBottom w:val="0"/>
      <w:divBdr>
        <w:top w:val="none" w:sz="0" w:space="0" w:color="auto"/>
        <w:left w:val="none" w:sz="0" w:space="0" w:color="auto"/>
        <w:bottom w:val="none" w:sz="0" w:space="0" w:color="auto"/>
        <w:right w:val="none" w:sz="0" w:space="0" w:color="auto"/>
      </w:divBdr>
    </w:div>
    <w:div w:id="735123907">
      <w:bodyDiv w:val="1"/>
      <w:marLeft w:val="0"/>
      <w:marRight w:val="0"/>
      <w:marTop w:val="0"/>
      <w:marBottom w:val="0"/>
      <w:divBdr>
        <w:top w:val="none" w:sz="0" w:space="0" w:color="auto"/>
        <w:left w:val="none" w:sz="0" w:space="0" w:color="auto"/>
        <w:bottom w:val="none" w:sz="0" w:space="0" w:color="auto"/>
        <w:right w:val="none" w:sz="0" w:space="0" w:color="auto"/>
      </w:divBdr>
    </w:div>
    <w:div w:id="735468675">
      <w:bodyDiv w:val="1"/>
      <w:marLeft w:val="0"/>
      <w:marRight w:val="0"/>
      <w:marTop w:val="0"/>
      <w:marBottom w:val="0"/>
      <w:divBdr>
        <w:top w:val="none" w:sz="0" w:space="0" w:color="auto"/>
        <w:left w:val="none" w:sz="0" w:space="0" w:color="auto"/>
        <w:bottom w:val="none" w:sz="0" w:space="0" w:color="auto"/>
        <w:right w:val="none" w:sz="0" w:space="0" w:color="auto"/>
      </w:divBdr>
    </w:div>
    <w:div w:id="735513794">
      <w:bodyDiv w:val="1"/>
      <w:marLeft w:val="0"/>
      <w:marRight w:val="0"/>
      <w:marTop w:val="0"/>
      <w:marBottom w:val="0"/>
      <w:divBdr>
        <w:top w:val="none" w:sz="0" w:space="0" w:color="auto"/>
        <w:left w:val="none" w:sz="0" w:space="0" w:color="auto"/>
        <w:bottom w:val="none" w:sz="0" w:space="0" w:color="auto"/>
        <w:right w:val="none" w:sz="0" w:space="0" w:color="auto"/>
      </w:divBdr>
    </w:div>
    <w:div w:id="735736763">
      <w:bodyDiv w:val="1"/>
      <w:marLeft w:val="0"/>
      <w:marRight w:val="0"/>
      <w:marTop w:val="0"/>
      <w:marBottom w:val="0"/>
      <w:divBdr>
        <w:top w:val="none" w:sz="0" w:space="0" w:color="auto"/>
        <w:left w:val="none" w:sz="0" w:space="0" w:color="auto"/>
        <w:bottom w:val="none" w:sz="0" w:space="0" w:color="auto"/>
        <w:right w:val="none" w:sz="0" w:space="0" w:color="auto"/>
      </w:divBdr>
    </w:div>
    <w:div w:id="736512272">
      <w:bodyDiv w:val="1"/>
      <w:marLeft w:val="0"/>
      <w:marRight w:val="0"/>
      <w:marTop w:val="0"/>
      <w:marBottom w:val="0"/>
      <w:divBdr>
        <w:top w:val="none" w:sz="0" w:space="0" w:color="auto"/>
        <w:left w:val="none" w:sz="0" w:space="0" w:color="auto"/>
        <w:bottom w:val="none" w:sz="0" w:space="0" w:color="auto"/>
        <w:right w:val="none" w:sz="0" w:space="0" w:color="auto"/>
      </w:divBdr>
    </w:div>
    <w:div w:id="737823935">
      <w:bodyDiv w:val="1"/>
      <w:marLeft w:val="0"/>
      <w:marRight w:val="0"/>
      <w:marTop w:val="0"/>
      <w:marBottom w:val="0"/>
      <w:divBdr>
        <w:top w:val="none" w:sz="0" w:space="0" w:color="auto"/>
        <w:left w:val="none" w:sz="0" w:space="0" w:color="auto"/>
        <w:bottom w:val="none" w:sz="0" w:space="0" w:color="auto"/>
        <w:right w:val="none" w:sz="0" w:space="0" w:color="auto"/>
      </w:divBdr>
    </w:div>
    <w:div w:id="737824791">
      <w:bodyDiv w:val="1"/>
      <w:marLeft w:val="0"/>
      <w:marRight w:val="0"/>
      <w:marTop w:val="0"/>
      <w:marBottom w:val="0"/>
      <w:divBdr>
        <w:top w:val="none" w:sz="0" w:space="0" w:color="auto"/>
        <w:left w:val="none" w:sz="0" w:space="0" w:color="auto"/>
        <w:bottom w:val="none" w:sz="0" w:space="0" w:color="auto"/>
        <w:right w:val="none" w:sz="0" w:space="0" w:color="auto"/>
      </w:divBdr>
    </w:div>
    <w:div w:id="739062769">
      <w:bodyDiv w:val="1"/>
      <w:marLeft w:val="0"/>
      <w:marRight w:val="0"/>
      <w:marTop w:val="0"/>
      <w:marBottom w:val="0"/>
      <w:divBdr>
        <w:top w:val="none" w:sz="0" w:space="0" w:color="auto"/>
        <w:left w:val="none" w:sz="0" w:space="0" w:color="auto"/>
        <w:bottom w:val="none" w:sz="0" w:space="0" w:color="auto"/>
        <w:right w:val="none" w:sz="0" w:space="0" w:color="auto"/>
      </w:divBdr>
    </w:div>
    <w:div w:id="739715459">
      <w:bodyDiv w:val="1"/>
      <w:marLeft w:val="0"/>
      <w:marRight w:val="0"/>
      <w:marTop w:val="0"/>
      <w:marBottom w:val="0"/>
      <w:divBdr>
        <w:top w:val="none" w:sz="0" w:space="0" w:color="auto"/>
        <w:left w:val="none" w:sz="0" w:space="0" w:color="auto"/>
        <w:bottom w:val="none" w:sz="0" w:space="0" w:color="auto"/>
        <w:right w:val="none" w:sz="0" w:space="0" w:color="auto"/>
      </w:divBdr>
    </w:div>
    <w:div w:id="740517124">
      <w:bodyDiv w:val="1"/>
      <w:marLeft w:val="0"/>
      <w:marRight w:val="0"/>
      <w:marTop w:val="0"/>
      <w:marBottom w:val="0"/>
      <w:divBdr>
        <w:top w:val="none" w:sz="0" w:space="0" w:color="auto"/>
        <w:left w:val="none" w:sz="0" w:space="0" w:color="auto"/>
        <w:bottom w:val="none" w:sz="0" w:space="0" w:color="auto"/>
        <w:right w:val="none" w:sz="0" w:space="0" w:color="auto"/>
      </w:divBdr>
    </w:div>
    <w:div w:id="742265776">
      <w:bodyDiv w:val="1"/>
      <w:marLeft w:val="0"/>
      <w:marRight w:val="0"/>
      <w:marTop w:val="0"/>
      <w:marBottom w:val="0"/>
      <w:divBdr>
        <w:top w:val="none" w:sz="0" w:space="0" w:color="auto"/>
        <w:left w:val="none" w:sz="0" w:space="0" w:color="auto"/>
        <w:bottom w:val="none" w:sz="0" w:space="0" w:color="auto"/>
        <w:right w:val="none" w:sz="0" w:space="0" w:color="auto"/>
      </w:divBdr>
    </w:div>
    <w:div w:id="742531178">
      <w:bodyDiv w:val="1"/>
      <w:marLeft w:val="0"/>
      <w:marRight w:val="0"/>
      <w:marTop w:val="0"/>
      <w:marBottom w:val="0"/>
      <w:divBdr>
        <w:top w:val="none" w:sz="0" w:space="0" w:color="auto"/>
        <w:left w:val="none" w:sz="0" w:space="0" w:color="auto"/>
        <w:bottom w:val="none" w:sz="0" w:space="0" w:color="auto"/>
        <w:right w:val="none" w:sz="0" w:space="0" w:color="auto"/>
      </w:divBdr>
    </w:div>
    <w:div w:id="742724946">
      <w:bodyDiv w:val="1"/>
      <w:marLeft w:val="0"/>
      <w:marRight w:val="0"/>
      <w:marTop w:val="0"/>
      <w:marBottom w:val="0"/>
      <w:divBdr>
        <w:top w:val="none" w:sz="0" w:space="0" w:color="auto"/>
        <w:left w:val="none" w:sz="0" w:space="0" w:color="auto"/>
        <w:bottom w:val="none" w:sz="0" w:space="0" w:color="auto"/>
        <w:right w:val="none" w:sz="0" w:space="0" w:color="auto"/>
      </w:divBdr>
    </w:div>
    <w:div w:id="744955681">
      <w:bodyDiv w:val="1"/>
      <w:marLeft w:val="0"/>
      <w:marRight w:val="0"/>
      <w:marTop w:val="0"/>
      <w:marBottom w:val="0"/>
      <w:divBdr>
        <w:top w:val="none" w:sz="0" w:space="0" w:color="auto"/>
        <w:left w:val="none" w:sz="0" w:space="0" w:color="auto"/>
        <w:bottom w:val="none" w:sz="0" w:space="0" w:color="auto"/>
        <w:right w:val="none" w:sz="0" w:space="0" w:color="auto"/>
      </w:divBdr>
    </w:div>
    <w:div w:id="745151883">
      <w:bodyDiv w:val="1"/>
      <w:marLeft w:val="0"/>
      <w:marRight w:val="0"/>
      <w:marTop w:val="0"/>
      <w:marBottom w:val="0"/>
      <w:divBdr>
        <w:top w:val="none" w:sz="0" w:space="0" w:color="auto"/>
        <w:left w:val="none" w:sz="0" w:space="0" w:color="auto"/>
        <w:bottom w:val="none" w:sz="0" w:space="0" w:color="auto"/>
        <w:right w:val="none" w:sz="0" w:space="0" w:color="auto"/>
      </w:divBdr>
    </w:div>
    <w:div w:id="745761194">
      <w:bodyDiv w:val="1"/>
      <w:marLeft w:val="0"/>
      <w:marRight w:val="0"/>
      <w:marTop w:val="0"/>
      <w:marBottom w:val="0"/>
      <w:divBdr>
        <w:top w:val="none" w:sz="0" w:space="0" w:color="auto"/>
        <w:left w:val="none" w:sz="0" w:space="0" w:color="auto"/>
        <w:bottom w:val="none" w:sz="0" w:space="0" w:color="auto"/>
        <w:right w:val="none" w:sz="0" w:space="0" w:color="auto"/>
      </w:divBdr>
    </w:div>
    <w:div w:id="745808864">
      <w:bodyDiv w:val="1"/>
      <w:marLeft w:val="0"/>
      <w:marRight w:val="0"/>
      <w:marTop w:val="0"/>
      <w:marBottom w:val="0"/>
      <w:divBdr>
        <w:top w:val="none" w:sz="0" w:space="0" w:color="auto"/>
        <w:left w:val="none" w:sz="0" w:space="0" w:color="auto"/>
        <w:bottom w:val="none" w:sz="0" w:space="0" w:color="auto"/>
        <w:right w:val="none" w:sz="0" w:space="0" w:color="auto"/>
      </w:divBdr>
    </w:div>
    <w:div w:id="746998000">
      <w:bodyDiv w:val="1"/>
      <w:marLeft w:val="0"/>
      <w:marRight w:val="0"/>
      <w:marTop w:val="0"/>
      <w:marBottom w:val="0"/>
      <w:divBdr>
        <w:top w:val="none" w:sz="0" w:space="0" w:color="auto"/>
        <w:left w:val="none" w:sz="0" w:space="0" w:color="auto"/>
        <w:bottom w:val="none" w:sz="0" w:space="0" w:color="auto"/>
        <w:right w:val="none" w:sz="0" w:space="0" w:color="auto"/>
      </w:divBdr>
    </w:div>
    <w:div w:id="747115567">
      <w:bodyDiv w:val="1"/>
      <w:marLeft w:val="0"/>
      <w:marRight w:val="0"/>
      <w:marTop w:val="0"/>
      <w:marBottom w:val="0"/>
      <w:divBdr>
        <w:top w:val="none" w:sz="0" w:space="0" w:color="auto"/>
        <w:left w:val="none" w:sz="0" w:space="0" w:color="auto"/>
        <w:bottom w:val="none" w:sz="0" w:space="0" w:color="auto"/>
        <w:right w:val="none" w:sz="0" w:space="0" w:color="auto"/>
      </w:divBdr>
    </w:div>
    <w:div w:id="747190341">
      <w:bodyDiv w:val="1"/>
      <w:marLeft w:val="0"/>
      <w:marRight w:val="0"/>
      <w:marTop w:val="0"/>
      <w:marBottom w:val="0"/>
      <w:divBdr>
        <w:top w:val="none" w:sz="0" w:space="0" w:color="auto"/>
        <w:left w:val="none" w:sz="0" w:space="0" w:color="auto"/>
        <w:bottom w:val="none" w:sz="0" w:space="0" w:color="auto"/>
        <w:right w:val="none" w:sz="0" w:space="0" w:color="auto"/>
      </w:divBdr>
    </w:div>
    <w:div w:id="748230914">
      <w:bodyDiv w:val="1"/>
      <w:marLeft w:val="0"/>
      <w:marRight w:val="0"/>
      <w:marTop w:val="0"/>
      <w:marBottom w:val="0"/>
      <w:divBdr>
        <w:top w:val="none" w:sz="0" w:space="0" w:color="auto"/>
        <w:left w:val="none" w:sz="0" w:space="0" w:color="auto"/>
        <w:bottom w:val="none" w:sz="0" w:space="0" w:color="auto"/>
        <w:right w:val="none" w:sz="0" w:space="0" w:color="auto"/>
      </w:divBdr>
    </w:div>
    <w:div w:id="748578685">
      <w:bodyDiv w:val="1"/>
      <w:marLeft w:val="0"/>
      <w:marRight w:val="0"/>
      <w:marTop w:val="0"/>
      <w:marBottom w:val="0"/>
      <w:divBdr>
        <w:top w:val="none" w:sz="0" w:space="0" w:color="auto"/>
        <w:left w:val="none" w:sz="0" w:space="0" w:color="auto"/>
        <w:bottom w:val="none" w:sz="0" w:space="0" w:color="auto"/>
        <w:right w:val="none" w:sz="0" w:space="0" w:color="auto"/>
      </w:divBdr>
    </w:div>
    <w:div w:id="749042876">
      <w:bodyDiv w:val="1"/>
      <w:marLeft w:val="0"/>
      <w:marRight w:val="0"/>
      <w:marTop w:val="0"/>
      <w:marBottom w:val="0"/>
      <w:divBdr>
        <w:top w:val="none" w:sz="0" w:space="0" w:color="auto"/>
        <w:left w:val="none" w:sz="0" w:space="0" w:color="auto"/>
        <w:bottom w:val="none" w:sz="0" w:space="0" w:color="auto"/>
        <w:right w:val="none" w:sz="0" w:space="0" w:color="auto"/>
      </w:divBdr>
    </w:div>
    <w:div w:id="749231371">
      <w:bodyDiv w:val="1"/>
      <w:marLeft w:val="0"/>
      <w:marRight w:val="0"/>
      <w:marTop w:val="0"/>
      <w:marBottom w:val="0"/>
      <w:divBdr>
        <w:top w:val="none" w:sz="0" w:space="0" w:color="auto"/>
        <w:left w:val="none" w:sz="0" w:space="0" w:color="auto"/>
        <w:bottom w:val="none" w:sz="0" w:space="0" w:color="auto"/>
        <w:right w:val="none" w:sz="0" w:space="0" w:color="auto"/>
      </w:divBdr>
    </w:div>
    <w:div w:id="750852429">
      <w:bodyDiv w:val="1"/>
      <w:marLeft w:val="0"/>
      <w:marRight w:val="0"/>
      <w:marTop w:val="0"/>
      <w:marBottom w:val="0"/>
      <w:divBdr>
        <w:top w:val="none" w:sz="0" w:space="0" w:color="auto"/>
        <w:left w:val="none" w:sz="0" w:space="0" w:color="auto"/>
        <w:bottom w:val="none" w:sz="0" w:space="0" w:color="auto"/>
        <w:right w:val="none" w:sz="0" w:space="0" w:color="auto"/>
      </w:divBdr>
    </w:div>
    <w:div w:id="752821965">
      <w:bodyDiv w:val="1"/>
      <w:marLeft w:val="0"/>
      <w:marRight w:val="0"/>
      <w:marTop w:val="0"/>
      <w:marBottom w:val="0"/>
      <w:divBdr>
        <w:top w:val="none" w:sz="0" w:space="0" w:color="auto"/>
        <w:left w:val="none" w:sz="0" w:space="0" w:color="auto"/>
        <w:bottom w:val="none" w:sz="0" w:space="0" w:color="auto"/>
        <w:right w:val="none" w:sz="0" w:space="0" w:color="auto"/>
      </w:divBdr>
    </w:div>
    <w:div w:id="753017920">
      <w:bodyDiv w:val="1"/>
      <w:marLeft w:val="0"/>
      <w:marRight w:val="0"/>
      <w:marTop w:val="0"/>
      <w:marBottom w:val="0"/>
      <w:divBdr>
        <w:top w:val="none" w:sz="0" w:space="0" w:color="auto"/>
        <w:left w:val="none" w:sz="0" w:space="0" w:color="auto"/>
        <w:bottom w:val="none" w:sz="0" w:space="0" w:color="auto"/>
        <w:right w:val="none" w:sz="0" w:space="0" w:color="auto"/>
      </w:divBdr>
    </w:div>
    <w:div w:id="753434121">
      <w:bodyDiv w:val="1"/>
      <w:marLeft w:val="0"/>
      <w:marRight w:val="0"/>
      <w:marTop w:val="0"/>
      <w:marBottom w:val="0"/>
      <w:divBdr>
        <w:top w:val="none" w:sz="0" w:space="0" w:color="auto"/>
        <w:left w:val="none" w:sz="0" w:space="0" w:color="auto"/>
        <w:bottom w:val="none" w:sz="0" w:space="0" w:color="auto"/>
        <w:right w:val="none" w:sz="0" w:space="0" w:color="auto"/>
      </w:divBdr>
    </w:div>
    <w:div w:id="754668741">
      <w:bodyDiv w:val="1"/>
      <w:marLeft w:val="0"/>
      <w:marRight w:val="0"/>
      <w:marTop w:val="0"/>
      <w:marBottom w:val="0"/>
      <w:divBdr>
        <w:top w:val="none" w:sz="0" w:space="0" w:color="auto"/>
        <w:left w:val="none" w:sz="0" w:space="0" w:color="auto"/>
        <w:bottom w:val="none" w:sz="0" w:space="0" w:color="auto"/>
        <w:right w:val="none" w:sz="0" w:space="0" w:color="auto"/>
      </w:divBdr>
    </w:div>
    <w:div w:id="756026482">
      <w:bodyDiv w:val="1"/>
      <w:marLeft w:val="0"/>
      <w:marRight w:val="0"/>
      <w:marTop w:val="0"/>
      <w:marBottom w:val="0"/>
      <w:divBdr>
        <w:top w:val="none" w:sz="0" w:space="0" w:color="auto"/>
        <w:left w:val="none" w:sz="0" w:space="0" w:color="auto"/>
        <w:bottom w:val="none" w:sz="0" w:space="0" w:color="auto"/>
        <w:right w:val="none" w:sz="0" w:space="0" w:color="auto"/>
      </w:divBdr>
    </w:div>
    <w:div w:id="756054185">
      <w:bodyDiv w:val="1"/>
      <w:marLeft w:val="0"/>
      <w:marRight w:val="0"/>
      <w:marTop w:val="0"/>
      <w:marBottom w:val="0"/>
      <w:divBdr>
        <w:top w:val="none" w:sz="0" w:space="0" w:color="auto"/>
        <w:left w:val="none" w:sz="0" w:space="0" w:color="auto"/>
        <w:bottom w:val="none" w:sz="0" w:space="0" w:color="auto"/>
        <w:right w:val="none" w:sz="0" w:space="0" w:color="auto"/>
      </w:divBdr>
    </w:div>
    <w:div w:id="756440565">
      <w:bodyDiv w:val="1"/>
      <w:marLeft w:val="0"/>
      <w:marRight w:val="0"/>
      <w:marTop w:val="0"/>
      <w:marBottom w:val="0"/>
      <w:divBdr>
        <w:top w:val="none" w:sz="0" w:space="0" w:color="auto"/>
        <w:left w:val="none" w:sz="0" w:space="0" w:color="auto"/>
        <w:bottom w:val="none" w:sz="0" w:space="0" w:color="auto"/>
        <w:right w:val="none" w:sz="0" w:space="0" w:color="auto"/>
      </w:divBdr>
    </w:div>
    <w:div w:id="756637913">
      <w:bodyDiv w:val="1"/>
      <w:marLeft w:val="0"/>
      <w:marRight w:val="0"/>
      <w:marTop w:val="0"/>
      <w:marBottom w:val="0"/>
      <w:divBdr>
        <w:top w:val="none" w:sz="0" w:space="0" w:color="auto"/>
        <w:left w:val="none" w:sz="0" w:space="0" w:color="auto"/>
        <w:bottom w:val="none" w:sz="0" w:space="0" w:color="auto"/>
        <w:right w:val="none" w:sz="0" w:space="0" w:color="auto"/>
      </w:divBdr>
    </w:div>
    <w:div w:id="756823363">
      <w:bodyDiv w:val="1"/>
      <w:marLeft w:val="0"/>
      <w:marRight w:val="0"/>
      <w:marTop w:val="0"/>
      <w:marBottom w:val="0"/>
      <w:divBdr>
        <w:top w:val="none" w:sz="0" w:space="0" w:color="auto"/>
        <w:left w:val="none" w:sz="0" w:space="0" w:color="auto"/>
        <w:bottom w:val="none" w:sz="0" w:space="0" w:color="auto"/>
        <w:right w:val="none" w:sz="0" w:space="0" w:color="auto"/>
      </w:divBdr>
    </w:div>
    <w:div w:id="756827083">
      <w:bodyDiv w:val="1"/>
      <w:marLeft w:val="0"/>
      <w:marRight w:val="0"/>
      <w:marTop w:val="0"/>
      <w:marBottom w:val="0"/>
      <w:divBdr>
        <w:top w:val="none" w:sz="0" w:space="0" w:color="auto"/>
        <w:left w:val="none" w:sz="0" w:space="0" w:color="auto"/>
        <w:bottom w:val="none" w:sz="0" w:space="0" w:color="auto"/>
        <w:right w:val="none" w:sz="0" w:space="0" w:color="auto"/>
      </w:divBdr>
    </w:div>
    <w:div w:id="756900471">
      <w:bodyDiv w:val="1"/>
      <w:marLeft w:val="0"/>
      <w:marRight w:val="0"/>
      <w:marTop w:val="0"/>
      <w:marBottom w:val="0"/>
      <w:divBdr>
        <w:top w:val="none" w:sz="0" w:space="0" w:color="auto"/>
        <w:left w:val="none" w:sz="0" w:space="0" w:color="auto"/>
        <w:bottom w:val="none" w:sz="0" w:space="0" w:color="auto"/>
        <w:right w:val="none" w:sz="0" w:space="0" w:color="auto"/>
      </w:divBdr>
    </w:div>
    <w:div w:id="757169496">
      <w:bodyDiv w:val="1"/>
      <w:marLeft w:val="0"/>
      <w:marRight w:val="0"/>
      <w:marTop w:val="0"/>
      <w:marBottom w:val="0"/>
      <w:divBdr>
        <w:top w:val="none" w:sz="0" w:space="0" w:color="auto"/>
        <w:left w:val="none" w:sz="0" w:space="0" w:color="auto"/>
        <w:bottom w:val="none" w:sz="0" w:space="0" w:color="auto"/>
        <w:right w:val="none" w:sz="0" w:space="0" w:color="auto"/>
      </w:divBdr>
    </w:div>
    <w:div w:id="759915511">
      <w:bodyDiv w:val="1"/>
      <w:marLeft w:val="0"/>
      <w:marRight w:val="0"/>
      <w:marTop w:val="0"/>
      <w:marBottom w:val="0"/>
      <w:divBdr>
        <w:top w:val="none" w:sz="0" w:space="0" w:color="auto"/>
        <w:left w:val="none" w:sz="0" w:space="0" w:color="auto"/>
        <w:bottom w:val="none" w:sz="0" w:space="0" w:color="auto"/>
        <w:right w:val="none" w:sz="0" w:space="0" w:color="auto"/>
      </w:divBdr>
    </w:div>
    <w:div w:id="760416935">
      <w:bodyDiv w:val="1"/>
      <w:marLeft w:val="0"/>
      <w:marRight w:val="0"/>
      <w:marTop w:val="0"/>
      <w:marBottom w:val="0"/>
      <w:divBdr>
        <w:top w:val="none" w:sz="0" w:space="0" w:color="auto"/>
        <w:left w:val="none" w:sz="0" w:space="0" w:color="auto"/>
        <w:bottom w:val="none" w:sz="0" w:space="0" w:color="auto"/>
        <w:right w:val="none" w:sz="0" w:space="0" w:color="auto"/>
      </w:divBdr>
    </w:div>
    <w:div w:id="761142372">
      <w:bodyDiv w:val="1"/>
      <w:marLeft w:val="0"/>
      <w:marRight w:val="0"/>
      <w:marTop w:val="0"/>
      <w:marBottom w:val="0"/>
      <w:divBdr>
        <w:top w:val="none" w:sz="0" w:space="0" w:color="auto"/>
        <w:left w:val="none" w:sz="0" w:space="0" w:color="auto"/>
        <w:bottom w:val="none" w:sz="0" w:space="0" w:color="auto"/>
        <w:right w:val="none" w:sz="0" w:space="0" w:color="auto"/>
      </w:divBdr>
    </w:div>
    <w:div w:id="761490650">
      <w:bodyDiv w:val="1"/>
      <w:marLeft w:val="0"/>
      <w:marRight w:val="0"/>
      <w:marTop w:val="0"/>
      <w:marBottom w:val="0"/>
      <w:divBdr>
        <w:top w:val="none" w:sz="0" w:space="0" w:color="auto"/>
        <w:left w:val="none" w:sz="0" w:space="0" w:color="auto"/>
        <w:bottom w:val="none" w:sz="0" w:space="0" w:color="auto"/>
        <w:right w:val="none" w:sz="0" w:space="0" w:color="auto"/>
      </w:divBdr>
    </w:div>
    <w:div w:id="761799166">
      <w:bodyDiv w:val="1"/>
      <w:marLeft w:val="0"/>
      <w:marRight w:val="0"/>
      <w:marTop w:val="0"/>
      <w:marBottom w:val="0"/>
      <w:divBdr>
        <w:top w:val="none" w:sz="0" w:space="0" w:color="auto"/>
        <w:left w:val="none" w:sz="0" w:space="0" w:color="auto"/>
        <w:bottom w:val="none" w:sz="0" w:space="0" w:color="auto"/>
        <w:right w:val="none" w:sz="0" w:space="0" w:color="auto"/>
      </w:divBdr>
    </w:div>
    <w:div w:id="761999386">
      <w:bodyDiv w:val="1"/>
      <w:marLeft w:val="0"/>
      <w:marRight w:val="0"/>
      <w:marTop w:val="0"/>
      <w:marBottom w:val="0"/>
      <w:divBdr>
        <w:top w:val="none" w:sz="0" w:space="0" w:color="auto"/>
        <w:left w:val="none" w:sz="0" w:space="0" w:color="auto"/>
        <w:bottom w:val="none" w:sz="0" w:space="0" w:color="auto"/>
        <w:right w:val="none" w:sz="0" w:space="0" w:color="auto"/>
      </w:divBdr>
    </w:div>
    <w:div w:id="764423110">
      <w:bodyDiv w:val="1"/>
      <w:marLeft w:val="0"/>
      <w:marRight w:val="0"/>
      <w:marTop w:val="0"/>
      <w:marBottom w:val="0"/>
      <w:divBdr>
        <w:top w:val="none" w:sz="0" w:space="0" w:color="auto"/>
        <w:left w:val="none" w:sz="0" w:space="0" w:color="auto"/>
        <w:bottom w:val="none" w:sz="0" w:space="0" w:color="auto"/>
        <w:right w:val="none" w:sz="0" w:space="0" w:color="auto"/>
      </w:divBdr>
    </w:div>
    <w:div w:id="765224555">
      <w:bodyDiv w:val="1"/>
      <w:marLeft w:val="0"/>
      <w:marRight w:val="0"/>
      <w:marTop w:val="0"/>
      <w:marBottom w:val="0"/>
      <w:divBdr>
        <w:top w:val="none" w:sz="0" w:space="0" w:color="auto"/>
        <w:left w:val="none" w:sz="0" w:space="0" w:color="auto"/>
        <w:bottom w:val="none" w:sz="0" w:space="0" w:color="auto"/>
        <w:right w:val="none" w:sz="0" w:space="0" w:color="auto"/>
      </w:divBdr>
    </w:div>
    <w:div w:id="766344816">
      <w:bodyDiv w:val="1"/>
      <w:marLeft w:val="0"/>
      <w:marRight w:val="0"/>
      <w:marTop w:val="0"/>
      <w:marBottom w:val="0"/>
      <w:divBdr>
        <w:top w:val="none" w:sz="0" w:space="0" w:color="auto"/>
        <w:left w:val="none" w:sz="0" w:space="0" w:color="auto"/>
        <w:bottom w:val="none" w:sz="0" w:space="0" w:color="auto"/>
        <w:right w:val="none" w:sz="0" w:space="0" w:color="auto"/>
      </w:divBdr>
    </w:div>
    <w:div w:id="767427074">
      <w:bodyDiv w:val="1"/>
      <w:marLeft w:val="0"/>
      <w:marRight w:val="0"/>
      <w:marTop w:val="0"/>
      <w:marBottom w:val="0"/>
      <w:divBdr>
        <w:top w:val="none" w:sz="0" w:space="0" w:color="auto"/>
        <w:left w:val="none" w:sz="0" w:space="0" w:color="auto"/>
        <w:bottom w:val="none" w:sz="0" w:space="0" w:color="auto"/>
        <w:right w:val="none" w:sz="0" w:space="0" w:color="auto"/>
      </w:divBdr>
    </w:div>
    <w:div w:id="768084672">
      <w:bodyDiv w:val="1"/>
      <w:marLeft w:val="0"/>
      <w:marRight w:val="0"/>
      <w:marTop w:val="0"/>
      <w:marBottom w:val="0"/>
      <w:divBdr>
        <w:top w:val="none" w:sz="0" w:space="0" w:color="auto"/>
        <w:left w:val="none" w:sz="0" w:space="0" w:color="auto"/>
        <w:bottom w:val="none" w:sz="0" w:space="0" w:color="auto"/>
        <w:right w:val="none" w:sz="0" w:space="0" w:color="auto"/>
      </w:divBdr>
    </w:div>
    <w:div w:id="769274372">
      <w:bodyDiv w:val="1"/>
      <w:marLeft w:val="0"/>
      <w:marRight w:val="0"/>
      <w:marTop w:val="0"/>
      <w:marBottom w:val="0"/>
      <w:divBdr>
        <w:top w:val="none" w:sz="0" w:space="0" w:color="auto"/>
        <w:left w:val="none" w:sz="0" w:space="0" w:color="auto"/>
        <w:bottom w:val="none" w:sz="0" w:space="0" w:color="auto"/>
        <w:right w:val="none" w:sz="0" w:space="0" w:color="auto"/>
      </w:divBdr>
    </w:div>
    <w:div w:id="770080000">
      <w:bodyDiv w:val="1"/>
      <w:marLeft w:val="0"/>
      <w:marRight w:val="0"/>
      <w:marTop w:val="0"/>
      <w:marBottom w:val="0"/>
      <w:divBdr>
        <w:top w:val="none" w:sz="0" w:space="0" w:color="auto"/>
        <w:left w:val="none" w:sz="0" w:space="0" w:color="auto"/>
        <w:bottom w:val="none" w:sz="0" w:space="0" w:color="auto"/>
        <w:right w:val="none" w:sz="0" w:space="0" w:color="auto"/>
      </w:divBdr>
    </w:div>
    <w:div w:id="770472053">
      <w:bodyDiv w:val="1"/>
      <w:marLeft w:val="0"/>
      <w:marRight w:val="0"/>
      <w:marTop w:val="0"/>
      <w:marBottom w:val="0"/>
      <w:divBdr>
        <w:top w:val="none" w:sz="0" w:space="0" w:color="auto"/>
        <w:left w:val="none" w:sz="0" w:space="0" w:color="auto"/>
        <w:bottom w:val="none" w:sz="0" w:space="0" w:color="auto"/>
        <w:right w:val="none" w:sz="0" w:space="0" w:color="auto"/>
      </w:divBdr>
    </w:div>
    <w:div w:id="772089747">
      <w:bodyDiv w:val="1"/>
      <w:marLeft w:val="0"/>
      <w:marRight w:val="0"/>
      <w:marTop w:val="0"/>
      <w:marBottom w:val="0"/>
      <w:divBdr>
        <w:top w:val="none" w:sz="0" w:space="0" w:color="auto"/>
        <w:left w:val="none" w:sz="0" w:space="0" w:color="auto"/>
        <w:bottom w:val="none" w:sz="0" w:space="0" w:color="auto"/>
        <w:right w:val="none" w:sz="0" w:space="0" w:color="auto"/>
      </w:divBdr>
    </w:div>
    <w:div w:id="772439886">
      <w:bodyDiv w:val="1"/>
      <w:marLeft w:val="0"/>
      <w:marRight w:val="0"/>
      <w:marTop w:val="0"/>
      <w:marBottom w:val="0"/>
      <w:divBdr>
        <w:top w:val="none" w:sz="0" w:space="0" w:color="auto"/>
        <w:left w:val="none" w:sz="0" w:space="0" w:color="auto"/>
        <w:bottom w:val="none" w:sz="0" w:space="0" w:color="auto"/>
        <w:right w:val="none" w:sz="0" w:space="0" w:color="auto"/>
      </w:divBdr>
    </w:div>
    <w:div w:id="772476421">
      <w:bodyDiv w:val="1"/>
      <w:marLeft w:val="0"/>
      <w:marRight w:val="0"/>
      <w:marTop w:val="0"/>
      <w:marBottom w:val="0"/>
      <w:divBdr>
        <w:top w:val="none" w:sz="0" w:space="0" w:color="auto"/>
        <w:left w:val="none" w:sz="0" w:space="0" w:color="auto"/>
        <w:bottom w:val="none" w:sz="0" w:space="0" w:color="auto"/>
        <w:right w:val="none" w:sz="0" w:space="0" w:color="auto"/>
      </w:divBdr>
    </w:div>
    <w:div w:id="773328348">
      <w:bodyDiv w:val="1"/>
      <w:marLeft w:val="0"/>
      <w:marRight w:val="0"/>
      <w:marTop w:val="0"/>
      <w:marBottom w:val="0"/>
      <w:divBdr>
        <w:top w:val="none" w:sz="0" w:space="0" w:color="auto"/>
        <w:left w:val="none" w:sz="0" w:space="0" w:color="auto"/>
        <w:bottom w:val="none" w:sz="0" w:space="0" w:color="auto"/>
        <w:right w:val="none" w:sz="0" w:space="0" w:color="auto"/>
      </w:divBdr>
    </w:div>
    <w:div w:id="774133911">
      <w:bodyDiv w:val="1"/>
      <w:marLeft w:val="0"/>
      <w:marRight w:val="0"/>
      <w:marTop w:val="0"/>
      <w:marBottom w:val="0"/>
      <w:divBdr>
        <w:top w:val="none" w:sz="0" w:space="0" w:color="auto"/>
        <w:left w:val="none" w:sz="0" w:space="0" w:color="auto"/>
        <w:bottom w:val="none" w:sz="0" w:space="0" w:color="auto"/>
        <w:right w:val="none" w:sz="0" w:space="0" w:color="auto"/>
      </w:divBdr>
    </w:div>
    <w:div w:id="776022434">
      <w:bodyDiv w:val="1"/>
      <w:marLeft w:val="0"/>
      <w:marRight w:val="0"/>
      <w:marTop w:val="0"/>
      <w:marBottom w:val="0"/>
      <w:divBdr>
        <w:top w:val="none" w:sz="0" w:space="0" w:color="auto"/>
        <w:left w:val="none" w:sz="0" w:space="0" w:color="auto"/>
        <w:bottom w:val="none" w:sz="0" w:space="0" w:color="auto"/>
        <w:right w:val="none" w:sz="0" w:space="0" w:color="auto"/>
      </w:divBdr>
    </w:div>
    <w:div w:id="776287882">
      <w:bodyDiv w:val="1"/>
      <w:marLeft w:val="0"/>
      <w:marRight w:val="0"/>
      <w:marTop w:val="0"/>
      <w:marBottom w:val="0"/>
      <w:divBdr>
        <w:top w:val="none" w:sz="0" w:space="0" w:color="auto"/>
        <w:left w:val="none" w:sz="0" w:space="0" w:color="auto"/>
        <w:bottom w:val="none" w:sz="0" w:space="0" w:color="auto"/>
        <w:right w:val="none" w:sz="0" w:space="0" w:color="auto"/>
      </w:divBdr>
    </w:div>
    <w:div w:id="776868797">
      <w:bodyDiv w:val="1"/>
      <w:marLeft w:val="0"/>
      <w:marRight w:val="0"/>
      <w:marTop w:val="0"/>
      <w:marBottom w:val="0"/>
      <w:divBdr>
        <w:top w:val="none" w:sz="0" w:space="0" w:color="auto"/>
        <w:left w:val="none" w:sz="0" w:space="0" w:color="auto"/>
        <w:bottom w:val="none" w:sz="0" w:space="0" w:color="auto"/>
        <w:right w:val="none" w:sz="0" w:space="0" w:color="auto"/>
      </w:divBdr>
    </w:div>
    <w:div w:id="776945854">
      <w:bodyDiv w:val="1"/>
      <w:marLeft w:val="0"/>
      <w:marRight w:val="0"/>
      <w:marTop w:val="0"/>
      <w:marBottom w:val="0"/>
      <w:divBdr>
        <w:top w:val="none" w:sz="0" w:space="0" w:color="auto"/>
        <w:left w:val="none" w:sz="0" w:space="0" w:color="auto"/>
        <w:bottom w:val="none" w:sz="0" w:space="0" w:color="auto"/>
        <w:right w:val="none" w:sz="0" w:space="0" w:color="auto"/>
      </w:divBdr>
    </w:div>
    <w:div w:id="777869004">
      <w:bodyDiv w:val="1"/>
      <w:marLeft w:val="0"/>
      <w:marRight w:val="0"/>
      <w:marTop w:val="0"/>
      <w:marBottom w:val="0"/>
      <w:divBdr>
        <w:top w:val="none" w:sz="0" w:space="0" w:color="auto"/>
        <w:left w:val="none" w:sz="0" w:space="0" w:color="auto"/>
        <w:bottom w:val="none" w:sz="0" w:space="0" w:color="auto"/>
        <w:right w:val="none" w:sz="0" w:space="0" w:color="auto"/>
      </w:divBdr>
    </w:div>
    <w:div w:id="777913685">
      <w:bodyDiv w:val="1"/>
      <w:marLeft w:val="0"/>
      <w:marRight w:val="0"/>
      <w:marTop w:val="0"/>
      <w:marBottom w:val="0"/>
      <w:divBdr>
        <w:top w:val="none" w:sz="0" w:space="0" w:color="auto"/>
        <w:left w:val="none" w:sz="0" w:space="0" w:color="auto"/>
        <w:bottom w:val="none" w:sz="0" w:space="0" w:color="auto"/>
        <w:right w:val="none" w:sz="0" w:space="0" w:color="auto"/>
      </w:divBdr>
    </w:div>
    <w:div w:id="778527300">
      <w:bodyDiv w:val="1"/>
      <w:marLeft w:val="0"/>
      <w:marRight w:val="0"/>
      <w:marTop w:val="0"/>
      <w:marBottom w:val="0"/>
      <w:divBdr>
        <w:top w:val="none" w:sz="0" w:space="0" w:color="auto"/>
        <w:left w:val="none" w:sz="0" w:space="0" w:color="auto"/>
        <w:bottom w:val="none" w:sz="0" w:space="0" w:color="auto"/>
        <w:right w:val="none" w:sz="0" w:space="0" w:color="auto"/>
      </w:divBdr>
    </w:div>
    <w:div w:id="779446533">
      <w:bodyDiv w:val="1"/>
      <w:marLeft w:val="0"/>
      <w:marRight w:val="0"/>
      <w:marTop w:val="0"/>
      <w:marBottom w:val="0"/>
      <w:divBdr>
        <w:top w:val="none" w:sz="0" w:space="0" w:color="auto"/>
        <w:left w:val="none" w:sz="0" w:space="0" w:color="auto"/>
        <w:bottom w:val="none" w:sz="0" w:space="0" w:color="auto"/>
        <w:right w:val="none" w:sz="0" w:space="0" w:color="auto"/>
      </w:divBdr>
    </w:div>
    <w:div w:id="781070925">
      <w:bodyDiv w:val="1"/>
      <w:marLeft w:val="0"/>
      <w:marRight w:val="0"/>
      <w:marTop w:val="0"/>
      <w:marBottom w:val="0"/>
      <w:divBdr>
        <w:top w:val="none" w:sz="0" w:space="0" w:color="auto"/>
        <w:left w:val="none" w:sz="0" w:space="0" w:color="auto"/>
        <w:bottom w:val="none" w:sz="0" w:space="0" w:color="auto"/>
        <w:right w:val="none" w:sz="0" w:space="0" w:color="auto"/>
      </w:divBdr>
    </w:div>
    <w:div w:id="781732434">
      <w:bodyDiv w:val="1"/>
      <w:marLeft w:val="0"/>
      <w:marRight w:val="0"/>
      <w:marTop w:val="0"/>
      <w:marBottom w:val="0"/>
      <w:divBdr>
        <w:top w:val="none" w:sz="0" w:space="0" w:color="auto"/>
        <w:left w:val="none" w:sz="0" w:space="0" w:color="auto"/>
        <w:bottom w:val="none" w:sz="0" w:space="0" w:color="auto"/>
        <w:right w:val="none" w:sz="0" w:space="0" w:color="auto"/>
      </w:divBdr>
    </w:div>
    <w:div w:id="783773006">
      <w:bodyDiv w:val="1"/>
      <w:marLeft w:val="0"/>
      <w:marRight w:val="0"/>
      <w:marTop w:val="0"/>
      <w:marBottom w:val="0"/>
      <w:divBdr>
        <w:top w:val="none" w:sz="0" w:space="0" w:color="auto"/>
        <w:left w:val="none" w:sz="0" w:space="0" w:color="auto"/>
        <w:bottom w:val="none" w:sz="0" w:space="0" w:color="auto"/>
        <w:right w:val="none" w:sz="0" w:space="0" w:color="auto"/>
      </w:divBdr>
    </w:div>
    <w:div w:id="784351925">
      <w:bodyDiv w:val="1"/>
      <w:marLeft w:val="0"/>
      <w:marRight w:val="0"/>
      <w:marTop w:val="0"/>
      <w:marBottom w:val="0"/>
      <w:divBdr>
        <w:top w:val="none" w:sz="0" w:space="0" w:color="auto"/>
        <w:left w:val="none" w:sz="0" w:space="0" w:color="auto"/>
        <w:bottom w:val="none" w:sz="0" w:space="0" w:color="auto"/>
        <w:right w:val="none" w:sz="0" w:space="0" w:color="auto"/>
      </w:divBdr>
    </w:div>
    <w:div w:id="784470095">
      <w:bodyDiv w:val="1"/>
      <w:marLeft w:val="0"/>
      <w:marRight w:val="0"/>
      <w:marTop w:val="0"/>
      <w:marBottom w:val="0"/>
      <w:divBdr>
        <w:top w:val="none" w:sz="0" w:space="0" w:color="auto"/>
        <w:left w:val="none" w:sz="0" w:space="0" w:color="auto"/>
        <w:bottom w:val="none" w:sz="0" w:space="0" w:color="auto"/>
        <w:right w:val="none" w:sz="0" w:space="0" w:color="auto"/>
      </w:divBdr>
    </w:div>
    <w:div w:id="784733757">
      <w:bodyDiv w:val="1"/>
      <w:marLeft w:val="0"/>
      <w:marRight w:val="0"/>
      <w:marTop w:val="0"/>
      <w:marBottom w:val="0"/>
      <w:divBdr>
        <w:top w:val="none" w:sz="0" w:space="0" w:color="auto"/>
        <w:left w:val="none" w:sz="0" w:space="0" w:color="auto"/>
        <w:bottom w:val="none" w:sz="0" w:space="0" w:color="auto"/>
        <w:right w:val="none" w:sz="0" w:space="0" w:color="auto"/>
      </w:divBdr>
    </w:div>
    <w:div w:id="785348889">
      <w:bodyDiv w:val="1"/>
      <w:marLeft w:val="0"/>
      <w:marRight w:val="0"/>
      <w:marTop w:val="0"/>
      <w:marBottom w:val="0"/>
      <w:divBdr>
        <w:top w:val="none" w:sz="0" w:space="0" w:color="auto"/>
        <w:left w:val="none" w:sz="0" w:space="0" w:color="auto"/>
        <w:bottom w:val="none" w:sz="0" w:space="0" w:color="auto"/>
        <w:right w:val="none" w:sz="0" w:space="0" w:color="auto"/>
      </w:divBdr>
    </w:div>
    <w:div w:id="785585038">
      <w:bodyDiv w:val="1"/>
      <w:marLeft w:val="0"/>
      <w:marRight w:val="0"/>
      <w:marTop w:val="0"/>
      <w:marBottom w:val="0"/>
      <w:divBdr>
        <w:top w:val="none" w:sz="0" w:space="0" w:color="auto"/>
        <w:left w:val="none" w:sz="0" w:space="0" w:color="auto"/>
        <w:bottom w:val="none" w:sz="0" w:space="0" w:color="auto"/>
        <w:right w:val="none" w:sz="0" w:space="0" w:color="auto"/>
      </w:divBdr>
    </w:div>
    <w:div w:id="787284920">
      <w:bodyDiv w:val="1"/>
      <w:marLeft w:val="0"/>
      <w:marRight w:val="0"/>
      <w:marTop w:val="0"/>
      <w:marBottom w:val="0"/>
      <w:divBdr>
        <w:top w:val="none" w:sz="0" w:space="0" w:color="auto"/>
        <w:left w:val="none" w:sz="0" w:space="0" w:color="auto"/>
        <w:bottom w:val="none" w:sz="0" w:space="0" w:color="auto"/>
        <w:right w:val="none" w:sz="0" w:space="0" w:color="auto"/>
      </w:divBdr>
    </w:div>
    <w:div w:id="787311814">
      <w:bodyDiv w:val="1"/>
      <w:marLeft w:val="0"/>
      <w:marRight w:val="0"/>
      <w:marTop w:val="0"/>
      <w:marBottom w:val="0"/>
      <w:divBdr>
        <w:top w:val="none" w:sz="0" w:space="0" w:color="auto"/>
        <w:left w:val="none" w:sz="0" w:space="0" w:color="auto"/>
        <w:bottom w:val="none" w:sz="0" w:space="0" w:color="auto"/>
        <w:right w:val="none" w:sz="0" w:space="0" w:color="auto"/>
      </w:divBdr>
    </w:div>
    <w:div w:id="788166657">
      <w:bodyDiv w:val="1"/>
      <w:marLeft w:val="0"/>
      <w:marRight w:val="0"/>
      <w:marTop w:val="0"/>
      <w:marBottom w:val="0"/>
      <w:divBdr>
        <w:top w:val="none" w:sz="0" w:space="0" w:color="auto"/>
        <w:left w:val="none" w:sz="0" w:space="0" w:color="auto"/>
        <w:bottom w:val="none" w:sz="0" w:space="0" w:color="auto"/>
        <w:right w:val="none" w:sz="0" w:space="0" w:color="auto"/>
      </w:divBdr>
    </w:div>
    <w:div w:id="789275666">
      <w:bodyDiv w:val="1"/>
      <w:marLeft w:val="0"/>
      <w:marRight w:val="0"/>
      <w:marTop w:val="0"/>
      <w:marBottom w:val="0"/>
      <w:divBdr>
        <w:top w:val="none" w:sz="0" w:space="0" w:color="auto"/>
        <w:left w:val="none" w:sz="0" w:space="0" w:color="auto"/>
        <w:bottom w:val="none" w:sz="0" w:space="0" w:color="auto"/>
        <w:right w:val="none" w:sz="0" w:space="0" w:color="auto"/>
      </w:divBdr>
    </w:div>
    <w:div w:id="790173153">
      <w:bodyDiv w:val="1"/>
      <w:marLeft w:val="0"/>
      <w:marRight w:val="0"/>
      <w:marTop w:val="0"/>
      <w:marBottom w:val="0"/>
      <w:divBdr>
        <w:top w:val="none" w:sz="0" w:space="0" w:color="auto"/>
        <w:left w:val="none" w:sz="0" w:space="0" w:color="auto"/>
        <w:bottom w:val="none" w:sz="0" w:space="0" w:color="auto"/>
        <w:right w:val="none" w:sz="0" w:space="0" w:color="auto"/>
      </w:divBdr>
    </w:div>
    <w:div w:id="791049449">
      <w:bodyDiv w:val="1"/>
      <w:marLeft w:val="0"/>
      <w:marRight w:val="0"/>
      <w:marTop w:val="0"/>
      <w:marBottom w:val="0"/>
      <w:divBdr>
        <w:top w:val="none" w:sz="0" w:space="0" w:color="auto"/>
        <w:left w:val="none" w:sz="0" w:space="0" w:color="auto"/>
        <w:bottom w:val="none" w:sz="0" w:space="0" w:color="auto"/>
        <w:right w:val="none" w:sz="0" w:space="0" w:color="auto"/>
      </w:divBdr>
    </w:div>
    <w:div w:id="792089825">
      <w:bodyDiv w:val="1"/>
      <w:marLeft w:val="0"/>
      <w:marRight w:val="0"/>
      <w:marTop w:val="0"/>
      <w:marBottom w:val="0"/>
      <w:divBdr>
        <w:top w:val="none" w:sz="0" w:space="0" w:color="auto"/>
        <w:left w:val="none" w:sz="0" w:space="0" w:color="auto"/>
        <w:bottom w:val="none" w:sz="0" w:space="0" w:color="auto"/>
        <w:right w:val="none" w:sz="0" w:space="0" w:color="auto"/>
      </w:divBdr>
    </w:div>
    <w:div w:id="792137070">
      <w:bodyDiv w:val="1"/>
      <w:marLeft w:val="0"/>
      <w:marRight w:val="0"/>
      <w:marTop w:val="0"/>
      <w:marBottom w:val="0"/>
      <w:divBdr>
        <w:top w:val="none" w:sz="0" w:space="0" w:color="auto"/>
        <w:left w:val="none" w:sz="0" w:space="0" w:color="auto"/>
        <w:bottom w:val="none" w:sz="0" w:space="0" w:color="auto"/>
        <w:right w:val="none" w:sz="0" w:space="0" w:color="auto"/>
      </w:divBdr>
    </w:div>
    <w:div w:id="792553594">
      <w:bodyDiv w:val="1"/>
      <w:marLeft w:val="0"/>
      <w:marRight w:val="0"/>
      <w:marTop w:val="0"/>
      <w:marBottom w:val="0"/>
      <w:divBdr>
        <w:top w:val="none" w:sz="0" w:space="0" w:color="auto"/>
        <w:left w:val="none" w:sz="0" w:space="0" w:color="auto"/>
        <w:bottom w:val="none" w:sz="0" w:space="0" w:color="auto"/>
        <w:right w:val="none" w:sz="0" w:space="0" w:color="auto"/>
      </w:divBdr>
    </w:div>
    <w:div w:id="793642589">
      <w:bodyDiv w:val="1"/>
      <w:marLeft w:val="0"/>
      <w:marRight w:val="0"/>
      <w:marTop w:val="0"/>
      <w:marBottom w:val="0"/>
      <w:divBdr>
        <w:top w:val="none" w:sz="0" w:space="0" w:color="auto"/>
        <w:left w:val="none" w:sz="0" w:space="0" w:color="auto"/>
        <w:bottom w:val="none" w:sz="0" w:space="0" w:color="auto"/>
        <w:right w:val="none" w:sz="0" w:space="0" w:color="auto"/>
      </w:divBdr>
    </w:div>
    <w:div w:id="793868557">
      <w:bodyDiv w:val="1"/>
      <w:marLeft w:val="0"/>
      <w:marRight w:val="0"/>
      <w:marTop w:val="0"/>
      <w:marBottom w:val="0"/>
      <w:divBdr>
        <w:top w:val="none" w:sz="0" w:space="0" w:color="auto"/>
        <w:left w:val="none" w:sz="0" w:space="0" w:color="auto"/>
        <w:bottom w:val="none" w:sz="0" w:space="0" w:color="auto"/>
        <w:right w:val="none" w:sz="0" w:space="0" w:color="auto"/>
      </w:divBdr>
    </w:div>
    <w:div w:id="794641433">
      <w:bodyDiv w:val="1"/>
      <w:marLeft w:val="0"/>
      <w:marRight w:val="0"/>
      <w:marTop w:val="0"/>
      <w:marBottom w:val="0"/>
      <w:divBdr>
        <w:top w:val="none" w:sz="0" w:space="0" w:color="auto"/>
        <w:left w:val="none" w:sz="0" w:space="0" w:color="auto"/>
        <w:bottom w:val="none" w:sz="0" w:space="0" w:color="auto"/>
        <w:right w:val="none" w:sz="0" w:space="0" w:color="auto"/>
      </w:divBdr>
    </w:div>
    <w:div w:id="795757097">
      <w:bodyDiv w:val="1"/>
      <w:marLeft w:val="0"/>
      <w:marRight w:val="0"/>
      <w:marTop w:val="0"/>
      <w:marBottom w:val="0"/>
      <w:divBdr>
        <w:top w:val="none" w:sz="0" w:space="0" w:color="auto"/>
        <w:left w:val="none" w:sz="0" w:space="0" w:color="auto"/>
        <w:bottom w:val="none" w:sz="0" w:space="0" w:color="auto"/>
        <w:right w:val="none" w:sz="0" w:space="0" w:color="auto"/>
      </w:divBdr>
    </w:div>
    <w:div w:id="796029220">
      <w:bodyDiv w:val="1"/>
      <w:marLeft w:val="0"/>
      <w:marRight w:val="0"/>
      <w:marTop w:val="0"/>
      <w:marBottom w:val="0"/>
      <w:divBdr>
        <w:top w:val="none" w:sz="0" w:space="0" w:color="auto"/>
        <w:left w:val="none" w:sz="0" w:space="0" w:color="auto"/>
        <w:bottom w:val="none" w:sz="0" w:space="0" w:color="auto"/>
        <w:right w:val="none" w:sz="0" w:space="0" w:color="auto"/>
      </w:divBdr>
    </w:div>
    <w:div w:id="796875811">
      <w:bodyDiv w:val="1"/>
      <w:marLeft w:val="0"/>
      <w:marRight w:val="0"/>
      <w:marTop w:val="0"/>
      <w:marBottom w:val="0"/>
      <w:divBdr>
        <w:top w:val="none" w:sz="0" w:space="0" w:color="auto"/>
        <w:left w:val="none" w:sz="0" w:space="0" w:color="auto"/>
        <w:bottom w:val="none" w:sz="0" w:space="0" w:color="auto"/>
        <w:right w:val="none" w:sz="0" w:space="0" w:color="auto"/>
      </w:divBdr>
    </w:div>
    <w:div w:id="796995038">
      <w:bodyDiv w:val="1"/>
      <w:marLeft w:val="0"/>
      <w:marRight w:val="0"/>
      <w:marTop w:val="0"/>
      <w:marBottom w:val="0"/>
      <w:divBdr>
        <w:top w:val="none" w:sz="0" w:space="0" w:color="auto"/>
        <w:left w:val="none" w:sz="0" w:space="0" w:color="auto"/>
        <w:bottom w:val="none" w:sz="0" w:space="0" w:color="auto"/>
        <w:right w:val="none" w:sz="0" w:space="0" w:color="auto"/>
      </w:divBdr>
    </w:div>
    <w:div w:id="797068710">
      <w:bodyDiv w:val="1"/>
      <w:marLeft w:val="0"/>
      <w:marRight w:val="0"/>
      <w:marTop w:val="0"/>
      <w:marBottom w:val="0"/>
      <w:divBdr>
        <w:top w:val="none" w:sz="0" w:space="0" w:color="auto"/>
        <w:left w:val="none" w:sz="0" w:space="0" w:color="auto"/>
        <w:bottom w:val="none" w:sz="0" w:space="0" w:color="auto"/>
        <w:right w:val="none" w:sz="0" w:space="0" w:color="auto"/>
      </w:divBdr>
    </w:div>
    <w:div w:id="797332541">
      <w:bodyDiv w:val="1"/>
      <w:marLeft w:val="0"/>
      <w:marRight w:val="0"/>
      <w:marTop w:val="0"/>
      <w:marBottom w:val="0"/>
      <w:divBdr>
        <w:top w:val="none" w:sz="0" w:space="0" w:color="auto"/>
        <w:left w:val="none" w:sz="0" w:space="0" w:color="auto"/>
        <w:bottom w:val="none" w:sz="0" w:space="0" w:color="auto"/>
        <w:right w:val="none" w:sz="0" w:space="0" w:color="auto"/>
      </w:divBdr>
    </w:div>
    <w:div w:id="797381084">
      <w:bodyDiv w:val="1"/>
      <w:marLeft w:val="0"/>
      <w:marRight w:val="0"/>
      <w:marTop w:val="0"/>
      <w:marBottom w:val="0"/>
      <w:divBdr>
        <w:top w:val="none" w:sz="0" w:space="0" w:color="auto"/>
        <w:left w:val="none" w:sz="0" w:space="0" w:color="auto"/>
        <w:bottom w:val="none" w:sz="0" w:space="0" w:color="auto"/>
        <w:right w:val="none" w:sz="0" w:space="0" w:color="auto"/>
      </w:divBdr>
    </w:div>
    <w:div w:id="797651026">
      <w:bodyDiv w:val="1"/>
      <w:marLeft w:val="0"/>
      <w:marRight w:val="0"/>
      <w:marTop w:val="0"/>
      <w:marBottom w:val="0"/>
      <w:divBdr>
        <w:top w:val="none" w:sz="0" w:space="0" w:color="auto"/>
        <w:left w:val="none" w:sz="0" w:space="0" w:color="auto"/>
        <w:bottom w:val="none" w:sz="0" w:space="0" w:color="auto"/>
        <w:right w:val="none" w:sz="0" w:space="0" w:color="auto"/>
      </w:divBdr>
    </w:div>
    <w:div w:id="798914739">
      <w:bodyDiv w:val="1"/>
      <w:marLeft w:val="0"/>
      <w:marRight w:val="0"/>
      <w:marTop w:val="0"/>
      <w:marBottom w:val="0"/>
      <w:divBdr>
        <w:top w:val="none" w:sz="0" w:space="0" w:color="auto"/>
        <w:left w:val="none" w:sz="0" w:space="0" w:color="auto"/>
        <w:bottom w:val="none" w:sz="0" w:space="0" w:color="auto"/>
        <w:right w:val="none" w:sz="0" w:space="0" w:color="auto"/>
      </w:divBdr>
    </w:div>
    <w:div w:id="799153987">
      <w:bodyDiv w:val="1"/>
      <w:marLeft w:val="0"/>
      <w:marRight w:val="0"/>
      <w:marTop w:val="0"/>
      <w:marBottom w:val="0"/>
      <w:divBdr>
        <w:top w:val="none" w:sz="0" w:space="0" w:color="auto"/>
        <w:left w:val="none" w:sz="0" w:space="0" w:color="auto"/>
        <w:bottom w:val="none" w:sz="0" w:space="0" w:color="auto"/>
        <w:right w:val="none" w:sz="0" w:space="0" w:color="auto"/>
      </w:divBdr>
    </w:div>
    <w:div w:id="799879819">
      <w:bodyDiv w:val="1"/>
      <w:marLeft w:val="0"/>
      <w:marRight w:val="0"/>
      <w:marTop w:val="0"/>
      <w:marBottom w:val="0"/>
      <w:divBdr>
        <w:top w:val="none" w:sz="0" w:space="0" w:color="auto"/>
        <w:left w:val="none" w:sz="0" w:space="0" w:color="auto"/>
        <w:bottom w:val="none" w:sz="0" w:space="0" w:color="auto"/>
        <w:right w:val="none" w:sz="0" w:space="0" w:color="auto"/>
      </w:divBdr>
    </w:div>
    <w:div w:id="799998133">
      <w:bodyDiv w:val="1"/>
      <w:marLeft w:val="0"/>
      <w:marRight w:val="0"/>
      <w:marTop w:val="0"/>
      <w:marBottom w:val="0"/>
      <w:divBdr>
        <w:top w:val="none" w:sz="0" w:space="0" w:color="auto"/>
        <w:left w:val="none" w:sz="0" w:space="0" w:color="auto"/>
        <w:bottom w:val="none" w:sz="0" w:space="0" w:color="auto"/>
        <w:right w:val="none" w:sz="0" w:space="0" w:color="auto"/>
      </w:divBdr>
    </w:div>
    <w:div w:id="800850958">
      <w:bodyDiv w:val="1"/>
      <w:marLeft w:val="0"/>
      <w:marRight w:val="0"/>
      <w:marTop w:val="0"/>
      <w:marBottom w:val="0"/>
      <w:divBdr>
        <w:top w:val="none" w:sz="0" w:space="0" w:color="auto"/>
        <w:left w:val="none" w:sz="0" w:space="0" w:color="auto"/>
        <w:bottom w:val="none" w:sz="0" w:space="0" w:color="auto"/>
        <w:right w:val="none" w:sz="0" w:space="0" w:color="auto"/>
      </w:divBdr>
    </w:div>
    <w:div w:id="802231185">
      <w:bodyDiv w:val="1"/>
      <w:marLeft w:val="0"/>
      <w:marRight w:val="0"/>
      <w:marTop w:val="0"/>
      <w:marBottom w:val="0"/>
      <w:divBdr>
        <w:top w:val="none" w:sz="0" w:space="0" w:color="auto"/>
        <w:left w:val="none" w:sz="0" w:space="0" w:color="auto"/>
        <w:bottom w:val="none" w:sz="0" w:space="0" w:color="auto"/>
        <w:right w:val="none" w:sz="0" w:space="0" w:color="auto"/>
      </w:divBdr>
    </w:div>
    <w:div w:id="802583373">
      <w:bodyDiv w:val="1"/>
      <w:marLeft w:val="0"/>
      <w:marRight w:val="0"/>
      <w:marTop w:val="0"/>
      <w:marBottom w:val="0"/>
      <w:divBdr>
        <w:top w:val="none" w:sz="0" w:space="0" w:color="auto"/>
        <w:left w:val="none" w:sz="0" w:space="0" w:color="auto"/>
        <w:bottom w:val="none" w:sz="0" w:space="0" w:color="auto"/>
        <w:right w:val="none" w:sz="0" w:space="0" w:color="auto"/>
      </w:divBdr>
    </w:div>
    <w:div w:id="802626041">
      <w:bodyDiv w:val="1"/>
      <w:marLeft w:val="0"/>
      <w:marRight w:val="0"/>
      <w:marTop w:val="0"/>
      <w:marBottom w:val="0"/>
      <w:divBdr>
        <w:top w:val="none" w:sz="0" w:space="0" w:color="auto"/>
        <w:left w:val="none" w:sz="0" w:space="0" w:color="auto"/>
        <w:bottom w:val="none" w:sz="0" w:space="0" w:color="auto"/>
        <w:right w:val="none" w:sz="0" w:space="0" w:color="auto"/>
      </w:divBdr>
    </w:div>
    <w:div w:id="802652153">
      <w:bodyDiv w:val="1"/>
      <w:marLeft w:val="0"/>
      <w:marRight w:val="0"/>
      <w:marTop w:val="0"/>
      <w:marBottom w:val="0"/>
      <w:divBdr>
        <w:top w:val="none" w:sz="0" w:space="0" w:color="auto"/>
        <w:left w:val="none" w:sz="0" w:space="0" w:color="auto"/>
        <w:bottom w:val="none" w:sz="0" w:space="0" w:color="auto"/>
        <w:right w:val="none" w:sz="0" w:space="0" w:color="auto"/>
      </w:divBdr>
    </w:div>
    <w:div w:id="803353259">
      <w:bodyDiv w:val="1"/>
      <w:marLeft w:val="0"/>
      <w:marRight w:val="0"/>
      <w:marTop w:val="0"/>
      <w:marBottom w:val="0"/>
      <w:divBdr>
        <w:top w:val="none" w:sz="0" w:space="0" w:color="auto"/>
        <w:left w:val="none" w:sz="0" w:space="0" w:color="auto"/>
        <w:bottom w:val="none" w:sz="0" w:space="0" w:color="auto"/>
        <w:right w:val="none" w:sz="0" w:space="0" w:color="auto"/>
      </w:divBdr>
    </w:div>
    <w:div w:id="803741255">
      <w:bodyDiv w:val="1"/>
      <w:marLeft w:val="0"/>
      <w:marRight w:val="0"/>
      <w:marTop w:val="0"/>
      <w:marBottom w:val="0"/>
      <w:divBdr>
        <w:top w:val="none" w:sz="0" w:space="0" w:color="auto"/>
        <w:left w:val="none" w:sz="0" w:space="0" w:color="auto"/>
        <w:bottom w:val="none" w:sz="0" w:space="0" w:color="auto"/>
        <w:right w:val="none" w:sz="0" w:space="0" w:color="auto"/>
      </w:divBdr>
    </w:div>
    <w:div w:id="803742301">
      <w:bodyDiv w:val="1"/>
      <w:marLeft w:val="0"/>
      <w:marRight w:val="0"/>
      <w:marTop w:val="0"/>
      <w:marBottom w:val="0"/>
      <w:divBdr>
        <w:top w:val="none" w:sz="0" w:space="0" w:color="auto"/>
        <w:left w:val="none" w:sz="0" w:space="0" w:color="auto"/>
        <w:bottom w:val="none" w:sz="0" w:space="0" w:color="auto"/>
        <w:right w:val="none" w:sz="0" w:space="0" w:color="auto"/>
      </w:divBdr>
    </w:div>
    <w:div w:id="804860589">
      <w:bodyDiv w:val="1"/>
      <w:marLeft w:val="0"/>
      <w:marRight w:val="0"/>
      <w:marTop w:val="0"/>
      <w:marBottom w:val="0"/>
      <w:divBdr>
        <w:top w:val="none" w:sz="0" w:space="0" w:color="auto"/>
        <w:left w:val="none" w:sz="0" w:space="0" w:color="auto"/>
        <w:bottom w:val="none" w:sz="0" w:space="0" w:color="auto"/>
        <w:right w:val="none" w:sz="0" w:space="0" w:color="auto"/>
      </w:divBdr>
    </w:div>
    <w:div w:id="805707105">
      <w:bodyDiv w:val="1"/>
      <w:marLeft w:val="0"/>
      <w:marRight w:val="0"/>
      <w:marTop w:val="0"/>
      <w:marBottom w:val="0"/>
      <w:divBdr>
        <w:top w:val="none" w:sz="0" w:space="0" w:color="auto"/>
        <w:left w:val="none" w:sz="0" w:space="0" w:color="auto"/>
        <w:bottom w:val="none" w:sz="0" w:space="0" w:color="auto"/>
        <w:right w:val="none" w:sz="0" w:space="0" w:color="auto"/>
      </w:divBdr>
    </w:div>
    <w:div w:id="805708472">
      <w:bodyDiv w:val="1"/>
      <w:marLeft w:val="0"/>
      <w:marRight w:val="0"/>
      <w:marTop w:val="0"/>
      <w:marBottom w:val="0"/>
      <w:divBdr>
        <w:top w:val="none" w:sz="0" w:space="0" w:color="auto"/>
        <w:left w:val="none" w:sz="0" w:space="0" w:color="auto"/>
        <w:bottom w:val="none" w:sz="0" w:space="0" w:color="auto"/>
        <w:right w:val="none" w:sz="0" w:space="0" w:color="auto"/>
      </w:divBdr>
    </w:div>
    <w:div w:id="806124245">
      <w:bodyDiv w:val="1"/>
      <w:marLeft w:val="0"/>
      <w:marRight w:val="0"/>
      <w:marTop w:val="0"/>
      <w:marBottom w:val="0"/>
      <w:divBdr>
        <w:top w:val="none" w:sz="0" w:space="0" w:color="auto"/>
        <w:left w:val="none" w:sz="0" w:space="0" w:color="auto"/>
        <w:bottom w:val="none" w:sz="0" w:space="0" w:color="auto"/>
        <w:right w:val="none" w:sz="0" w:space="0" w:color="auto"/>
      </w:divBdr>
    </w:div>
    <w:div w:id="806166366">
      <w:bodyDiv w:val="1"/>
      <w:marLeft w:val="0"/>
      <w:marRight w:val="0"/>
      <w:marTop w:val="0"/>
      <w:marBottom w:val="0"/>
      <w:divBdr>
        <w:top w:val="none" w:sz="0" w:space="0" w:color="auto"/>
        <w:left w:val="none" w:sz="0" w:space="0" w:color="auto"/>
        <w:bottom w:val="none" w:sz="0" w:space="0" w:color="auto"/>
        <w:right w:val="none" w:sz="0" w:space="0" w:color="auto"/>
      </w:divBdr>
    </w:div>
    <w:div w:id="806968513">
      <w:bodyDiv w:val="1"/>
      <w:marLeft w:val="0"/>
      <w:marRight w:val="0"/>
      <w:marTop w:val="0"/>
      <w:marBottom w:val="0"/>
      <w:divBdr>
        <w:top w:val="none" w:sz="0" w:space="0" w:color="auto"/>
        <w:left w:val="none" w:sz="0" w:space="0" w:color="auto"/>
        <w:bottom w:val="none" w:sz="0" w:space="0" w:color="auto"/>
        <w:right w:val="none" w:sz="0" w:space="0" w:color="auto"/>
      </w:divBdr>
    </w:div>
    <w:div w:id="808326835">
      <w:bodyDiv w:val="1"/>
      <w:marLeft w:val="0"/>
      <w:marRight w:val="0"/>
      <w:marTop w:val="0"/>
      <w:marBottom w:val="0"/>
      <w:divBdr>
        <w:top w:val="none" w:sz="0" w:space="0" w:color="auto"/>
        <w:left w:val="none" w:sz="0" w:space="0" w:color="auto"/>
        <w:bottom w:val="none" w:sz="0" w:space="0" w:color="auto"/>
        <w:right w:val="none" w:sz="0" w:space="0" w:color="auto"/>
      </w:divBdr>
    </w:div>
    <w:div w:id="808741944">
      <w:bodyDiv w:val="1"/>
      <w:marLeft w:val="0"/>
      <w:marRight w:val="0"/>
      <w:marTop w:val="0"/>
      <w:marBottom w:val="0"/>
      <w:divBdr>
        <w:top w:val="none" w:sz="0" w:space="0" w:color="auto"/>
        <w:left w:val="none" w:sz="0" w:space="0" w:color="auto"/>
        <w:bottom w:val="none" w:sz="0" w:space="0" w:color="auto"/>
        <w:right w:val="none" w:sz="0" w:space="0" w:color="auto"/>
      </w:divBdr>
    </w:div>
    <w:div w:id="809370936">
      <w:bodyDiv w:val="1"/>
      <w:marLeft w:val="0"/>
      <w:marRight w:val="0"/>
      <w:marTop w:val="0"/>
      <w:marBottom w:val="0"/>
      <w:divBdr>
        <w:top w:val="none" w:sz="0" w:space="0" w:color="auto"/>
        <w:left w:val="none" w:sz="0" w:space="0" w:color="auto"/>
        <w:bottom w:val="none" w:sz="0" w:space="0" w:color="auto"/>
        <w:right w:val="none" w:sz="0" w:space="0" w:color="auto"/>
      </w:divBdr>
    </w:div>
    <w:div w:id="809710645">
      <w:bodyDiv w:val="1"/>
      <w:marLeft w:val="0"/>
      <w:marRight w:val="0"/>
      <w:marTop w:val="0"/>
      <w:marBottom w:val="0"/>
      <w:divBdr>
        <w:top w:val="none" w:sz="0" w:space="0" w:color="auto"/>
        <w:left w:val="none" w:sz="0" w:space="0" w:color="auto"/>
        <w:bottom w:val="none" w:sz="0" w:space="0" w:color="auto"/>
        <w:right w:val="none" w:sz="0" w:space="0" w:color="auto"/>
      </w:divBdr>
    </w:div>
    <w:div w:id="809713248">
      <w:bodyDiv w:val="1"/>
      <w:marLeft w:val="0"/>
      <w:marRight w:val="0"/>
      <w:marTop w:val="0"/>
      <w:marBottom w:val="0"/>
      <w:divBdr>
        <w:top w:val="none" w:sz="0" w:space="0" w:color="auto"/>
        <w:left w:val="none" w:sz="0" w:space="0" w:color="auto"/>
        <w:bottom w:val="none" w:sz="0" w:space="0" w:color="auto"/>
        <w:right w:val="none" w:sz="0" w:space="0" w:color="auto"/>
      </w:divBdr>
    </w:div>
    <w:div w:id="809858048">
      <w:bodyDiv w:val="1"/>
      <w:marLeft w:val="0"/>
      <w:marRight w:val="0"/>
      <w:marTop w:val="0"/>
      <w:marBottom w:val="0"/>
      <w:divBdr>
        <w:top w:val="none" w:sz="0" w:space="0" w:color="auto"/>
        <w:left w:val="none" w:sz="0" w:space="0" w:color="auto"/>
        <w:bottom w:val="none" w:sz="0" w:space="0" w:color="auto"/>
        <w:right w:val="none" w:sz="0" w:space="0" w:color="auto"/>
      </w:divBdr>
    </w:div>
    <w:div w:id="811361461">
      <w:bodyDiv w:val="1"/>
      <w:marLeft w:val="0"/>
      <w:marRight w:val="0"/>
      <w:marTop w:val="0"/>
      <w:marBottom w:val="0"/>
      <w:divBdr>
        <w:top w:val="none" w:sz="0" w:space="0" w:color="auto"/>
        <w:left w:val="none" w:sz="0" w:space="0" w:color="auto"/>
        <w:bottom w:val="none" w:sz="0" w:space="0" w:color="auto"/>
        <w:right w:val="none" w:sz="0" w:space="0" w:color="auto"/>
      </w:divBdr>
    </w:div>
    <w:div w:id="811869967">
      <w:bodyDiv w:val="1"/>
      <w:marLeft w:val="0"/>
      <w:marRight w:val="0"/>
      <w:marTop w:val="0"/>
      <w:marBottom w:val="0"/>
      <w:divBdr>
        <w:top w:val="none" w:sz="0" w:space="0" w:color="auto"/>
        <w:left w:val="none" w:sz="0" w:space="0" w:color="auto"/>
        <w:bottom w:val="none" w:sz="0" w:space="0" w:color="auto"/>
        <w:right w:val="none" w:sz="0" w:space="0" w:color="auto"/>
      </w:divBdr>
    </w:div>
    <w:div w:id="813640039">
      <w:bodyDiv w:val="1"/>
      <w:marLeft w:val="0"/>
      <w:marRight w:val="0"/>
      <w:marTop w:val="0"/>
      <w:marBottom w:val="0"/>
      <w:divBdr>
        <w:top w:val="none" w:sz="0" w:space="0" w:color="auto"/>
        <w:left w:val="none" w:sz="0" w:space="0" w:color="auto"/>
        <w:bottom w:val="none" w:sz="0" w:space="0" w:color="auto"/>
        <w:right w:val="none" w:sz="0" w:space="0" w:color="auto"/>
      </w:divBdr>
    </w:div>
    <w:div w:id="815150537">
      <w:bodyDiv w:val="1"/>
      <w:marLeft w:val="0"/>
      <w:marRight w:val="0"/>
      <w:marTop w:val="0"/>
      <w:marBottom w:val="0"/>
      <w:divBdr>
        <w:top w:val="none" w:sz="0" w:space="0" w:color="auto"/>
        <w:left w:val="none" w:sz="0" w:space="0" w:color="auto"/>
        <w:bottom w:val="none" w:sz="0" w:space="0" w:color="auto"/>
        <w:right w:val="none" w:sz="0" w:space="0" w:color="auto"/>
      </w:divBdr>
    </w:div>
    <w:div w:id="815151159">
      <w:bodyDiv w:val="1"/>
      <w:marLeft w:val="0"/>
      <w:marRight w:val="0"/>
      <w:marTop w:val="0"/>
      <w:marBottom w:val="0"/>
      <w:divBdr>
        <w:top w:val="none" w:sz="0" w:space="0" w:color="auto"/>
        <w:left w:val="none" w:sz="0" w:space="0" w:color="auto"/>
        <w:bottom w:val="none" w:sz="0" w:space="0" w:color="auto"/>
        <w:right w:val="none" w:sz="0" w:space="0" w:color="auto"/>
      </w:divBdr>
    </w:div>
    <w:div w:id="816382368">
      <w:bodyDiv w:val="1"/>
      <w:marLeft w:val="0"/>
      <w:marRight w:val="0"/>
      <w:marTop w:val="0"/>
      <w:marBottom w:val="0"/>
      <w:divBdr>
        <w:top w:val="none" w:sz="0" w:space="0" w:color="auto"/>
        <w:left w:val="none" w:sz="0" w:space="0" w:color="auto"/>
        <w:bottom w:val="none" w:sz="0" w:space="0" w:color="auto"/>
        <w:right w:val="none" w:sz="0" w:space="0" w:color="auto"/>
      </w:divBdr>
    </w:div>
    <w:div w:id="816532440">
      <w:bodyDiv w:val="1"/>
      <w:marLeft w:val="0"/>
      <w:marRight w:val="0"/>
      <w:marTop w:val="0"/>
      <w:marBottom w:val="0"/>
      <w:divBdr>
        <w:top w:val="none" w:sz="0" w:space="0" w:color="auto"/>
        <w:left w:val="none" w:sz="0" w:space="0" w:color="auto"/>
        <w:bottom w:val="none" w:sz="0" w:space="0" w:color="auto"/>
        <w:right w:val="none" w:sz="0" w:space="0" w:color="auto"/>
      </w:divBdr>
    </w:div>
    <w:div w:id="817260964">
      <w:bodyDiv w:val="1"/>
      <w:marLeft w:val="0"/>
      <w:marRight w:val="0"/>
      <w:marTop w:val="0"/>
      <w:marBottom w:val="0"/>
      <w:divBdr>
        <w:top w:val="none" w:sz="0" w:space="0" w:color="auto"/>
        <w:left w:val="none" w:sz="0" w:space="0" w:color="auto"/>
        <w:bottom w:val="none" w:sz="0" w:space="0" w:color="auto"/>
        <w:right w:val="none" w:sz="0" w:space="0" w:color="auto"/>
      </w:divBdr>
    </w:div>
    <w:div w:id="817457738">
      <w:bodyDiv w:val="1"/>
      <w:marLeft w:val="0"/>
      <w:marRight w:val="0"/>
      <w:marTop w:val="0"/>
      <w:marBottom w:val="0"/>
      <w:divBdr>
        <w:top w:val="none" w:sz="0" w:space="0" w:color="auto"/>
        <w:left w:val="none" w:sz="0" w:space="0" w:color="auto"/>
        <w:bottom w:val="none" w:sz="0" w:space="0" w:color="auto"/>
        <w:right w:val="none" w:sz="0" w:space="0" w:color="auto"/>
      </w:divBdr>
    </w:div>
    <w:div w:id="817575783">
      <w:bodyDiv w:val="1"/>
      <w:marLeft w:val="0"/>
      <w:marRight w:val="0"/>
      <w:marTop w:val="0"/>
      <w:marBottom w:val="0"/>
      <w:divBdr>
        <w:top w:val="none" w:sz="0" w:space="0" w:color="auto"/>
        <w:left w:val="none" w:sz="0" w:space="0" w:color="auto"/>
        <w:bottom w:val="none" w:sz="0" w:space="0" w:color="auto"/>
        <w:right w:val="none" w:sz="0" w:space="0" w:color="auto"/>
      </w:divBdr>
    </w:div>
    <w:div w:id="818154465">
      <w:bodyDiv w:val="1"/>
      <w:marLeft w:val="0"/>
      <w:marRight w:val="0"/>
      <w:marTop w:val="0"/>
      <w:marBottom w:val="0"/>
      <w:divBdr>
        <w:top w:val="none" w:sz="0" w:space="0" w:color="auto"/>
        <w:left w:val="none" w:sz="0" w:space="0" w:color="auto"/>
        <w:bottom w:val="none" w:sz="0" w:space="0" w:color="auto"/>
        <w:right w:val="none" w:sz="0" w:space="0" w:color="auto"/>
      </w:divBdr>
    </w:div>
    <w:div w:id="818379706">
      <w:bodyDiv w:val="1"/>
      <w:marLeft w:val="0"/>
      <w:marRight w:val="0"/>
      <w:marTop w:val="0"/>
      <w:marBottom w:val="0"/>
      <w:divBdr>
        <w:top w:val="none" w:sz="0" w:space="0" w:color="auto"/>
        <w:left w:val="none" w:sz="0" w:space="0" w:color="auto"/>
        <w:bottom w:val="none" w:sz="0" w:space="0" w:color="auto"/>
        <w:right w:val="none" w:sz="0" w:space="0" w:color="auto"/>
      </w:divBdr>
    </w:div>
    <w:div w:id="818501422">
      <w:bodyDiv w:val="1"/>
      <w:marLeft w:val="0"/>
      <w:marRight w:val="0"/>
      <w:marTop w:val="0"/>
      <w:marBottom w:val="0"/>
      <w:divBdr>
        <w:top w:val="none" w:sz="0" w:space="0" w:color="auto"/>
        <w:left w:val="none" w:sz="0" w:space="0" w:color="auto"/>
        <w:bottom w:val="none" w:sz="0" w:space="0" w:color="auto"/>
        <w:right w:val="none" w:sz="0" w:space="0" w:color="auto"/>
      </w:divBdr>
    </w:div>
    <w:div w:id="819031435">
      <w:bodyDiv w:val="1"/>
      <w:marLeft w:val="0"/>
      <w:marRight w:val="0"/>
      <w:marTop w:val="0"/>
      <w:marBottom w:val="0"/>
      <w:divBdr>
        <w:top w:val="none" w:sz="0" w:space="0" w:color="auto"/>
        <w:left w:val="none" w:sz="0" w:space="0" w:color="auto"/>
        <w:bottom w:val="none" w:sz="0" w:space="0" w:color="auto"/>
        <w:right w:val="none" w:sz="0" w:space="0" w:color="auto"/>
      </w:divBdr>
    </w:div>
    <w:div w:id="819156182">
      <w:bodyDiv w:val="1"/>
      <w:marLeft w:val="0"/>
      <w:marRight w:val="0"/>
      <w:marTop w:val="0"/>
      <w:marBottom w:val="0"/>
      <w:divBdr>
        <w:top w:val="none" w:sz="0" w:space="0" w:color="auto"/>
        <w:left w:val="none" w:sz="0" w:space="0" w:color="auto"/>
        <w:bottom w:val="none" w:sz="0" w:space="0" w:color="auto"/>
        <w:right w:val="none" w:sz="0" w:space="0" w:color="auto"/>
      </w:divBdr>
    </w:div>
    <w:div w:id="819542102">
      <w:bodyDiv w:val="1"/>
      <w:marLeft w:val="0"/>
      <w:marRight w:val="0"/>
      <w:marTop w:val="0"/>
      <w:marBottom w:val="0"/>
      <w:divBdr>
        <w:top w:val="none" w:sz="0" w:space="0" w:color="auto"/>
        <w:left w:val="none" w:sz="0" w:space="0" w:color="auto"/>
        <w:bottom w:val="none" w:sz="0" w:space="0" w:color="auto"/>
        <w:right w:val="none" w:sz="0" w:space="0" w:color="auto"/>
      </w:divBdr>
    </w:div>
    <w:div w:id="819662819">
      <w:bodyDiv w:val="1"/>
      <w:marLeft w:val="0"/>
      <w:marRight w:val="0"/>
      <w:marTop w:val="0"/>
      <w:marBottom w:val="0"/>
      <w:divBdr>
        <w:top w:val="none" w:sz="0" w:space="0" w:color="auto"/>
        <w:left w:val="none" w:sz="0" w:space="0" w:color="auto"/>
        <w:bottom w:val="none" w:sz="0" w:space="0" w:color="auto"/>
        <w:right w:val="none" w:sz="0" w:space="0" w:color="auto"/>
      </w:divBdr>
    </w:div>
    <w:div w:id="819807892">
      <w:bodyDiv w:val="1"/>
      <w:marLeft w:val="0"/>
      <w:marRight w:val="0"/>
      <w:marTop w:val="0"/>
      <w:marBottom w:val="0"/>
      <w:divBdr>
        <w:top w:val="none" w:sz="0" w:space="0" w:color="auto"/>
        <w:left w:val="none" w:sz="0" w:space="0" w:color="auto"/>
        <w:bottom w:val="none" w:sz="0" w:space="0" w:color="auto"/>
        <w:right w:val="none" w:sz="0" w:space="0" w:color="auto"/>
      </w:divBdr>
    </w:div>
    <w:div w:id="819884516">
      <w:bodyDiv w:val="1"/>
      <w:marLeft w:val="0"/>
      <w:marRight w:val="0"/>
      <w:marTop w:val="0"/>
      <w:marBottom w:val="0"/>
      <w:divBdr>
        <w:top w:val="none" w:sz="0" w:space="0" w:color="auto"/>
        <w:left w:val="none" w:sz="0" w:space="0" w:color="auto"/>
        <w:bottom w:val="none" w:sz="0" w:space="0" w:color="auto"/>
        <w:right w:val="none" w:sz="0" w:space="0" w:color="auto"/>
      </w:divBdr>
    </w:div>
    <w:div w:id="820123478">
      <w:bodyDiv w:val="1"/>
      <w:marLeft w:val="0"/>
      <w:marRight w:val="0"/>
      <w:marTop w:val="0"/>
      <w:marBottom w:val="0"/>
      <w:divBdr>
        <w:top w:val="none" w:sz="0" w:space="0" w:color="auto"/>
        <w:left w:val="none" w:sz="0" w:space="0" w:color="auto"/>
        <w:bottom w:val="none" w:sz="0" w:space="0" w:color="auto"/>
        <w:right w:val="none" w:sz="0" w:space="0" w:color="auto"/>
      </w:divBdr>
    </w:div>
    <w:div w:id="820194591">
      <w:bodyDiv w:val="1"/>
      <w:marLeft w:val="0"/>
      <w:marRight w:val="0"/>
      <w:marTop w:val="0"/>
      <w:marBottom w:val="0"/>
      <w:divBdr>
        <w:top w:val="none" w:sz="0" w:space="0" w:color="auto"/>
        <w:left w:val="none" w:sz="0" w:space="0" w:color="auto"/>
        <w:bottom w:val="none" w:sz="0" w:space="0" w:color="auto"/>
        <w:right w:val="none" w:sz="0" w:space="0" w:color="auto"/>
      </w:divBdr>
    </w:div>
    <w:div w:id="820539354">
      <w:bodyDiv w:val="1"/>
      <w:marLeft w:val="0"/>
      <w:marRight w:val="0"/>
      <w:marTop w:val="0"/>
      <w:marBottom w:val="0"/>
      <w:divBdr>
        <w:top w:val="none" w:sz="0" w:space="0" w:color="auto"/>
        <w:left w:val="none" w:sz="0" w:space="0" w:color="auto"/>
        <w:bottom w:val="none" w:sz="0" w:space="0" w:color="auto"/>
        <w:right w:val="none" w:sz="0" w:space="0" w:color="auto"/>
      </w:divBdr>
    </w:div>
    <w:div w:id="821123670">
      <w:bodyDiv w:val="1"/>
      <w:marLeft w:val="0"/>
      <w:marRight w:val="0"/>
      <w:marTop w:val="0"/>
      <w:marBottom w:val="0"/>
      <w:divBdr>
        <w:top w:val="none" w:sz="0" w:space="0" w:color="auto"/>
        <w:left w:val="none" w:sz="0" w:space="0" w:color="auto"/>
        <w:bottom w:val="none" w:sz="0" w:space="0" w:color="auto"/>
        <w:right w:val="none" w:sz="0" w:space="0" w:color="auto"/>
      </w:divBdr>
    </w:div>
    <w:div w:id="821777192">
      <w:bodyDiv w:val="1"/>
      <w:marLeft w:val="0"/>
      <w:marRight w:val="0"/>
      <w:marTop w:val="0"/>
      <w:marBottom w:val="0"/>
      <w:divBdr>
        <w:top w:val="none" w:sz="0" w:space="0" w:color="auto"/>
        <w:left w:val="none" w:sz="0" w:space="0" w:color="auto"/>
        <w:bottom w:val="none" w:sz="0" w:space="0" w:color="auto"/>
        <w:right w:val="none" w:sz="0" w:space="0" w:color="auto"/>
      </w:divBdr>
    </w:div>
    <w:div w:id="822084039">
      <w:bodyDiv w:val="1"/>
      <w:marLeft w:val="0"/>
      <w:marRight w:val="0"/>
      <w:marTop w:val="0"/>
      <w:marBottom w:val="0"/>
      <w:divBdr>
        <w:top w:val="none" w:sz="0" w:space="0" w:color="auto"/>
        <w:left w:val="none" w:sz="0" w:space="0" w:color="auto"/>
        <w:bottom w:val="none" w:sz="0" w:space="0" w:color="auto"/>
        <w:right w:val="none" w:sz="0" w:space="0" w:color="auto"/>
      </w:divBdr>
    </w:div>
    <w:div w:id="822235384">
      <w:bodyDiv w:val="1"/>
      <w:marLeft w:val="0"/>
      <w:marRight w:val="0"/>
      <w:marTop w:val="0"/>
      <w:marBottom w:val="0"/>
      <w:divBdr>
        <w:top w:val="none" w:sz="0" w:space="0" w:color="auto"/>
        <w:left w:val="none" w:sz="0" w:space="0" w:color="auto"/>
        <w:bottom w:val="none" w:sz="0" w:space="0" w:color="auto"/>
        <w:right w:val="none" w:sz="0" w:space="0" w:color="auto"/>
      </w:divBdr>
    </w:div>
    <w:div w:id="822623354">
      <w:bodyDiv w:val="1"/>
      <w:marLeft w:val="0"/>
      <w:marRight w:val="0"/>
      <w:marTop w:val="0"/>
      <w:marBottom w:val="0"/>
      <w:divBdr>
        <w:top w:val="none" w:sz="0" w:space="0" w:color="auto"/>
        <w:left w:val="none" w:sz="0" w:space="0" w:color="auto"/>
        <w:bottom w:val="none" w:sz="0" w:space="0" w:color="auto"/>
        <w:right w:val="none" w:sz="0" w:space="0" w:color="auto"/>
      </w:divBdr>
    </w:div>
    <w:div w:id="822814065">
      <w:bodyDiv w:val="1"/>
      <w:marLeft w:val="0"/>
      <w:marRight w:val="0"/>
      <w:marTop w:val="0"/>
      <w:marBottom w:val="0"/>
      <w:divBdr>
        <w:top w:val="none" w:sz="0" w:space="0" w:color="auto"/>
        <w:left w:val="none" w:sz="0" w:space="0" w:color="auto"/>
        <w:bottom w:val="none" w:sz="0" w:space="0" w:color="auto"/>
        <w:right w:val="none" w:sz="0" w:space="0" w:color="auto"/>
      </w:divBdr>
    </w:div>
    <w:div w:id="823278601">
      <w:bodyDiv w:val="1"/>
      <w:marLeft w:val="0"/>
      <w:marRight w:val="0"/>
      <w:marTop w:val="0"/>
      <w:marBottom w:val="0"/>
      <w:divBdr>
        <w:top w:val="none" w:sz="0" w:space="0" w:color="auto"/>
        <w:left w:val="none" w:sz="0" w:space="0" w:color="auto"/>
        <w:bottom w:val="none" w:sz="0" w:space="0" w:color="auto"/>
        <w:right w:val="none" w:sz="0" w:space="0" w:color="auto"/>
      </w:divBdr>
    </w:div>
    <w:div w:id="823932353">
      <w:bodyDiv w:val="1"/>
      <w:marLeft w:val="0"/>
      <w:marRight w:val="0"/>
      <w:marTop w:val="0"/>
      <w:marBottom w:val="0"/>
      <w:divBdr>
        <w:top w:val="none" w:sz="0" w:space="0" w:color="auto"/>
        <w:left w:val="none" w:sz="0" w:space="0" w:color="auto"/>
        <w:bottom w:val="none" w:sz="0" w:space="0" w:color="auto"/>
        <w:right w:val="none" w:sz="0" w:space="0" w:color="auto"/>
      </w:divBdr>
    </w:div>
    <w:div w:id="824051656">
      <w:bodyDiv w:val="1"/>
      <w:marLeft w:val="0"/>
      <w:marRight w:val="0"/>
      <w:marTop w:val="0"/>
      <w:marBottom w:val="0"/>
      <w:divBdr>
        <w:top w:val="none" w:sz="0" w:space="0" w:color="auto"/>
        <w:left w:val="none" w:sz="0" w:space="0" w:color="auto"/>
        <w:bottom w:val="none" w:sz="0" w:space="0" w:color="auto"/>
        <w:right w:val="none" w:sz="0" w:space="0" w:color="auto"/>
      </w:divBdr>
    </w:div>
    <w:div w:id="825514862">
      <w:bodyDiv w:val="1"/>
      <w:marLeft w:val="0"/>
      <w:marRight w:val="0"/>
      <w:marTop w:val="0"/>
      <w:marBottom w:val="0"/>
      <w:divBdr>
        <w:top w:val="none" w:sz="0" w:space="0" w:color="auto"/>
        <w:left w:val="none" w:sz="0" w:space="0" w:color="auto"/>
        <w:bottom w:val="none" w:sz="0" w:space="0" w:color="auto"/>
        <w:right w:val="none" w:sz="0" w:space="0" w:color="auto"/>
      </w:divBdr>
    </w:div>
    <w:div w:id="825979322">
      <w:bodyDiv w:val="1"/>
      <w:marLeft w:val="0"/>
      <w:marRight w:val="0"/>
      <w:marTop w:val="0"/>
      <w:marBottom w:val="0"/>
      <w:divBdr>
        <w:top w:val="none" w:sz="0" w:space="0" w:color="auto"/>
        <w:left w:val="none" w:sz="0" w:space="0" w:color="auto"/>
        <w:bottom w:val="none" w:sz="0" w:space="0" w:color="auto"/>
        <w:right w:val="none" w:sz="0" w:space="0" w:color="auto"/>
      </w:divBdr>
    </w:div>
    <w:div w:id="826940334">
      <w:bodyDiv w:val="1"/>
      <w:marLeft w:val="0"/>
      <w:marRight w:val="0"/>
      <w:marTop w:val="0"/>
      <w:marBottom w:val="0"/>
      <w:divBdr>
        <w:top w:val="none" w:sz="0" w:space="0" w:color="auto"/>
        <w:left w:val="none" w:sz="0" w:space="0" w:color="auto"/>
        <w:bottom w:val="none" w:sz="0" w:space="0" w:color="auto"/>
        <w:right w:val="none" w:sz="0" w:space="0" w:color="auto"/>
      </w:divBdr>
    </w:div>
    <w:div w:id="827208487">
      <w:bodyDiv w:val="1"/>
      <w:marLeft w:val="0"/>
      <w:marRight w:val="0"/>
      <w:marTop w:val="0"/>
      <w:marBottom w:val="0"/>
      <w:divBdr>
        <w:top w:val="none" w:sz="0" w:space="0" w:color="auto"/>
        <w:left w:val="none" w:sz="0" w:space="0" w:color="auto"/>
        <w:bottom w:val="none" w:sz="0" w:space="0" w:color="auto"/>
        <w:right w:val="none" w:sz="0" w:space="0" w:color="auto"/>
      </w:divBdr>
    </w:div>
    <w:div w:id="827406334">
      <w:bodyDiv w:val="1"/>
      <w:marLeft w:val="0"/>
      <w:marRight w:val="0"/>
      <w:marTop w:val="0"/>
      <w:marBottom w:val="0"/>
      <w:divBdr>
        <w:top w:val="none" w:sz="0" w:space="0" w:color="auto"/>
        <w:left w:val="none" w:sz="0" w:space="0" w:color="auto"/>
        <w:bottom w:val="none" w:sz="0" w:space="0" w:color="auto"/>
        <w:right w:val="none" w:sz="0" w:space="0" w:color="auto"/>
      </w:divBdr>
    </w:div>
    <w:div w:id="828519799">
      <w:bodyDiv w:val="1"/>
      <w:marLeft w:val="0"/>
      <w:marRight w:val="0"/>
      <w:marTop w:val="0"/>
      <w:marBottom w:val="0"/>
      <w:divBdr>
        <w:top w:val="none" w:sz="0" w:space="0" w:color="auto"/>
        <w:left w:val="none" w:sz="0" w:space="0" w:color="auto"/>
        <w:bottom w:val="none" w:sz="0" w:space="0" w:color="auto"/>
        <w:right w:val="none" w:sz="0" w:space="0" w:color="auto"/>
      </w:divBdr>
    </w:div>
    <w:div w:id="828978557">
      <w:bodyDiv w:val="1"/>
      <w:marLeft w:val="0"/>
      <w:marRight w:val="0"/>
      <w:marTop w:val="0"/>
      <w:marBottom w:val="0"/>
      <w:divBdr>
        <w:top w:val="none" w:sz="0" w:space="0" w:color="auto"/>
        <w:left w:val="none" w:sz="0" w:space="0" w:color="auto"/>
        <w:bottom w:val="none" w:sz="0" w:space="0" w:color="auto"/>
        <w:right w:val="none" w:sz="0" w:space="0" w:color="auto"/>
      </w:divBdr>
    </w:div>
    <w:div w:id="829249122">
      <w:bodyDiv w:val="1"/>
      <w:marLeft w:val="0"/>
      <w:marRight w:val="0"/>
      <w:marTop w:val="0"/>
      <w:marBottom w:val="0"/>
      <w:divBdr>
        <w:top w:val="none" w:sz="0" w:space="0" w:color="auto"/>
        <w:left w:val="none" w:sz="0" w:space="0" w:color="auto"/>
        <w:bottom w:val="none" w:sz="0" w:space="0" w:color="auto"/>
        <w:right w:val="none" w:sz="0" w:space="0" w:color="auto"/>
      </w:divBdr>
    </w:div>
    <w:div w:id="829906867">
      <w:bodyDiv w:val="1"/>
      <w:marLeft w:val="0"/>
      <w:marRight w:val="0"/>
      <w:marTop w:val="0"/>
      <w:marBottom w:val="0"/>
      <w:divBdr>
        <w:top w:val="none" w:sz="0" w:space="0" w:color="auto"/>
        <w:left w:val="none" w:sz="0" w:space="0" w:color="auto"/>
        <w:bottom w:val="none" w:sz="0" w:space="0" w:color="auto"/>
        <w:right w:val="none" w:sz="0" w:space="0" w:color="auto"/>
      </w:divBdr>
    </w:div>
    <w:div w:id="830751197">
      <w:bodyDiv w:val="1"/>
      <w:marLeft w:val="0"/>
      <w:marRight w:val="0"/>
      <w:marTop w:val="0"/>
      <w:marBottom w:val="0"/>
      <w:divBdr>
        <w:top w:val="none" w:sz="0" w:space="0" w:color="auto"/>
        <w:left w:val="none" w:sz="0" w:space="0" w:color="auto"/>
        <w:bottom w:val="none" w:sz="0" w:space="0" w:color="auto"/>
        <w:right w:val="none" w:sz="0" w:space="0" w:color="auto"/>
      </w:divBdr>
    </w:div>
    <w:div w:id="831873749">
      <w:bodyDiv w:val="1"/>
      <w:marLeft w:val="0"/>
      <w:marRight w:val="0"/>
      <w:marTop w:val="0"/>
      <w:marBottom w:val="0"/>
      <w:divBdr>
        <w:top w:val="none" w:sz="0" w:space="0" w:color="auto"/>
        <w:left w:val="none" w:sz="0" w:space="0" w:color="auto"/>
        <w:bottom w:val="none" w:sz="0" w:space="0" w:color="auto"/>
        <w:right w:val="none" w:sz="0" w:space="0" w:color="auto"/>
      </w:divBdr>
    </w:div>
    <w:div w:id="832070670">
      <w:bodyDiv w:val="1"/>
      <w:marLeft w:val="0"/>
      <w:marRight w:val="0"/>
      <w:marTop w:val="0"/>
      <w:marBottom w:val="0"/>
      <w:divBdr>
        <w:top w:val="none" w:sz="0" w:space="0" w:color="auto"/>
        <w:left w:val="none" w:sz="0" w:space="0" w:color="auto"/>
        <w:bottom w:val="none" w:sz="0" w:space="0" w:color="auto"/>
        <w:right w:val="none" w:sz="0" w:space="0" w:color="auto"/>
      </w:divBdr>
    </w:div>
    <w:div w:id="832374562">
      <w:bodyDiv w:val="1"/>
      <w:marLeft w:val="0"/>
      <w:marRight w:val="0"/>
      <w:marTop w:val="0"/>
      <w:marBottom w:val="0"/>
      <w:divBdr>
        <w:top w:val="none" w:sz="0" w:space="0" w:color="auto"/>
        <w:left w:val="none" w:sz="0" w:space="0" w:color="auto"/>
        <w:bottom w:val="none" w:sz="0" w:space="0" w:color="auto"/>
        <w:right w:val="none" w:sz="0" w:space="0" w:color="auto"/>
      </w:divBdr>
    </w:div>
    <w:div w:id="832375839">
      <w:bodyDiv w:val="1"/>
      <w:marLeft w:val="0"/>
      <w:marRight w:val="0"/>
      <w:marTop w:val="0"/>
      <w:marBottom w:val="0"/>
      <w:divBdr>
        <w:top w:val="none" w:sz="0" w:space="0" w:color="auto"/>
        <w:left w:val="none" w:sz="0" w:space="0" w:color="auto"/>
        <w:bottom w:val="none" w:sz="0" w:space="0" w:color="auto"/>
        <w:right w:val="none" w:sz="0" w:space="0" w:color="auto"/>
      </w:divBdr>
    </w:div>
    <w:div w:id="832985956">
      <w:bodyDiv w:val="1"/>
      <w:marLeft w:val="0"/>
      <w:marRight w:val="0"/>
      <w:marTop w:val="0"/>
      <w:marBottom w:val="0"/>
      <w:divBdr>
        <w:top w:val="none" w:sz="0" w:space="0" w:color="auto"/>
        <w:left w:val="none" w:sz="0" w:space="0" w:color="auto"/>
        <w:bottom w:val="none" w:sz="0" w:space="0" w:color="auto"/>
        <w:right w:val="none" w:sz="0" w:space="0" w:color="auto"/>
      </w:divBdr>
    </w:div>
    <w:div w:id="833686271">
      <w:bodyDiv w:val="1"/>
      <w:marLeft w:val="0"/>
      <w:marRight w:val="0"/>
      <w:marTop w:val="0"/>
      <w:marBottom w:val="0"/>
      <w:divBdr>
        <w:top w:val="none" w:sz="0" w:space="0" w:color="auto"/>
        <w:left w:val="none" w:sz="0" w:space="0" w:color="auto"/>
        <w:bottom w:val="none" w:sz="0" w:space="0" w:color="auto"/>
        <w:right w:val="none" w:sz="0" w:space="0" w:color="auto"/>
      </w:divBdr>
    </w:div>
    <w:div w:id="833764682">
      <w:bodyDiv w:val="1"/>
      <w:marLeft w:val="0"/>
      <w:marRight w:val="0"/>
      <w:marTop w:val="0"/>
      <w:marBottom w:val="0"/>
      <w:divBdr>
        <w:top w:val="none" w:sz="0" w:space="0" w:color="auto"/>
        <w:left w:val="none" w:sz="0" w:space="0" w:color="auto"/>
        <w:bottom w:val="none" w:sz="0" w:space="0" w:color="auto"/>
        <w:right w:val="none" w:sz="0" w:space="0" w:color="auto"/>
      </w:divBdr>
    </w:div>
    <w:div w:id="833766987">
      <w:bodyDiv w:val="1"/>
      <w:marLeft w:val="0"/>
      <w:marRight w:val="0"/>
      <w:marTop w:val="0"/>
      <w:marBottom w:val="0"/>
      <w:divBdr>
        <w:top w:val="none" w:sz="0" w:space="0" w:color="auto"/>
        <w:left w:val="none" w:sz="0" w:space="0" w:color="auto"/>
        <w:bottom w:val="none" w:sz="0" w:space="0" w:color="auto"/>
        <w:right w:val="none" w:sz="0" w:space="0" w:color="auto"/>
      </w:divBdr>
    </w:div>
    <w:div w:id="835803002">
      <w:bodyDiv w:val="1"/>
      <w:marLeft w:val="0"/>
      <w:marRight w:val="0"/>
      <w:marTop w:val="0"/>
      <w:marBottom w:val="0"/>
      <w:divBdr>
        <w:top w:val="none" w:sz="0" w:space="0" w:color="auto"/>
        <w:left w:val="none" w:sz="0" w:space="0" w:color="auto"/>
        <w:bottom w:val="none" w:sz="0" w:space="0" w:color="auto"/>
        <w:right w:val="none" w:sz="0" w:space="0" w:color="auto"/>
      </w:divBdr>
    </w:div>
    <w:div w:id="835925870">
      <w:bodyDiv w:val="1"/>
      <w:marLeft w:val="0"/>
      <w:marRight w:val="0"/>
      <w:marTop w:val="0"/>
      <w:marBottom w:val="0"/>
      <w:divBdr>
        <w:top w:val="none" w:sz="0" w:space="0" w:color="auto"/>
        <w:left w:val="none" w:sz="0" w:space="0" w:color="auto"/>
        <w:bottom w:val="none" w:sz="0" w:space="0" w:color="auto"/>
        <w:right w:val="none" w:sz="0" w:space="0" w:color="auto"/>
      </w:divBdr>
    </w:div>
    <w:div w:id="836042878">
      <w:bodyDiv w:val="1"/>
      <w:marLeft w:val="0"/>
      <w:marRight w:val="0"/>
      <w:marTop w:val="0"/>
      <w:marBottom w:val="0"/>
      <w:divBdr>
        <w:top w:val="none" w:sz="0" w:space="0" w:color="auto"/>
        <w:left w:val="none" w:sz="0" w:space="0" w:color="auto"/>
        <w:bottom w:val="none" w:sz="0" w:space="0" w:color="auto"/>
        <w:right w:val="none" w:sz="0" w:space="0" w:color="auto"/>
      </w:divBdr>
    </w:div>
    <w:div w:id="836118626">
      <w:bodyDiv w:val="1"/>
      <w:marLeft w:val="0"/>
      <w:marRight w:val="0"/>
      <w:marTop w:val="0"/>
      <w:marBottom w:val="0"/>
      <w:divBdr>
        <w:top w:val="none" w:sz="0" w:space="0" w:color="auto"/>
        <w:left w:val="none" w:sz="0" w:space="0" w:color="auto"/>
        <w:bottom w:val="none" w:sz="0" w:space="0" w:color="auto"/>
        <w:right w:val="none" w:sz="0" w:space="0" w:color="auto"/>
      </w:divBdr>
    </w:div>
    <w:div w:id="836504274">
      <w:bodyDiv w:val="1"/>
      <w:marLeft w:val="0"/>
      <w:marRight w:val="0"/>
      <w:marTop w:val="0"/>
      <w:marBottom w:val="0"/>
      <w:divBdr>
        <w:top w:val="none" w:sz="0" w:space="0" w:color="auto"/>
        <w:left w:val="none" w:sz="0" w:space="0" w:color="auto"/>
        <w:bottom w:val="none" w:sz="0" w:space="0" w:color="auto"/>
        <w:right w:val="none" w:sz="0" w:space="0" w:color="auto"/>
      </w:divBdr>
    </w:div>
    <w:div w:id="837157031">
      <w:bodyDiv w:val="1"/>
      <w:marLeft w:val="0"/>
      <w:marRight w:val="0"/>
      <w:marTop w:val="0"/>
      <w:marBottom w:val="0"/>
      <w:divBdr>
        <w:top w:val="none" w:sz="0" w:space="0" w:color="auto"/>
        <w:left w:val="none" w:sz="0" w:space="0" w:color="auto"/>
        <w:bottom w:val="none" w:sz="0" w:space="0" w:color="auto"/>
        <w:right w:val="none" w:sz="0" w:space="0" w:color="auto"/>
      </w:divBdr>
    </w:div>
    <w:div w:id="837497835">
      <w:bodyDiv w:val="1"/>
      <w:marLeft w:val="0"/>
      <w:marRight w:val="0"/>
      <w:marTop w:val="0"/>
      <w:marBottom w:val="0"/>
      <w:divBdr>
        <w:top w:val="none" w:sz="0" w:space="0" w:color="auto"/>
        <w:left w:val="none" w:sz="0" w:space="0" w:color="auto"/>
        <w:bottom w:val="none" w:sz="0" w:space="0" w:color="auto"/>
        <w:right w:val="none" w:sz="0" w:space="0" w:color="auto"/>
      </w:divBdr>
    </w:div>
    <w:div w:id="839396205">
      <w:bodyDiv w:val="1"/>
      <w:marLeft w:val="0"/>
      <w:marRight w:val="0"/>
      <w:marTop w:val="0"/>
      <w:marBottom w:val="0"/>
      <w:divBdr>
        <w:top w:val="none" w:sz="0" w:space="0" w:color="auto"/>
        <w:left w:val="none" w:sz="0" w:space="0" w:color="auto"/>
        <w:bottom w:val="none" w:sz="0" w:space="0" w:color="auto"/>
        <w:right w:val="none" w:sz="0" w:space="0" w:color="auto"/>
      </w:divBdr>
    </w:div>
    <w:div w:id="839932644">
      <w:bodyDiv w:val="1"/>
      <w:marLeft w:val="0"/>
      <w:marRight w:val="0"/>
      <w:marTop w:val="0"/>
      <w:marBottom w:val="0"/>
      <w:divBdr>
        <w:top w:val="none" w:sz="0" w:space="0" w:color="auto"/>
        <w:left w:val="none" w:sz="0" w:space="0" w:color="auto"/>
        <w:bottom w:val="none" w:sz="0" w:space="0" w:color="auto"/>
        <w:right w:val="none" w:sz="0" w:space="0" w:color="auto"/>
      </w:divBdr>
    </w:div>
    <w:div w:id="840121821">
      <w:bodyDiv w:val="1"/>
      <w:marLeft w:val="0"/>
      <w:marRight w:val="0"/>
      <w:marTop w:val="0"/>
      <w:marBottom w:val="0"/>
      <w:divBdr>
        <w:top w:val="none" w:sz="0" w:space="0" w:color="auto"/>
        <w:left w:val="none" w:sz="0" w:space="0" w:color="auto"/>
        <w:bottom w:val="none" w:sz="0" w:space="0" w:color="auto"/>
        <w:right w:val="none" w:sz="0" w:space="0" w:color="auto"/>
      </w:divBdr>
    </w:div>
    <w:div w:id="840975624">
      <w:bodyDiv w:val="1"/>
      <w:marLeft w:val="0"/>
      <w:marRight w:val="0"/>
      <w:marTop w:val="0"/>
      <w:marBottom w:val="0"/>
      <w:divBdr>
        <w:top w:val="none" w:sz="0" w:space="0" w:color="auto"/>
        <w:left w:val="none" w:sz="0" w:space="0" w:color="auto"/>
        <w:bottom w:val="none" w:sz="0" w:space="0" w:color="auto"/>
        <w:right w:val="none" w:sz="0" w:space="0" w:color="auto"/>
      </w:divBdr>
    </w:div>
    <w:div w:id="841628782">
      <w:bodyDiv w:val="1"/>
      <w:marLeft w:val="0"/>
      <w:marRight w:val="0"/>
      <w:marTop w:val="0"/>
      <w:marBottom w:val="0"/>
      <w:divBdr>
        <w:top w:val="none" w:sz="0" w:space="0" w:color="auto"/>
        <w:left w:val="none" w:sz="0" w:space="0" w:color="auto"/>
        <w:bottom w:val="none" w:sz="0" w:space="0" w:color="auto"/>
        <w:right w:val="none" w:sz="0" w:space="0" w:color="auto"/>
      </w:divBdr>
    </w:div>
    <w:div w:id="843202975">
      <w:bodyDiv w:val="1"/>
      <w:marLeft w:val="0"/>
      <w:marRight w:val="0"/>
      <w:marTop w:val="0"/>
      <w:marBottom w:val="0"/>
      <w:divBdr>
        <w:top w:val="none" w:sz="0" w:space="0" w:color="auto"/>
        <w:left w:val="none" w:sz="0" w:space="0" w:color="auto"/>
        <w:bottom w:val="none" w:sz="0" w:space="0" w:color="auto"/>
        <w:right w:val="none" w:sz="0" w:space="0" w:color="auto"/>
      </w:divBdr>
    </w:div>
    <w:div w:id="844250947">
      <w:bodyDiv w:val="1"/>
      <w:marLeft w:val="0"/>
      <w:marRight w:val="0"/>
      <w:marTop w:val="0"/>
      <w:marBottom w:val="0"/>
      <w:divBdr>
        <w:top w:val="none" w:sz="0" w:space="0" w:color="auto"/>
        <w:left w:val="none" w:sz="0" w:space="0" w:color="auto"/>
        <w:bottom w:val="none" w:sz="0" w:space="0" w:color="auto"/>
        <w:right w:val="none" w:sz="0" w:space="0" w:color="auto"/>
      </w:divBdr>
    </w:div>
    <w:div w:id="845169352">
      <w:bodyDiv w:val="1"/>
      <w:marLeft w:val="0"/>
      <w:marRight w:val="0"/>
      <w:marTop w:val="0"/>
      <w:marBottom w:val="0"/>
      <w:divBdr>
        <w:top w:val="none" w:sz="0" w:space="0" w:color="auto"/>
        <w:left w:val="none" w:sz="0" w:space="0" w:color="auto"/>
        <w:bottom w:val="none" w:sz="0" w:space="0" w:color="auto"/>
        <w:right w:val="none" w:sz="0" w:space="0" w:color="auto"/>
      </w:divBdr>
    </w:div>
    <w:div w:id="845367057">
      <w:bodyDiv w:val="1"/>
      <w:marLeft w:val="0"/>
      <w:marRight w:val="0"/>
      <w:marTop w:val="0"/>
      <w:marBottom w:val="0"/>
      <w:divBdr>
        <w:top w:val="none" w:sz="0" w:space="0" w:color="auto"/>
        <w:left w:val="none" w:sz="0" w:space="0" w:color="auto"/>
        <w:bottom w:val="none" w:sz="0" w:space="0" w:color="auto"/>
        <w:right w:val="none" w:sz="0" w:space="0" w:color="auto"/>
      </w:divBdr>
    </w:div>
    <w:div w:id="845939655">
      <w:bodyDiv w:val="1"/>
      <w:marLeft w:val="0"/>
      <w:marRight w:val="0"/>
      <w:marTop w:val="0"/>
      <w:marBottom w:val="0"/>
      <w:divBdr>
        <w:top w:val="none" w:sz="0" w:space="0" w:color="auto"/>
        <w:left w:val="none" w:sz="0" w:space="0" w:color="auto"/>
        <w:bottom w:val="none" w:sz="0" w:space="0" w:color="auto"/>
        <w:right w:val="none" w:sz="0" w:space="0" w:color="auto"/>
      </w:divBdr>
    </w:div>
    <w:div w:id="846290936">
      <w:bodyDiv w:val="1"/>
      <w:marLeft w:val="0"/>
      <w:marRight w:val="0"/>
      <w:marTop w:val="0"/>
      <w:marBottom w:val="0"/>
      <w:divBdr>
        <w:top w:val="none" w:sz="0" w:space="0" w:color="auto"/>
        <w:left w:val="none" w:sz="0" w:space="0" w:color="auto"/>
        <w:bottom w:val="none" w:sz="0" w:space="0" w:color="auto"/>
        <w:right w:val="none" w:sz="0" w:space="0" w:color="auto"/>
      </w:divBdr>
    </w:div>
    <w:div w:id="846407691">
      <w:bodyDiv w:val="1"/>
      <w:marLeft w:val="0"/>
      <w:marRight w:val="0"/>
      <w:marTop w:val="0"/>
      <w:marBottom w:val="0"/>
      <w:divBdr>
        <w:top w:val="none" w:sz="0" w:space="0" w:color="auto"/>
        <w:left w:val="none" w:sz="0" w:space="0" w:color="auto"/>
        <w:bottom w:val="none" w:sz="0" w:space="0" w:color="auto"/>
        <w:right w:val="none" w:sz="0" w:space="0" w:color="auto"/>
      </w:divBdr>
    </w:div>
    <w:div w:id="847016063">
      <w:bodyDiv w:val="1"/>
      <w:marLeft w:val="0"/>
      <w:marRight w:val="0"/>
      <w:marTop w:val="0"/>
      <w:marBottom w:val="0"/>
      <w:divBdr>
        <w:top w:val="none" w:sz="0" w:space="0" w:color="auto"/>
        <w:left w:val="none" w:sz="0" w:space="0" w:color="auto"/>
        <w:bottom w:val="none" w:sz="0" w:space="0" w:color="auto"/>
        <w:right w:val="none" w:sz="0" w:space="0" w:color="auto"/>
      </w:divBdr>
    </w:div>
    <w:div w:id="848059819">
      <w:bodyDiv w:val="1"/>
      <w:marLeft w:val="0"/>
      <w:marRight w:val="0"/>
      <w:marTop w:val="0"/>
      <w:marBottom w:val="0"/>
      <w:divBdr>
        <w:top w:val="none" w:sz="0" w:space="0" w:color="auto"/>
        <w:left w:val="none" w:sz="0" w:space="0" w:color="auto"/>
        <w:bottom w:val="none" w:sz="0" w:space="0" w:color="auto"/>
        <w:right w:val="none" w:sz="0" w:space="0" w:color="auto"/>
      </w:divBdr>
    </w:div>
    <w:div w:id="849487008">
      <w:bodyDiv w:val="1"/>
      <w:marLeft w:val="0"/>
      <w:marRight w:val="0"/>
      <w:marTop w:val="0"/>
      <w:marBottom w:val="0"/>
      <w:divBdr>
        <w:top w:val="none" w:sz="0" w:space="0" w:color="auto"/>
        <w:left w:val="none" w:sz="0" w:space="0" w:color="auto"/>
        <w:bottom w:val="none" w:sz="0" w:space="0" w:color="auto"/>
        <w:right w:val="none" w:sz="0" w:space="0" w:color="auto"/>
      </w:divBdr>
    </w:div>
    <w:div w:id="849829321">
      <w:bodyDiv w:val="1"/>
      <w:marLeft w:val="0"/>
      <w:marRight w:val="0"/>
      <w:marTop w:val="0"/>
      <w:marBottom w:val="0"/>
      <w:divBdr>
        <w:top w:val="none" w:sz="0" w:space="0" w:color="auto"/>
        <w:left w:val="none" w:sz="0" w:space="0" w:color="auto"/>
        <w:bottom w:val="none" w:sz="0" w:space="0" w:color="auto"/>
        <w:right w:val="none" w:sz="0" w:space="0" w:color="auto"/>
      </w:divBdr>
    </w:div>
    <w:div w:id="850029140">
      <w:bodyDiv w:val="1"/>
      <w:marLeft w:val="0"/>
      <w:marRight w:val="0"/>
      <w:marTop w:val="0"/>
      <w:marBottom w:val="0"/>
      <w:divBdr>
        <w:top w:val="none" w:sz="0" w:space="0" w:color="auto"/>
        <w:left w:val="none" w:sz="0" w:space="0" w:color="auto"/>
        <w:bottom w:val="none" w:sz="0" w:space="0" w:color="auto"/>
        <w:right w:val="none" w:sz="0" w:space="0" w:color="auto"/>
      </w:divBdr>
    </w:div>
    <w:div w:id="850415089">
      <w:bodyDiv w:val="1"/>
      <w:marLeft w:val="0"/>
      <w:marRight w:val="0"/>
      <w:marTop w:val="0"/>
      <w:marBottom w:val="0"/>
      <w:divBdr>
        <w:top w:val="none" w:sz="0" w:space="0" w:color="auto"/>
        <w:left w:val="none" w:sz="0" w:space="0" w:color="auto"/>
        <w:bottom w:val="none" w:sz="0" w:space="0" w:color="auto"/>
        <w:right w:val="none" w:sz="0" w:space="0" w:color="auto"/>
      </w:divBdr>
    </w:div>
    <w:div w:id="850874089">
      <w:bodyDiv w:val="1"/>
      <w:marLeft w:val="0"/>
      <w:marRight w:val="0"/>
      <w:marTop w:val="0"/>
      <w:marBottom w:val="0"/>
      <w:divBdr>
        <w:top w:val="none" w:sz="0" w:space="0" w:color="auto"/>
        <w:left w:val="none" w:sz="0" w:space="0" w:color="auto"/>
        <w:bottom w:val="none" w:sz="0" w:space="0" w:color="auto"/>
        <w:right w:val="none" w:sz="0" w:space="0" w:color="auto"/>
      </w:divBdr>
    </w:div>
    <w:div w:id="851261446">
      <w:bodyDiv w:val="1"/>
      <w:marLeft w:val="0"/>
      <w:marRight w:val="0"/>
      <w:marTop w:val="0"/>
      <w:marBottom w:val="0"/>
      <w:divBdr>
        <w:top w:val="none" w:sz="0" w:space="0" w:color="auto"/>
        <w:left w:val="none" w:sz="0" w:space="0" w:color="auto"/>
        <w:bottom w:val="none" w:sz="0" w:space="0" w:color="auto"/>
        <w:right w:val="none" w:sz="0" w:space="0" w:color="auto"/>
      </w:divBdr>
    </w:div>
    <w:div w:id="852185385">
      <w:bodyDiv w:val="1"/>
      <w:marLeft w:val="0"/>
      <w:marRight w:val="0"/>
      <w:marTop w:val="0"/>
      <w:marBottom w:val="0"/>
      <w:divBdr>
        <w:top w:val="none" w:sz="0" w:space="0" w:color="auto"/>
        <w:left w:val="none" w:sz="0" w:space="0" w:color="auto"/>
        <w:bottom w:val="none" w:sz="0" w:space="0" w:color="auto"/>
        <w:right w:val="none" w:sz="0" w:space="0" w:color="auto"/>
      </w:divBdr>
    </w:div>
    <w:div w:id="852307356">
      <w:bodyDiv w:val="1"/>
      <w:marLeft w:val="0"/>
      <w:marRight w:val="0"/>
      <w:marTop w:val="0"/>
      <w:marBottom w:val="0"/>
      <w:divBdr>
        <w:top w:val="none" w:sz="0" w:space="0" w:color="auto"/>
        <w:left w:val="none" w:sz="0" w:space="0" w:color="auto"/>
        <w:bottom w:val="none" w:sz="0" w:space="0" w:color="auto"/>
        <w:right w:val="none" w:sz="0" w:space="0" w:color="auto"/>
      </w:divBdr>
    </w:div>
    <w:div w:id="855658619">
      <w:bodyDiv w:val="1"/>
      <w:marLeft w:val="0"/>
      <w:marRight w:val="0"/>
      <w:marTop w:val="0"/>
      <w:marBottom w:val="0"/>
      <w:divBdr>
        <w:top w:val="none" w:sz="0" w:space="0" w:color="auto"/>
        <w:left w:val="none" w:sz="0" w:space="0" w:color="auto"/>
        <w:bottom w:val="none" w:sz="0" w:space="0" w:color="auto"/>
        <w:right w:val="none" w:sz="0" w:space="0" w:color="auto"/>
      </w:divBdr>
    </w:div>
    <w:div w:id="856039408">
      <w:bodyDiv w:val="1"/>
      <w:marLeft w:val="0"/>
      <w:marRight w:val="0"/>
      <w:marTop w:val="0"/>
      <w:marBottom w:val="0"/>
      <w:divBdr>
        <w:top w:val="none" w:sz="0" w:space="0" w:color="auto"/>
        <w:left w:val="none" w:sz="0" w:space="0" w:color="auto"/>
        <w:bottom w:val="none" w:sz="0" w:space="0" w:color="auto"/>
        <w:right w:val="none" w:sz="0" w:space="0" w:color="auto"/>
      </w:divBdr>
    </w:div>
    <w:div w:id="856040760">
      <w:bodyDiv w:val="1"/>
      <w:marLeft w:val="0"/>
      <w:marRight w:val="0"/>
      <w:marTop w:val="0"/>
      <w:marBottom w:val="0"/>
      <w:divBdr>
        <w:top w:val="none" w:sz="0" w:space="0" w:color="auto"/>
        <w:left w:val="none" w:sz="0" w:space="0" w:color="auto"/>
        <w:bottom w:val="none" w:sz="0" w:space="0" w:color="auto"/>
        <w:right w:val="none" w:sz="0" w:space="0" w:color="auto"/>
      </w:divBdr>
    </w:div>
    <w:div w:id="857743151">
      <w:bodyDiv w:val="1"/>
      <w:marLeft w:val="0"/>
      <w:marRight w:val="0"/>
      <w:marTop w:val="0"/>
      <w:marBottom w:val="0"/>
      <w:divBdr>
        <w:top w:val="none" w:sz="0" w:space="0" w:color="auto"/>
        <w:left w:val="none" w:sz="0" w:space="0" w:color="auto"/>
        <w:bottom w:val="none" w:sz="0" w:space="0" w:color="auto"/>
        <w:right w:val="none" w:sz="0" w:space="0" w:color="auto"/>
      </w:divBdr>
    </w:div>
    <w:div w:id="857936748">
      <w:bodyDiv w:val="1"/>
      <w:marLeft w:val="0"/>
      <w:marRight w:val="0"/>
      <w:marTop w:val="0"/>
      <w:marBottom w:val="0"/>
      <w:divBdr>
        <w:top w:val="none" w:sz="0" w:space="0" w:color="auto"/>
        <w:left w:val="none" w:sz="0" w:space="0" w:color="auto"/>
        <w:bottom w:val="none" w:sz="0" w:space="0" w:color="auto"/>
        <w:right w:val="none" w:sz="0" w:space="0" w:color="auto"/>
      </w:divBdr>
    </w:div>
    <w:div w:id="858160364">
      <w:bodyDiv w:val="1"/>
      <w:marLeft w:val="0"/>
      <w:marRight w:val="0"/>
      <w:marTop w:val="0"/>
      <w:marBottom w:val="0"/>
      <w:divBdr>
        <w:top w:val="none" w:sz="0" w:space="0" w:color="auto"/>
        <w:left w:val="none" w:sz="0" w:space="0" w:color="auto"/>
        <w:bottom w:val="none" w:sz="0" w:space="0" w:color="auto"/>
        <w:right w:val="none" w:sz="0" w:space="0" w:color="auto"/>
      </w:divBdr>
    </w:div>
    <w:div w:id="858349053">
      <w:bodyDiv w:val="1"/>
      <w:marLeft w:val="0"/>
      <w:marRight w:val="0"/>
      <w:marTop w:val="0"/>
      <w:marBottom w:val="0"/>
      <w:divBdr>
        <w:top w:val="none" w:sz="0" w:space="0" w:color="auto"/>
        <w:left w:val="none" w:sz="0" w:space="0" w:color="auto"/>
        <w:bottom w:val="none" w:sz="0" w:space="0" w:color="auto"/>
        <w:right w:val="none" w:sz="0" w:space="0" w:color="auto"/>
      </w:divBdr>
    </w:div>
    <w:div w:id="858616816">
      <w:bodyDiv w:val="1"/>
      <w:marLeft w:val="0"/>
      <w:marRight w:val="0"/>
      <w:marTop w:val="0"/>
      <w:marBottom w:val="0"/>
      <w:divBdr>
        <w:top w:val="none" w:sz="0" w:space="0" w:color="auto"/>
        <w:left w:val="none" w:sz="0" w:space="0" w:color="auto"/>
        <w:bottom w:val="none" w:sz="0" w:space="0" w:color="auto"/>
        <w:right w:val="none" w:sz="0" w:space="0" w:color="auto"/>
      </w:divBdr>
    </w:div>
    <w:div w:id="858665800">
      <w:bodyDiv w:val="1"/>
      <w:marLeft w:val="0"/>
      <w:marRight w:val="0"/>
      <w:marTop w:val="0"/>
      <w:marBottom w:val="0"/>
      <w:divBdr>
        <w:top w:val="none" w:sz="0" w:space="0" w:color="auto"/>
        <w:left w:val="none" w:sz="0" w:space="0" w:color="auto"/>
        <w:bottom w:val="none" w:sz="0" w:space="0" w:color="auto"/>
        <w:right w:val="none" w:sz="0" w:space="0" w:color="auto"/>
      </w:divBdr>
    </w:div>
    <w:div w:id="859201836">
      <w:bodyDiv w:val="1"/>
      <w:marLeft w:val="0"/>
      <w:marRight w:val="0"/>
      <w:marTop w:val="0"/>
      <w:marBottom w:val="0"/>
      <w:divBdr>
        <w:top w:val="none" w:sz="0" w:space="0" w:color="auto"/>
        <w:left w:val="none" w:sz="0" w:space="0" w:color="auto"/>
        <w:bottom w:val="none" w:sz="0" w:space="0" w:color="auto"/>
        <w:right w:val="none" w:sz="0" w:space="0" w:color="auto"/>
      </w:divBdr>
    </w:div>
    <w:div w:id="859780295">
      <w:bodyDiv w:val="1"/>
      <w:marLeft w:val="0"/>
      <w:marRight w:val="0"/>
      <w:marTop w:val="0"/>
      <w:marBottom w:val="0"/>
      <w:divBdr>
        <w:top w:val="none" w:sz="0" w:space="0" w:color="auto"/>
        <w:left w:val="none" w:sz="0" w:space="0" w:color="auto"/>
        <w:bottom w:val="none" w:sz="0" w:space="0" w:color="auto"/>
        <w:right w:val="none" w:sz="0" w:space="0" w:color="auto"/>
      </w:divBdr>
    </w:div>
    <w:div w:id="862594876">
      <w:bodyDiv w:val="1"/>
      <w:marLeft w:val="0"/>
      <w:marRight w:val="0"/>
      <w:marTop w:val="0"/>
      <w:marBottom w:val="0"/>
      <w:divBdr>
        <w:top w:val="none" w:sz="0" w:space="0" w:color="auto"/>
        <w:left w:val="none" w:sz="0" w:space="0" w:color="auto"/>
        <w:bottom w:val="none" w:sz="0" w:space="0" w:color="auto"/>
        <w:right w:val="none" w:sz="0" w:space="0" w:color="auto"/>
      </w:divBdr>
    </w:div>
    <w:div w:id="862981896">
      <w:bodyDiv w:val="1"/>
      <w:marLeft w:val="0"/>
      <w:marRight w:val="0"/>
      <w:marTop w:val="0"/>
      <w:marBottom w:val="0"/>
      <w:divBdr>
        <w:top w:val="none" w:sz="0" w:space="0" w:color="auto"/>
        <w:left w:val="none" w:sz="0" w:space="0" w:color="auto"/>
        <w:bottom w:val="none" w:sz="0" w:space="0" w:color="auto"/>
        <w:right w:val="none" w:sz="0" w:space="0" w:color="auto"/>
      </w:divBdr>
    </w:div>
    <w:div w:id="863397095">
      <w:bodyDiv w:val="1"/>
      <w:marLeft w:val="0"/>
      <w:marRight w:val="0"/>
      <w:marTop w:val="0"/>
      <w:marBottom w:val="0"/>
      <w:divBdr>
        <w:top w:val="none" w:sz="0" w:space="0" w:color="auto"/>
        <w:left w:val="none" w:sz="0" w:space="0" w:color="auto"/>
        <w:bottom w:val="none" w:sz="0" w:space="0" w:color="auto"/>
        <w:right w:val="none" w:sz="0" w:space="0" w:color="auto"/>
      </w:divBdr>
    </w:div>
    <w:div w:id="863901174">
      <w:bodyDiv w:val="1"/>
      <w:marLeft w:val="0"/>
      <w:marRight w:val="0"/>
      <w:marTop w:val="0"/>
      <w:marBottom w:val="0"/>
      <w:divBdr>
        <w:top w:val="none" w:sz="0" w:space="0" w:color="auto"/>
        <w:left w:val="none" w:sz="0" w:space="0" w:color="auto"/>
        <w:bottom w:val="none" w:sz="0" w:space="0" w:color="auto"/>
        <w:right w:val="none" w:sz="0" w:space="0" w:color="auto"/>
      </w:divBdr>
    </w:div>
    <w:div w:id="867718047">
      <w:bodyDiv w:val="1"/>
      <w:marLeft w:val="0"/>
      <w:marRight w:val="0"/>
      <w:marTop w:val="0"/>
      <w:marBottom w:val="0"/>
      <w:divBdr>
        <w:top w:val="none" w:sz="0" w:space="0" w:color="auto"/>
        <w:left w:val="none" w:sz="0" w:space="0" w:color="auto"/>
        <w:bottom w:val="none" w:sz="0" w:space="0" w:color="auto"/>
        <w:right w:val="none" w:sz="0" w:space="0" w:color="auto"/>
      </w:divBdr>
    </w:div>
    <w:div w:id="867908916">
      <w:bodyDiv w:val="1"/>
      <w:marLeft w:val="0"/>
      <w:marRight w:val="0"/>
      <w:marTop w:val="0"/>
      <w:marBottom w:val="0"/>
      <w:divBdr>
        <w:top w:val="none" w:sz="0" w:space="0" w:color="auto"/>
        <w:left w:val="none" w:sz="0" w:space="0" w:color="auto"/>
        <w:bottom w:val="none" w:sz="0" w:space="0" w:color="auto"/>
        <w:right w:val="none" w:sz="0" w:space="0" w:color="auto"/>
      </w:divBdr>
    </w:div>
    <w:div w:id="868102993">
      <w:bodyDiv w:val="1"/>
      <w:marLeft w:val="0"/>
      <w:marRight w:val="0"/>
      <w:marTop w:val="0"/>
      <w:marBottom w:val="0"/>
      <w:divBdr>
        <w:top w:val="none" w:sz="0" w:space="0" w:color="auto"/>
        <w:left w:val="none" w:sz="0" w:space="0" w:color="auto"/>
        <w:bottom w:val="none" w:sz="0" w:space="0" w:color="auto"/>
        <w:right w:val="none" w:sz="0" w:space="0" w:color="auto"/>
      </w:divBdr>
    </w:div>
    <w:div w:id="868685853">
      <w:bodyDiv w:val="1"/>
      <w:marLeft w:val="0"/>
      <w:marRight w:val="0"/>
      <w:marTop w:val="0"/>
      <w:marBottom w:val="0"/>
      <w:divBdr>
        <w:top w:val="none" w:sz="0" w:space="0" w:color="auto"/>
        <w:left w:val="none" w:sz="0" w:space="0" w:color="auto"/>
        <w:bottom w:val="none" w:sz="0" w:space="0" w:color="auto"/>
        <w:right w:val="none" w:sz="0" w:space="0" w:color="auto"/>
      </w:divBdr>
    </w:div>
    <w:div w:id="869151732">
      <w:bodyDiv w:val="1"/>
      <w:marLeft w:val="0"/>
      <w:marRight w:val="0"/>
      <w:marTop w:val="0"/>
      <w:marBottom w:val="0"/>
      <w:divBdr>
        <w:top w:val="none" w:sz="0" w:space="0" w:color="auto"/>
        <w:left w:val="none" w:sz="0" w:space="0" w:color="auto"/>
        <w:bottom w:val="none" w:sz="0" w:space="0" w:color="auto"/>
        <w:right w:val="none" w:sz="0" w:space="0" w:color="auto"/>
      </w:divBdr>
    </w:div>
    <w:div w:id="870150539">
      <w:bodyDiv w:val="1"/>
      <w:marLeft w:val="0"/>
      <w:marRight w:val="0"/>
      <w:marTop w:val="0"/>
      <w:marBottom w:val="0"/>
      <w:divBdr>
        <w:top w:val="none" w:sz="0" w:space="0" w:color="auto"/>
        <w:left w:val="none" w:sz="0" w:space="0" w:color="auto"/>
        <w:bottom w:val="none" w:sz="0" w:space="0" w:color="auto"/>
        <w:right w:val="none" w:sz="0" w:space="0" w:color="auto"/>
      </w:divBdr>
    </w:div>
    <w:div w:id="870385207">
      <w:bodyDiv w:val="1"/>
      <w:marLeft w:val="0"/>
      <w:marRight w:val="0"/>
      <w:marTop w:val="0"/>
      <w:marBottom w:val="0"/>
      <w:divBdr>
        <w:top w:val="none" w:sz="0" w:space="0" w:color="auto"/>
        <w:left w:val="none" w:sz="0" w:space="0" w:color="auto"/>
        <w:bottom w:val="none" w:sz="0" w:space="0" w:color="auto"/>
        <w:right w:val="none" w:sz="0" w:space="0" w:color="auto"/>
      </w:divBdr>
    </w:div>
    <w:div w:id="871385361">
      <w:bodyDiv w:val="1"/>
      <w:marLeft w:val="0"/>
      <w:marRight w:val="0"/>
      <w:marTop w:val="0"/>
      <w:marBottom w:val="0"/>
      <w:divBdr>
        <w:top w:val="none" w:sz="0" w:space="0" w:color="auto"/>
        <w:left w:val="none" w:sz="0" w:space="0" w:color="auto"/>
        <w:bottom w:val="none" w:sz="0" w:space="0" w:color="auto"/>
        <w:right w:val="none" w:sz="0" w:space="0" w:color="auto"/>
      </w:divBdr>
    </w:div>
    <w:div w:id="873541683">
      <w:bodyDiv w:val="1"/>
      <w:marLeft w:val="0"/>
      <w:marRight w:val="0"/>
      <w:marTop w:val="0"/>
      <w:marBottom w:val="0"/>
      <w:divBdr>
        <w:top w:val="none" w:sz="0" w:space="0" w:color="auto"/>
        <w:left w:val="none" w:sz="0" w:space="0" w:color="auto"/>
        <w:bottom w:val="none" w:sz="0" w:space="0" w:color="auto"/>
        <w:right w:val="none" w:sz="0" w:space="0" w:color="auto"/>
      </w:divBdr>
    </w:div>
    <w:div w:id="874730616">
      <w:bodyDiv w:val="1"/>
      <w:marLeft w:val="0"/>
      <w:marRight w:val="0"/>
      <w:marTop w:val="0"/>
      <w:marBottom w:val="0"/>
      <w:divBdr>
        <w:top w:val="none" w:sz="0" w:space="0" w:color="auto"/>
        <w:left w:val="none" w:sz="0" w:space="0" w:color="auto"/>
        <w:bottom w:val="none" w:sz="0" w:space="0" w:color="auto"/>
        <w:right w:val="none" w:sz="0" w:space="0" w:color="auto"/>
      </w:divBdr>
    </w:div>
    <w:div w:id="874925827">
      <w:bodyDiv w:val="1"/>
      <w:marLeft w:val="0"/>
      <w:marRight w:val="0"/>
      <w:marTop w:val="0"/>
      <w:marBottom w:val="0"/>
      <w:divBdr>
        <w:top w:val="none" w:sz="0" w:space="0" w:color="auto"/>
        <w:left w:val="none" w:sz="0" w:space="0" w:color="auto"/>
        <w:bottom w:val="none" w:sz="0" w:space="0" w:color="auto"/>
        <w:right w:val="none" w:sz="0" w:space="0" w:color="auto"/>
      </w:divBdr>
    </w:div>
    <w:div w:id="875434078">
      <w:bodyDiv w:val="1"/>
      <w:marLeft w:val="0"/>
      <w:marRight w:val="0"/>
      <w:marTop w:val="0"/>
      <w:marBottom w:val="0"/>
      <w:divBdr>
        <w:top w:val="none" w:sz="0" w:space="0" w:color="auto"/>
        <w:left w:val="none" w:sz="0" w:space="0" w:color="auto"/>
        <w:bottom w:val="none" w:sz="0" w:space="0" w:color="auto"/>
        <w:right w:val="none" w:sz="0" w:space="0" w:color="auto"/>
      </w:divBdr>
    </w:div>
    <w:div w:id="876237669">
      <w:bodyDiv w:val="1"/>
      <w:marLeft w:val="0"/>
      <w:marRight w:val="0"/>
      <w:marTop w:val="0"/>
      <w:marBottom w:val="0"/>
      <w:divBdr>
        <w:top w:val="none" w:sz="0" w:space="0" w:color="auto"/>
        <w:left w:val="none" w:sz="0" w:space="0" w:color="auto"/>
        <w:bottom w:val="none" w:sz="0" w:space="0" w:color="auto"/>
        <w:right w:val="none" w:sz="0" w:space="0" w:color="auto"/>
      </w:divBdr>
    </w:div>
    <w:div w:id="876352827">
      <w:bodyDiv w:val="1"/>
      <w:marLeft w:val="0"/>
      <w:marRight w:val="0"/>
      <w:marTop w:val="0"/>
      <w:marBottom w:val="0"/>
      <w:divBdr>
        <w:top w:val="none" w:sz="0" w:space="0" w:color="auto"/>
        <w:left w:val="none" w:sz="0" w:space="0" w:color="auto"/>
        <w:bottom w:val="none" w:sz="0" w:space="0" w:color="auto"/>
        <w:right w:val="none" w:sz="0" w:space="0" w:color="auto"/>
      </w:divBdr>
    </w:div>
    <w:div w:id="877204693">
      <w:bodyDiv w:val="1"/>
      <w:marLeft w:val="0"/>
      <w:marRight w:val="0"/>
      <w:marTop w:val="0"/>
      <w:marBottom w:val="0"/>
      <w:divBdr>
        <w:top w:val="none" w:sz="0" w:space="0" w:color="auto"/>
        <w:left w:val="none" w:sz="0" w:space="0" w:color="auto"/>
        <w:bottom w:val="none" w:sz="0" w:space="0" w:color="auto"/>
        <w:right w:val="none" w:sz="0" w:space="0" w:color="auto"/>
      </w:divBdr>
    </w:div>
    <w:div w:id="877745847">
      <w:bodyDiv w:val="1"/>
      <w:marLeft w:val="0"/>
      <w:marRight w:val="0"/>
      <w:marTop w:val="0"/>
      <w:marBottom w:val="0"/>
      <w:divBdr>
        <w:top w:val="none" w:sz="0" w:space="0" w:color="auto"/>
        <w:left w:val="none" w:sz="0" w:space="0" w:color="auto"/>
        <w:bottom w:val="none" w:sz="0" w:space="0" w:color="auto"/>
        <w:right w:val="none" w:sz="0" w:space="0" w:color="auto"/>
      </w:divBdr>
    </w:div>
    <w:div w:id="877817003">
      <w:bodyDiv w:val="1"/>
      <w:marLeft w:val="0"/>
      <w:marRight w:val="0"/>
      <w:marTop w:val="0"/>
      <w:marBottom w:val="0"/>
      <w:divBdr>
        <w:top w:val="none" w:sz="0" w:space="0" w:color="auto"/>
        <w:left w:val="none" w:sz="0" w:space="0" w:color="auto"/>
        <w:bottom w:val="none" w:sz="0" w:space="0" w:color="auto"/>
        <w:right w:val="none" w:sz="0" w:space="0" w:color="auto"/>
      </w:divBdr>
    </w:div>
    <w:div w:id="877858458">
      <w:bodyDiv w:val="1"/>
      <w:marLeft w:val="0"/>
      <w:marRight w:val="0"/>
      <w:marTop w:val="0"/>
      <w:marBottom w:val="0"/>
      <w:divBdr>
        <w:top w:val="none" w:sz="0" w:space="0" w:color="auto"/>
        <w:left w:val="none" w:sz="0" w:space="0" w:color="auto"/>
        <w:bottom w:val="none" w:sz="0" w:space="0" w:color="auto"/>
        <w:right w:val="none" w:sz="0" w:space="0" w:color="auto"/>
      </w:divBdr>
    </w:div>
    <w:div w:id="879054649">
      <w:bodyDiv w:val="1"/>
      <w:marLeft w:val="0"/>
      <w:marRight w:val="0"/>
      <w:marTop w:val="0"/>
      <w:marBottom w:val="0"/>
      <w:divBdr>
        <w:top w:val="none" w:sz="0" w:space="0" w:color="auto"/>
        <w:left w:val="none" w:sz="0" w:space="0" w:color="auto"/>
        <w:bottom w:val="none" w:sz="0" w:space="0" w:color="auto"/>
        <w:right w:val="none" w:sz="0" w:space="0" w:color="auto"/>
      </w:divBdr>
    </w:div>
    <w:div w:id="879821483">
      <w:bodyDiv w:val="1"/>
      <w:marLeft w:val="0"/>
      <w:marRight w:val="0"/>
      <w:marTop w:val="0"/>
      <w:marBottom w:val="0"/>
      <w:divBdr>
        <w:top w:val="none" w:sz="0" w:space="0" w:color="auto"/>
        <w:left w:val="none" w:sz="0" w:space="0" w:color="auto"/>
        <w:bottom w:val="none" w:sz="0" w:space="0" w:color="auto"/>
        <w:right w:val="none" w:sz="0" w:space="0" w:color="auto"/>
      </w:divBdr>
    </w:div>
    <w:div w:id="880018798">
      <w:bodyDiv w:val="1"/>
      <w:marLeft w:val="0"/>
      <w:marRight w:val="0"/>
      <w:marTop w:val="0"/>
      <w:marBottom w:val="0"/>
      <w:divBdr>
        <w:top w:val="none" w:sz="0" w:space="0" w:color="auto"/>
        <w:left w:val="none" w:sz="0" w:space="0" w:color="auto"/>
        <w:bottom w:val="none" w:sz="0" w:space="0" w:color="auto"/>
        <w:right w:val="none" w:sz="0" w:space="0" w:color="auto"/>
      </w:divBdr>
    </w:div>
    <w:div w:id="880049701">
      <w:bodyDiv w:val="1"/>
      <w:marLeft w:val="0"/>
      <w:marRight w:val="0"/>
      <w:marTop w:val="0"/>
      <w:marBottom w:val="0"/>
      <w:divBdr>
        <w:top w:val="none" w:sz="0" w:space="0" w:color="auto"/>
        <w:left w:val="none" w:sz="0" w:space="0" w:color="auto"/>
        <w:bottom w:val="none" w:sz="0" w:space="0" w:color="auto"/>
        <w:right w:val="none" w:sz="0" w:space="0" w:color="auto"/>
      </w:divBdr>
    </w:div>
    <w:div w:id="880093824">
      <w:bodyDiv w:val="1"/>
      <w:marLeft w:val="0"/>
      <w:marRight w:val="0"/>
      <w:marTop w:val="0"/>
      <w:marBottom w:val="0"/>
      <w:divBdr>
        <w:top w:val="none" w:sz="0" w:space="0" w:color="auto"/>
        <w:left w:val="none" w:sz="0" w:space="0" w:color="auto"/>
        <w:bottom w:val="none" w:sz="0" w:space="0" w:color="auto"/>
        <w:right w:val="none" w:sz="0" w:space="0" w:color="auto"/>
      </w:divBdr>
    </w:div>
    <w:div w:id="880634199">
      <w:bodyDiv w:val="1"/>
      <w:marLeft w:val="0"/>
      <w:marRight w:val="0"/>
      <w:marTop w:val="0"/>
      <w:marBottom w:val="0"/>
      <w:divBdr>
        <w:top w:val="none" w:sz="0" w:space="0" w:color="auto"/>
        <w:left w:val="none" w:sz="0" w:space="0" w:color="auto"/>
        <w:bottom w:val="none" w:sz="0" w:space="0" w:color="auto"/>
        <w:right w:val="none" w:sz="0" w:space="0" w:color="auto"/>
      </w:divBdr>
    </w:div>
    <w:div w:id="880828387">
      <w:bodyDiv w:val="1"/>
      <w:marLeft w:val="0"/>
      <w:marRight w:val="0"/>
      <w:marTop w:val="0"/>
      <w:marBottom w:val="0"/>
      <w:divBdr>
        <w:top w:val="none" w:sz="0" w:space="0" w:color="auto"/>
        <w:left w:val="none" w:sz="0" w:space="0" w:color="auto"/>
        <w:bottom w:val="none" w:sz="0" w:space="0" w:color="auto"/>
        <w:right w:val="none" w:sz="0" w:space="0" w:color="auto"/>
      </w:divBdr>
    </w:div>
    <w:div w:id="882180948">
      <w:bodyDiv w:val="1"/>
      <w:marLeft w:val="0"/>
      <w:marRight w:val="0"/>
      <w:marTop w:val="0"/>
      <w:marBottom w:val="0"/>
      <w:divBdr>
        <w:top w:val="none" w:sz="0" w:space="0" w:color="auto"/>
        <w:left w:val="none" w:sz="0" w:space="0" w:color="auto"/>
        <w:bottom w:val="none" w:sz="0" w:space="0" w:color="auto"/>
        <w:right w:val="none" w:sz="0" w:space="0" w:color="auto"/>
      </w:divBdr>
    </w:div>
    <w:div w:id="882331313">
      <w:bodyDiv w:val="1"/>
      <w:marLeft w:val="0"/>
      <w:marRight w:val="0"/>
      <w:marTop w:val="0"/>
      <w:marBottom w:val="0"/>
      <w:divBdr>
        <w:top w:val="none" w:sz="0" w:space="0" w:color="auto"/>
        <w:left w:val="none" w:sz="0" w:space="0" w:color="auto"/>
        <w:bottom w:val="none" w:sz="0" w:space="0" w:color="auto"/>
        <w:right w:val="none" w:sz="0" w:space="0" w:color="auto"/>
      </w:divBdr>
    </w:div>
    <w:div w:id="882593429">
      <w:bodyDiv w:val="1"/>
      <w:marLeft w:val="0"/>
      <w:marRight w:val="0"/>
      <w:marTop w:val="0"/>
      <w:marBottom w:val="0"/>
      <w:divBdr>
        <w:top w:val="none" w:sz="0" w:space="0" w:color="auto"/>
        <w:left w:val="none" w:sz="0" w:space="0" w:color="auto"/>
        <w:bottom w:val="none" w:sz="0" w:space="0" w:color="auto"/>
        <w:right w:val="none" w:sz="0" w:space="0" w:color="auto"/>
      </w:divBdr>
    </w:div>
    <w:div w:id="882718685">
      <w:bodyDiv w:val="1"/>
      <w:marLeft w:val="0"/>
      <w:marRight w:val="0"/>
      <w:marTop w:val="0"/>
      <w:marBottom w:val="0"/>
      <w:divBdr>
        <w:top w:val="none" w:sz="0" w:space="0" w:color="auto"/>
        <w:left w:val="none" w:sz="0" w:space="0" w:color="auto"/>
        <w:bottom w:val="none" w:sz="0" w:space="0" w:color="auto"/>
        <w:right w:val="none" w:sz="0" w:space="0" w:color="auto"/>
      </w:divBdr>
    </w:div>
    <w:div w:id="882987552">
      <w:bodyDiv w:val="1"/>
      <w:marLeft w:val="0"/>
      <w:marRight w:val="0"/>
      <w:marTop w:val="0"/>
      <w:marBottom w:val="0"/>
      <w:divBdr>
        <w:top w:val="none" w:sz="0" w:space="0" w:color="auto"/>
        <w:left w:val="none" w:sz="0" w:space="0" w:color="auto"/>
        <w:bottom w:val="none" w:sz="0" w:space="0" w:color="auto"/>
        <w:right w:val="none" w:sz="0" w:space="0" w:color="auto"/>
      </w:divBdr>
    </w:div>
    <w:div w:id="884027752">
      <w:bodyDiv w:val="1"/>
      <w:marLeft w:val="0"/>
      <w:marRight w:val="0"/>
      <w:marTop w:val="0"/>
      <w:marBottom w:val="0"/>
      <w:divBdr>
        <w:top w:val="none" w:sz="0" w:space="0" w:color="auto"/>
        <w:left w:val="none" w:sz="0" w:space="0" w:color="auto"/>
        <w:bottom w:val="none" w:sz="0" w:space="0" w:color="auto"/>
        <w:right w:val="none" w:sz="0" w:space="0" w:color="auto"/>
      </w:divBdr>
    </w:div>
    <w:div w:id="884565048">
      <w:bodyDiv w:val="1"/>
      <w:marLeft w:val="0"/>
      <w:marRight w:val="0"/>
      <w:marTop w:val="0"/>
      <w:marBottom w:val="0"/>
      <w:divBdr>
        <w:top w:val="none" w:sz="0" w:space="0" w:color="auto"/>
        <w:left w:val="none" w:sz="0" w:space="0" w:color="auto"/>
        <w:bottom w:val="none" w:sz="0" w:space="0" w:color="auto"/>
        <w:right w:val="none" w:sz="0" w:space="0" w:color="auto"/>
      </w:divBdr>
    </w:div>
    <w:div w:id="884950160">
      <w:bodyDiv w:val="1"/>
      <w:marLeft w:val="0"/>
      <w:marRight w:val="0"/>
      <w:marTop w:val="0"/>
      <w:marBottom w:val="0"/>
      <w:divBdr>
        <w:top w:val="none" w:sz="0" w:space="0" w:color="auto"/>
        <w:left w:val="none" w:sz="0" w:space="0" w:color="auto"/>
        <w:bottom w:val="none" w:sz="0" w:space="0" w:color="auto"/>
        <w:right w:val="none" w:sz="0" w:space="0" w:color="auto"/>
      </w:divBdr>
    </w:div>
    <w:div w:id="885220812">
      <w:bodyDiv w:val="1"/>
      <w:marLeft w:val="0"/>
      <w:marRight w:val="0"/>
      <w:marTop w:val="0"/>
      <w:marBottom w:val="0"/>
      <w:divBdr>
        <w:top w:val="none" w:sz="0" w:space="0" w:color="auto"/>
        <w:left w:val="none" w:sz="0" w:space="0" w:color="auto"/>
        <w:bottom w:val="none" w:sz="0" w:space="0" w:color="auto"/>
        <w:right w:val="none" w:sz="0" w:space="0" w:color="auto"/>
      </w:divBdr>
    </w:div>
    <w:div w:id="885410639">
      <w:bodyDiv w:val="1"/>
      <w:marLeft w:val="0"/>
      <w:marRight w:val="0"/>
      <w:marTop w:val="0"/>
      <w:marBottom w:val="0"/>
      <w:divBdr>
        <w:top w:val="none" w:sz="0" w:space="0" w:color="auto"/>
        <w:left w:val="none" w:sz="0" w:space="0" w:color="auto"/>
        <w:bottom w:val="none" w:sz="0" w:space="0" w:color="auto"/>
        <w:right w:val="none" w:sz="0" w:space="0" w:color="auto"/>
      </w:divBdr>
    </w:div>
    <w:div w:id="885483111">
      <w:bodyDiv w:val="1"/>
      <w:marLeft w:val="0"/>
      <w:marRight w:val="0"/>
      <w:marTop w:val="0"/>
      <w:marBottom w:val="0"/>
      <w:divBdr>
        <w:top w:val="none" w:sz="0" w:space="0" w:color="auto"/>
        <w:left w:val="none" w:sz="0" w:space="0" w:color="auto"/>
        <w:bottom w:val="none" w:sz="0" w:space="0" w:color="auto"/>
        <w:right w:val="none" w:sz="0" w:space="0" w:color="auto"/>
      </w:divBdr>
    </w:div>
    <w:div w:id="885796979">
      <w:bodyDiv w:val="1"/>
      <w:marLeft w:val="0"/>
      <w:marRight w:val="0"/>
      <w:marTop w:val="0"/>
      <w:marBottom w:val="0"/>
      <w:divBdr>
        <w:top w:val="none" w:sz="0" w:space="0" w:color="auto"/>
        <w:left w:val="none" w:sz="0" w:space="0" w:color="auto"/>
        <w:bottom w:val="none" w:sz="0" w:space="0" w:color="auto"/>
        <w:right w:val="none" w:sz="0" w:space="0" w:color="auto"/>
      </w:divBdr>
    </w:div>
    <w:div w:id="885943993">
      <w:bodyDiv w:val="1"/>
      <w:marLeft w:val="0"/>
      <w:marRight w:val="0"/>
      <w:marTop w:val="0"/>
      <w:marBottom w:val="0"/>
      <w:divBdr>
        <w:top w:val="none" w:sz="0" w:space="0" w:color="auto"/>
        <w:left w:val="none" w:sz="0" w:space="0" w:color="auto"/>
        <w:bottom w:val="none" w:sz="0" w:space="0" w:color="auto"/>
        <w:right w:val="none" w:sz="0" w:space="0" w:color="auto"/>
      </w:divBdr>
    </w:div>
    <w:div w:id="886794612">
      <w:bodyDiv w:val="1"/>
      <w:marLeft w:val="0"/>
      <w:marRight w:val="0"/>
      <w:marTop w:val="0"/>
      <w:marBottom w:val="0"/>
      <w:divBdr>
        <w:top w:val="none" w:sz="0" w:space="0" w:color="auto"/>
        <w:left w:val="none" w:sz="0" w:space="0" w:color="auto"/>
        <w:bottom w:val="none" w:sz="0" w:space="0" w:color="auto"/>
        <w:right w:val="none" w:sz="0" w:space="0" w:color="auto"/>
      </w:divBdr>
    </w:div>
    <w:div w:id="887033636">
      <w:bodyDiv w:val="1"/>
      <w:marLeft w:val="0"/>
      <w:marRight w:val="0"/>
      <w:marTop w:val="0"/>
      <w:marBottom w:val="0"/>
      <w:divBdr>
        <w:top w:val="none" w:sz="0" w:space="0" w:color="auto"/>
        <w:left w:val="none" w:sz="0" w:space="0" w:color="auto"/>
        <w:bottom w:val="none" w:sz="0" w:space="0" w:color="auto"/>
        <w:right w:val="none" w:sz="0" w:space="0" w:color="auto"/>
      </w:divBdr>
    </w:div>
    <w:div w:id="887107519">
      <w:bodyDiv w:val="1"/>
      <w:marLeft w:val="0"/>
      <w:marRight w:val="0"/>
      <w:marTop w:val="0"/>
      <w:marBottom w:val="0"/>
      <w:divBdr>
        <w:top w:val="none" w:sz="0" w:space="0" w:color="auto"/>
        <w:left w:val="none" w:sz="0" w:space="0" w:color="auto"/>
        <w:bottom w:val="none" w:sz="0" w:space="0" w:color="auto"/>
        <w:right w:val="none" w:sz="0" w:space="0" w:color="auto"/>
      </w:divBdr>
    </w:div>
    <w:div w:id="890773792">
      <w:bodyDiv w:val="1"/>
      <w:marLeft w:val="0"/>
      <w:marRight w:val="0"/>
      <w:marTop w:val="0"/>
      <w:marBottom w:val="0"/>
      <w:divBdr>
        <w:top w:val="none" w:sz="0" w:space="0" w:color="auto"/>
        <w:left w:val="none" w:sz="0" w:space="0" w:color="auto"/>
        <w:bottom w:val="none" w:sz="0" w:space="0" w:color="auto"/>
        <w:right w:val="none" w:sz="0" w:space="0" w:color="auto"/>
      </w:divBdr>
    </w:div>
    <w:div w:id="891623493">
      <w:bodyDiv w:val="1"/>
      <w:marLeft w:val="0"/>
      <w:marRight w:val="0"/>
      <w:marTop w:val="0"/>
      <w:marBottom w:val="0"/>
      <w:divBdr>
        <w:top w:val="none" w:sz="0" w:space="0" w:color="auto"/>
        <w:left w:val="none" w:sz="0" w:space="0" w:color="auto"/>
        <w:bottom w:val="none" w:sz="0" w:space="0" w:color="auto"/>
        <w:right w:val="none" w:sz="0" w:space="0" w:color="auto"/>
      </w:divBdr>
    </w:div>
    <w:div w:id="891817016">
      <w:bodyDiv w:val="1"/>
      <w:marLeft w:val="0"/>
      <w:marRight w:val="0"/>
      <w:marTop w:val="0"/>
      <w:marBottom w:val="0"/>
      <w:divBdr>
        <w:top w:val="none" w:sz="0" w:space="0" w:color="auto"/>
        <w:left w:val="none" w:sz="0" w:space="0" w:color="auto"/>
        <w:bottom w:val="none" w:sz="0" w:space="0" w:color="auto"/>
        <w:right w:val="none" w:sz="0" w:space="0" w:color="auto"/>
      </w:divBdr>
    </w:div>
    <w:div w:id="892541667">
      <w:bodyDiv w:val="1"/>
      <w:marLeft w:val="0"/>
      <w:marRight w:val="0"/>
      <w:marTop w:val="0"/>
      <w:marBottom w:val="0"/>
      <w:divBdr>
        <w:top w:val="none" w:sz="0" w:space="0" w:color="auto"/>
        <w:left w:val="none" w:sz="0" w:space="0" w:color="auto"/>
        <w:bottom w:val="none" w:sz="0" w:space="0" w:color="auto"/>
        <w:right w:val="none" w:sz="0" w:space="0" w:color="auto"/>
      </w:divBdr>
    </w:div>
    <w:div w:id="893857537">
      <w:bodyDiv w:val="1"/>
      <w:marLeft w:val="0"/>
      <w:marRight w:val="0"/>
      <w:marTop w:val="0"/>
      <w:marBottom w:val="0"/>
      <w:divBdr>
        <w:top w:val="none" w:sz="0" w:space="0" w:color="auto"/>
        <w:left w:val="none" w:sz="0" w:space="0" w:color="auto"/>
        <w:bottom w:val="none" w:sz="0" w:space="0" w:color="auto"/>
        <w:right w:val="none" w:sz="0" w:space="0" w:color="auto"/>
      </w:divBdr>
    </w:div>
    <w:div w:id="895160282">
      <w:bodyDiv w:val="1"/>
      <w:marLeft w:val="0"/>
      <w:marRight w:val="0"/>
      <w:marTop w:val="0"/>
      <w:marBottom w:val="0"/>
      <w:divBdr>
        <w:top w:val="none" w:sz="0" w:space="0" w:color="auto"/>
        <w:left w:val="none" w:sz="0" w:space="0" w:color="auto"/>
        <w:bottom w:val="none" w:sz="0" w:space="0" w:color="auto"/>
        <w:right w:val="none" w:sz="0" w:space="0" w:color="auto"/>
      </w:divBdr>
    </w:div>
    <w:div w:id="896235926">
      <w:bodyDiv w:val="1"/>
      <w:marLeft w:val="0"/>
      <w:marRight w:val="0"/>
      <w:marTop w:val="0"/>
      <w:marBottom w:val="0"/>
      <w:divBdr>
        <w:top w:val="none" w:sz="0" w:space="0" w:color="auto"/>
        <w:left w:val="none" w:sz="0" w:space="0" w:color="auto"/>
        <w:bottom w:val="none" w:sz="0" w:space="0" w:color="auto"/>
        <w:right w:val="none" w:sz="0" w:space="0" w:color="auto"/>
      </w:divBdr>
    </w:div>
    <w:div w:id="896403558">
      <w:bodyDiv w:val="1"/>
      <w:marLeft w:val="0"/>
      <w:marRight w:val="0"/>
      <w:marTop w:val="0"/>
      <w:marBottom w:val="0"/>
      <w:divBdr>
        <w:top w:val="none" w:sz="0" w:space="0" w:color="auto"/>
        <w:left w:val="none" w:sz="0" w:space="0" w:color="auto"/>
        <w:bottom w:val="none" w:sz="0" w:space="0" w:color="auto"/>
        <w:right w:val="none" w:sz="0" w:space="0" w:color="auto"/>
      </w:divBdr>
    </w:div>
    <w:div w:id="897280299">
      <w:bodyDiv w:val="1"/>
      <w:marLeft w:val="0"/>
      <w:marRight w:val="0"/>
      <w:marTop w:val="0"/>
      <w:marBottom w:val="0"/>
      <w:divBdr>
        <w:top w:val="none" w:sz="0" w:space="0" w:color="auto"/>
        <w:left w:val="none" w:sz="0" w:space="0" w:color="auto"/>
        <w:bottom w:val="none" w:sz="0" w:space="0" w:color="auto"/>
        <w:right w:val="none" w:sz="0" w:space="0" w:color="auto"/>
      </w:divBdr>
    </w:div>
    <w:div w:id="898394655">
      <w:bodyDiv w:val="1"/>
      <w:marLeft w:val="0"/>
      <w:marRight w:val="0"/>
      <w:marTop w:val="0"/>
      <w:marBottom w:val="0"/>
      <w:divBdr>
        <w:top w:val="none" w:sz="0" w:space="0" w:color="auto"/>
        <w:left w:val="none" w:sz="0" w:space="0" w:color="auto"/>
        <w:bottom w:val="none" w:sz="0" w:space="0" w:color="auto"/>
        <w:right w:val="none" w:sz="0" w:space="0" w:color="auto"/>
      </w:divBdr>
    </w:div>
    <w:div w:id="900166547">
      <w:bodyDiv w:val="1"/>
      <w:marLeft w:val="0"/>
      <w:marRight w:val="0"/>
      <w:marTop w:val="0"/>
      <w:marBottom w:val="0"/>
      <w:divBdr>
        <w:top w:val="none" w:sz="0" w:space="0" w:color="auto"/>
        <w:left w:val="none" w:sz="0" w:space="0" w:color="auto"/>
        <w:bottom w:val="none" w:sz="0" w:space="0" w:color="auto"/>
        <w:right w:val="none" w:sz="0" w:space="0" w:color="auto"/>
      </w:divBdr>
    </w:div>
    <w:div w:id="900673136">
      <w:bodyDiv w:val="1"/>
      <w:marLeft w:val="0"/>
      <w:marRight w:val="0"/>
      <w:marTop w:val="0"/>
      <w:marBottom w:val="0"/>
      <w:divBdr>
        <w:top w:val="none" w:sz="0" w:space="0" w:color="auto"/>
        <w:left w:val="none" w:sz="0" w:space="0" w:color="auto"/>
        <w:bottom w:val="none" w:sz="0" w:space="0" w:color="auto"/>
        <w:right w:val="none" w:sz="0" w:space="0" w:color="auto"/>
      </w:divBdr>
    </w:div>
    <w:div w:id="901066885">
      <w:bodyDiv w:val="1"/>
      <w:marLeft w:val="0"/>
      <w:marRight w:val="0"/>
      <w:marTop w:val="0"/>
      <w:marBottom w:val="0"/>
      <w:divBdr>
        <w:top w:val="none" w:sz="0" w:space="0" w:color="auto"/>
        <w:left w:val="none" w:sz="0" w:space="0" w:color="auto"/>
        <w:bottom w:val="none" w:sz="0" w:space="0" w:color="auto"/>
        <w:right w:val="none" w:sz="0" w:space="0" w:color="auto"/>
      </w:divBdr>
    </w:div>
    <w:div w:id="903489920">
      <w:bodyDiv w:val="1"/>
      <w:marLeft w:val="0"/>
      <w:marRight w:val="0"/>
      <w:marTop w:val="0"/>
      <w:marBottom w:val="0"/>
      <w:divBdr>
        <w:top w:val="none" w:sz="0" w:space="0" w:color="auto"/>
        <w:left w:val="none" w:sz="0" w:space="0" w:color="auto"/>
        <w:bottom w:val="none" w:sz="0" w:space="0" w:color="auto"/>
        <w:right w:val="none" w:sz="0" w:space="0" w:color="auto"/>
      </w:divBdr>
    </w:div>
    <w:div w:id="905454187">
      <w:bodyDiv w:val="1"/>
      <w:marLeft w:val="0"/>
      <w:marRight w:val="0"/>
      <w:marTop w:val="0"/>
      <w:marBottom w:val="0"/>
      <w:divBdr>
        <w:top w:val="none" w:sz="0" w:space="0" w:color="auto"/>
        <w:left w:val="none" w:sz="0" w:space="0" w:color="auto"/>
        <w:bottom w:val="none" w:sz="0" w:space="0" w:color="auto"/>
        <w:right w:val="none" w:sz="0" w:space="0" w:color="auto"/>
      </w:divBdr>
    </w:div>
    <w:div w:id="905919520">
      <w:bodyDiv w:val="1"/>
      <w:marLeft w:val="0"/>
      <w:marRight w:val="0"/>
      <w:marTop w:val="0"/>
      <w:marBottom w:val="0"/>
      <w:divBdr>
        <w:top w:val="none" w:sz="0" w:space="0" w:color="auto"/>
        <w:left w:val="none" w:sz="0" w:space="0" w:color="auto"/>
        <w:bottom w:val="none" w:sz="0" w:space="0" w:color="auto"/>
        <w:right w:val="none" w:sz="0" w:space="0" w:color="auto"/>
      </w:divBdr>
    </w:div>
    <w:div w:id="906500211">
      <w:bodyDiv w:val="1"/>
      <w:marLeft w:val="0"/>
      <w:marRight w:val="0"/>
      <w:marTop w:val="0"/>
      <w:marBottom w:val="0"/>
      <w:divBdr>
        <w:top w:val="none" w:sz="0" w:space="0" w:color="auto"/>
        <w:left w:val="none" w:sz="0" w:space="0" w:color="auto"/>
        <w:bottom w:val="none" w:sz="0" w:space="0" w:color="auto"/>
        <w:right w:val="none" w:sz="0" w:space="0" w:color="auto"/>
      </w:divBdr>
    </w:div>
    <w:div w:id="907228188">
      <w:bodyDiv w:val="1"/>
      <w:marLeft w:val="0"/>
      <w:marRight w:val="0"/>
      <w:marTop w:val="0"/>
      <w:marBottom w:val="0"/>
      <w:divBdr>
        <w:top w:val="none" w:sz="0" w:space="0" w:color="auto"/>
        <w:left w:val="none" w:sz="0" w:space="0" w:color="auto"/>
        <w:bottom w:val="none" w:sz="0" w:space="0" w:color="auto"/>
        <w:right w:val="none" w:sz="0" w:space="0" w:color="auto"/>
      </w:divBdr>
    </w:div>
    <w:div w:id="908735900">
      <w:bodyDiv w:val="1"/>
      <w:marLeft w:val="0"/>
      <w:marRight w:val="0"/>
      <w:marTop w:val="0"/>
      <w:marBottom w:val="0"/>
      <w:divBdr>
        <w:top w:val="none" w:sz="0" w:space="0" w:color="auto"/>
        <w:left w:val="none" w:sz="0" w:space="0" w:color="auto"/>
        <w:bottom w:val="none" w:sz="0" w:space="0" w:color="auto"/>
        <w:right w:val="none" w:sz="0" w:space="0" w:color="auto"/>
      </w:divBdr>
    </w:div>
    <w:div w:id="909073566">
      <w:bodyDiv w:val="1"/>
      <w:marLeft w:val="0"/>
      <w:marRight w:val="0"/>
      <w:marTop w:val="0"/>
      <w:marBottom w:val="0"/>
      <w:divBdr>
        <w:top w:val="none" w:sz="0" w:space="0" w:color="auto"/>
        <w:left w:val="none" w:sz="0" w:space="0" w:color="auto"/>
        <w:bottom w:val="none" w:sz="0" w:space="0" w:color="auto"/>
        <w:right w:val="none" w:sz="0" w:space="0" w:color="auto"/>
      </w:divBdr>
    </w:div>
    <w:div w:id="909120163">
      <w:bodyDiv w:val="1"/>
      <w:marLeft w:val="0"/>
      <w:marRight w:val="0"/>
      <w:marTop w:val="0"/>
      <w:marBottom w:val="0"/>
      <w:divBdr>
        <w:top w:val="none" w:sz="0" w:space="0" w:color="auto"/>
        <w:left w:val="none" w:sz="0" w:space="0" w:color="auto"/>
        <w:bottom w:val="none" w:sz="0" w:space="0" w:color="auto"/>
        <w:right w:val="none" w:sz="0" w:space="0" w:color="auto"/>
      </w:divBdr>
    </w:div>
    <w:div w:id="909314675">
      <w:bodyDiv w:val="1"/>
      <w:marLeft w:val="0"/>
      <w:marRight w:val="0"/>
      <w:marTop w:val="0"/>
      <w:marBottom w:val="0"/>
      <w:divBdr>
        <w:top w:val="none" w:sz="0" w:space="0" w:color="auto"/>
        <w:left w:val="none" w:sz="0" w:space="0" w:color="auto"/>
        <w:bottom w:val="none" w:sz="0" w:space="0" w:color="auto"/>
        <w:right w:val="none" w:sz="0" w:space="0" w:color="auto"/>
      </w:divBdr>
    </w:div>
    <w:div w:id="909462787">
      <w:bodyDiv w:val="1"/>
      <w:marLeft w:val="0"/>
      <w:marRight w:val="0"/>
      <w:marTop w:val="0"/>
      <w:marBottom w:val="0"/>
      <w:divBdr>
        <w:top w:val="none" w:sz="0" w:space="0" w:color="auto"/>
        <w:left w:val="none" w:sz="0" w:space="0" w:color="auto"/>
        <w:bottom w:val="none" w:sz="0" w:space="0" w:color="auto"/>
        <w:right w:val="none" w:sz="0" w:space="0" w:color="auto"/>
      </w:divBdr>
    </w:div>
    <w:div w:id="910000049">
      <w:bodyDiv w:val="1"/>
      <w:marLeft w:val="0"/>
      <w:marRight w:val="0"/>
      <w:marTop w:val="0"/>
      <w:marBottom w:val="0"/>
      <w:divBdr>
        <w:top w:val="none" w:sz="0" w:space="0" w:color="auto"/>
        <w:left w:val="none" w:sz="0" w:space="0" w:color="auto"/>
        <w:bottom w:val="none" w:sz="0" w:space="0" w:color="auto"/>
        <w:right w:val="none" w:sz="0" w:space="0" w:color="auto"/>
      </w:divBdr>
    </w:div>
    <w:div w:id="911039071">
      <w:bodyDiv w:val="1"/>
      <w:marLeft w:val="0"/>
      <w:marRight w:val="0"/>
      <w:marTop w:val="0"/>
      <w:marBottom w:val="0"/>
      <w:divBdr>
        <w:top w:val="none" w:sz="0" w:space="0" w:color="auto"/>
        <w:left w:val="none" w:sz="0" w:space="0" w:color="auto"/>
        <w:bottom w:val="none" w:sz="0" w:space="0" w:color="auto"/>
        <w:right w:val="none" w:sz="0" w:space="0" w:color="auto"/>
      </w:divBdr>
    </w:div>
    <w:div w:id="911353260">
      <w:bodyDiv w:val="1"/>
      <w:marLeft w:val="0"/>
      <w:marRight w:val="0"/>
      <w:marTop w:val="0"/>
      <w:marBottom w:val="0"/>
      <w:divBdr>
        <w:top w:val="none" w:sz="0" w:space="0" w:color="auto"/>
        <w:left w:val="none" w:sz="0" w:space="0" w:color="auto"/>
        <w:bottom w:val="none" w:sz="0" w:space="0" w:color="auto"/>
        <w:right w:val="none" w:sz="0" w:space="0" w:color="auto"/>
      </w:divBdr>
    </w:div>
    <w:div w:id="912396501">
      <w:bodyDiv w:val="1"/>
      <w:marLeft w:val="0"/>
      <w:marRight w:val="0"/>
      <w:marTop w:val="0"/>
      <w:marBottom w:val="0"/>
      <w:divBdr>
        <w:top w:val="none" w:sz="0" w:space="0" w:color="auto"/>
        <w:left w:val="none" w:sz="0" w:space="0" w:color="auto"/>
        <w:bottom w:val="none" w:sz="0" w:space="0" w:color="auto"/>
        <w:right w:val="none" w:sz="0" w:space="0" w:color="auto"/>
      </w:divBdr>
    </w:div>
    <w:div w:id="912472665">
      <w:bodyDiv w:val="1"/>
      <w:marLeft w:val="0"/>
      <w:marRight w:val="0"/>
      <w:marTop w:val="0"/>
      <w:marBottom w:val="0"/>
      <w:divBdr>
        <w:top w:val="none" w:sz="0" w:space="0" w:color="auto"/>
        <w:left w:val="none" w:sz="0" w:space="0" w:color="auto"/>
        <w:bottom w:val="none" w:sz="0" w:space="0" w:color="auto"/>
        <w:right w:val="none" w:sz="0" w:space="0" w:color="auto"/>
      </w:divBdr>
    </w:div>
    <w:div w:id="913708330">
      <w:bodyDiv w:val="1"/>
      <w:marLeft w:val="0"/>
      <w:marRight w:val="0"/>
      <w:marTop w:val="0"/>
      <w:marBottom w:val="0"/>
      <w:divBdr>
        <w:top w:val="none" w:sz="0" w:space="0" w:color="auto"/>
        <w:left w:val="none" w:sz="0" w:space="0" w:color="auto"/>
        <w:bottom w:val="none" w:sz="0" w:space="0" w:color="auto"/>
        <w:right w:val="none" w:sz="0" w:space="0" w:color="auto"/>
      </w:divBdr>
    </w:div>
    <w:div w:id="913853445">
      <w:bodyDiv w:val="1"/>
      <w:marLeft w:val="0"/>
      <w:marRight w:val="0"/>
      <w:marTop w:val="0"/>
      <w:marBottom w:val="0"/>
      <w:divBdr>
        <w:top w:val="none" w:sz="0" w:space="0" w:color="auto"/>
        <w:left w:val="none" w:sz="0" w:space="0" w:color="auto"/>
        <w:bottom w:val="none" w:sz="0" w:space="0" w:color="auto"/>
        <w:right w:val="none" w:sz="0" w:space="0" w:color="auto"/>
      </w:divBdr>
    </w:div>
    <w:div w:id="914045204">
      <w:bodyDiv w:val="1"/>
      <w:marLeft w:val="0"/>
      <w:marRight w:val="0"/>
      <w:marTop w:val="0"/>
      <w:marBottom w:val="0"/>
      <w:divBdr>
        <w:top w:val="none" w:sz="0" w:space="0" w:color="auto"/>
        <w:left w:val="none" w:sz="0" w:space="0" w:color="auto"/>
        <w:bottom w:val="none" w:sz="0" w:space="0" w:color="auto"/>
        <w:right w:val="none" w:sz="0" w:space="0" w:color="auto"/>
      </w:divBdr>
    </w:div>
    <w:div w:id="914362088">
      <w:bodyDiv w:val="1"/>
      <w:marLeft w:val="0"/>
      <w:marRight w:val="0"/>
      <w:marTop w:val="0"/>
      <w:marBottom w:val="0"/>
      <w:divBdr>
        <w:top w:val="none" w:sz="0" w:space="0" w:color="auto"/>
        <w:left w:val="none" w:sz="0" w:space="0" w:color="auto"/>
        <w:bottom w:val="none" w:sz="0" w:space="0" w:color="auto"/>
        <w:right w:val="none" w:sz="0" w:space="0" w:color="auto"/>
      </w:divBdr>
    </w:div>
    <w:div w:id="914365863">
      <w:bodyDiv w:val="1"/>
      <w:marLeft w:val="0"/>
      <w:marRight w:val="0"/>
      <w:marTop w:val="0"/>
      <w:marBottom w:val="0"/>
      <w:divBdr>
        <w:top w:val="none" w:sz="0" w:space="0" w:color="auto"/>
        <w:left w:val="none" w:sz="0" w:space="0" w:color="auto"/>
        <w:bottom w:val="none" w:sz="0" w:space="0" w:color="auto"/>
        <w:right w:val="none" w:sz="0" w:space="0" w:color="auto"/>
      </w:divBdr>
    </w:div>
    <w:div w:id="915166142">
      <w:bodyDiv w:val="1"/>
      <w:marLeft w:val="0"/>
      <w:marRight w:val="0"/>
      <w:marTop w:val="0"/>
      <w:marBottom w:val="0"/>
      <w:divBdr>
        <w:top w:val="none" w:sz="0" w:space="0" w:color="auto"/>
        <w:left w:val="none" w:sz="0" w:space="0" w:color="auto"/>
        <w:bottom w:val="none" w:sz="0" w:space="0" w:color="auto"/>
        <w:right w:val="none" w:sz="0" w:space="0" w:color="auto"/>
      </w:divBdr>
    </w:div>
    <w:div w:id="915241119">
      <w:bodyDiv w:val="1"/>
      <w:marLeft w:val="0"/>
      <w:marRight w:val="0"/>
      <w:marTop w:val="0"/>
      <w:marBottom w:val="0"/>
      <w:divBdr>
        <w:top w:val="none" w:sz="0" w:space="0" w:color="auto"/>
        <w:left w:val="none" w:sz="0" w:space="0" w:color="auto"/>
        <w:bottom w:val="none" w:sz="0" w:space="0" w:color="auto"/>
        <w:right w:val="none" w:sz="0" w:space="0" w:color="auto"/>
      </w:divBdr>
    </w:div>
    <w:div w:id="915477125">
      <w:bodyDiv w:val="1"/>
      <w:marLeft w:val="0"/>
      <w:marRight w:val="0"/>
      <w:marTop w:val="0"/>
      <w:marBottom w:val="0"/>
      <w:divBdr>
        <w:top w:val="none" w:sz="0" w:space="0" w:color="auto"/>
        <w:left w:val="none" w:sz="0" w:space="0" w:color="auto"/>
        <w:bottom w:val="none" w:sz="0" w:space="0" w:color="auto"/>
        <w:right w:val="none" w:sz="0" w:space="0" w:color="auto"/>
      </w:divBdr>
    </w:div>
    <w:div w:id="915624764">
      <w:bodyDiv w:val="1"/>
      <w:marLeft w:val="0"/>
      <w:marRight w:val="0"/>
      <w:marTop w:val="0"/>
      <w:marBottom w:val="0"/>
      <w:divBdr>
        <w:top w:val="none" w:sz="0" w:space="0" w:color="auto"/>
        <w:left w:val="none" w:sz="0" w:space="0" w:color="auto"/>
        <w:bottom w:val="none" w:sz="0" w:space="0" w:color="auto"/>
        <w:right w:val="none" w:sz="0" w:space="0" w:color="auto"/>
      </w:divBdr>
    </w:div>
    <w:div w:id="915825422">
      <w:bodyDiv w:val="1"/>
      <w:marLeft w:val="0"/>
      <w:marRight w:val="0"/>
      <w:marTop w:val="0"/>
      <w:marBottom w:val="0"/>
      <w:divBdr>
        <w:top w:val="none" w:sz="0" w:space="0" w:color="auto"/>
        <w:left w:val="none" w:sz="0" w:space="0" w:color="auto"/>
        <w:bottom w:val="none" w:sz="0" w:space="0" w:color="auto"/>
        <w:right w:val="none" w:sz="0" w:space="0" w:color="auto"/>
      </w:divBdr>
    </w:div>
    <w:div w:id="916016058">
      <w:bodyDiv w:val="1"/>
      <w:marLeft w:val="0"/>
      <w:marRight w:val="0"/>
      <w:marTop w:val="0"/>
      <w:marBottom w:val="0"/>
      <w:divBdr>
        <w:top w:val="none" w:sz="0" w:space="0" w:color="auto"/>
        <w:left w:val="none" w:sz="0" w:space="0" w:color="auto"/>
        <w:bottom w:val="none" w:sz="0" w:space="0" w:color="auto"/>
        <w:right w:val="none" w:sz="0" w:space="0" w:color="auto"/>
      </w:divBdr>
    </w:div>
    <w:div w:id="916524962">
      <w:bodyDiv w:val="1"/>
      <w:marLeft w:val="0"/>
      <w:marRight w:val="0"/>
      <w:marTop w:val="0"/>
      <w:marBottom w:val="0"/>
      <w:divBdr>
        <w:top w:val="none" w:sz="0" w:space="0" w:color="auto"/>
        <w:left w:val="none" w:sz="0" w:space="0" w:color="auto"/>
        <w:bottom w:val="none" w:sz="0" w:space="0" w:color="auto"/>
        <w:right w:val="none" w:sz="0" w:space="0" w:color="auto"/>
      </w:divBdr>
    </w:div>
    <w:div w:id="916673929">
      <w:bodyDiv w:val="1"/>
      <w:marLeft w:val="0"/>
      <w:marRight w:val="0"/>
      <w:marTop w:val="0"/>
      <w:marBottom w:val="0"/>
      <w:divBdr>
        <w:top w:val="none" w:sz="0" w:space="0" w:color="auto"/>
        <w:left w:val="none" w:sz="0" w:space="0" w:color="auto"/>
        <w:bottom w:val="none" w:sz="0" w:space="0" w:color="auto"/>
        <w:right w:val="none" w:sz="0" w:space="0" w:color="auto"/>
      </w:divBdr>
    </w:div>
    <w:div w:id="916859525">
      <w:bodyDiv w:val="1"/>
      <w:marLeft w:val="0"/>
      <w:marRight w:val="0"/>
      <w:marTop w:val="0"/>
      <w:marBottom w:val="0"/>
      <w:divBdr>
        <w:top w:val="none" w:sz="0" w:space="0" w:color="auto"/>
        <w:left w:val="none" w:sz="0" w:space="0" w:color="auto"/>
        <w:bottom w:val="none" w:sz="0" w:space="0" w:color="auto"/>
        <w:right w:val="none" w:sz="0" w:space="0" w:color="auto"/>
      </w:divBdr>
    </w:div>
    <w:div w:id="916869122">
      <w:bodyDiv w:val="1"/>
      <w:marLeft w:val="0"/>
      <w:marRight w:val="0"/>
      <w:marTop w:val="0"/>
      <w:marBottom w:val="0"/>
      <w:divBdr>
        <w:top w:val="none" w:sz="0" w:space="0" w:color="auto"/>
        <w:left w:val="none" w:sz="0" w:space="0" w:color="auto"/>
        <w:bottom w:val="none" w:sz="0" w:space="0" w:color="auto"/>
        <w:right w:val="none" w:sz="0" w:space="0" w:color="auto"/>
      </w:divBdr>
    </w:div>
    <w:div w:id="916938331">
      <w:bodyDiv w:val="1"/>
      <w:marLeft w:val="0"/>
      <w:marRight w:val="0"/>
      <w:marTop w:val="0"/>
      <w:marBottom w:val="0"/>
      <w:divBdr>
        <w:top w:val="none" w:sz="0" w:space="0" w:color="auto"/>
        <w:left w:val="none" w:sz="0" w:space="0" w:color="auto"/>
        <w:bottom w:val="none" w:sz="0" w:space="0" w:color="auto"/>
        <w:right w:val="none" w:sz="0" w:space="0" w:color="auto"/>
      </w:divBdr>
    </w:div>
    <w:div w:id="917397122">
      <w:bodyDiv w:val="1"/>
      <w:marLeft w:val="0"/>
      <w:marRight w:val="0"/>
      <w:marTop w:val="0"/>
      <w:marBottom w:val="0"/>
      <w:divBdr>
        <w:top w:val="none" w:sz="0" w:space="0" w:color="auto"/>
        <w:left w:val="none" w:sz="0" w:space="0" w:color="auto"/>
        <w:bottom w:val="none" w:sz="0" w:space="0" w:color="auto"/>
        <w:right w:val="none" w:sz="0" w:space="0" w:color="auto"/>
      </w:divBdr>
    </w:div>
    <w:div w:id="918369075">
      <w:bodyDiv w:val="1"/>
      <w:marLeft w:val="0"/>
      <w:marRight w:val="0"/>
      <w:marTop w:val="0"/>
      <w:marBottom w:val="0"/>
      <w:divBdr>
        <w:top w:val="none" w:sz="0" w:space="0" w:color="auto"/>
        <w:left w:val="none" w:sz="0" w:space="0" w:color="auto"/>
        <w:bottom w:val="none" w:sz="0" w:space="0" w:color="auto"/>
        <w:right w:val="none" w:sz="0" w:space="0" w:color="auto"/>
      </w:divBdr>
    </w:div>
    <w:div w:id="918714467">
      <w:bodyDiv w:val="1"/>
      <w:marLeft w:val="0"/>
      <w:marRight w:val="0"/>
      <w:marTop w:val="0"/>
      <w:marBottom w:val="0"/>
      <w:divBdr>
        <w:top w:val="none" w:sz="0" w:space="0" w:color="auto"/>
        <w:left w:val="none" w:sz="0" w:space="0" w:color="auto"/>
        <w:bottom w:val="none" w:sz="0" w:space="0" w:color="auto"/>
        <w:right w:val="none" w:sz="0" w:space="0" w:color="auto"/>
      </w:divBdr>
    </w:div>
    <w:div w:id="919097000">
      <w:bodyDiv w:val="1"/>
      <w:marLeft w:val="0"/>
      <w:marRight w:val="0"/>
      <w:marTop w:val="0"/>
      <w:marBottom w:val="0"/>
      <w:divBdr>
        <w:top w:val="none" w:sz="0" w:space="0" w:color="auto"/>
        <w:left w:val="none" w:sz="0" w:space="0" w:color="auto"/>
        <w:bottom w:val="none" w:sz="0" w:space="0" w:color="auto"/>
        <w:right w:val="none" w:sz="0" w:space="0" w:color="auto"/>
      </w:divBdr>
    </w:div>
    <w:div w:id="919755739">
      <w:bodyDiv w:val="1"/>
      <w:marLeft w:val="0"/>
      <w:marRight w:val="0"/>
      <w:marTop w:val="0"/>
      <w:marBottom w:val="0"/>
      <w:divBdr>
        <w:top w:val="none" w:sz="0" w:space="0" w:color="auto"/>
        <w:left w:val="none" w:sz="0" w:space="0" w:color="auto"/>
        <w:bottom w:val="none" w:sz="0" w:space="0" w:color="auto"/>
        <w:right w:val="none" w:sz="0" w:space="0" w:color="auto"/>
      </w:divBdr>
    </w:div>
    <w:div w:id="919799751">
      <w:bodyDiv w:val="1"/>
      <w:marLeft w:val="0"/>
      <w:marRight w:val="0"/>
      <w:marTop w:val="0"/>
      <w:marBottom w:val="0"/>
      <w:divBdr>
        <w:top w:val="none" w:sz="0" w:space="0" w:color="auto"/>
        <w:left w:val="none" w:sz="0" w:space="0" w:color="auto"/>
        <w:bottom w:val="none" w:sz="0" w:space="0" w:color="auto"/>
        <w:right w:val="none" w:sz="0" w:space="0" w:color="auto"/>
      </w:divBdr>
    </w:div>
    <w:div w:id="923227295">
      <w:bodyDiv w:val="1"/>
      <w:marLeft w:val="0"/>
      <w:marRight w:val="0"/>
      <w:marTop w:val="0"/>
      <w:marBottom w:val="0"/>
      <w:divBdr>
        <w:top w:val="none" w:sz="0" w:space="0" w:color="auto"/>
        <w:left w:val="none" w:sz="0" w:space="0" w:color="auto"/>
        <w:bottom w:val="none" w:sz="0" w:space="0" w:color="auto"/>
        <w:right w:val="none" w:sz="0" w:space="0" w:color="auto"/>
      </w:divBdr>
    </w:div>
    <w:div w:id="924070636">
      <w:bodyDiv w:val="1"/>
      <w:marLeft w:val="0"/>
      <w:marRight w:val="0"/>
      <w:marTop w:val="0"/>
      <w:marBottom w:val="0"/>
      <w:divBdr>
        <w:top w:val="none" w:sz="0" w:space="0" w:color="auto"/>
        <w:left w:val="none" w:sz="0" w:space="0" w:color="auto"/>
        <w:bottom w:val="none" w:sz="0" w:space="0" w:color="auto"/>
        <w:right w:val="none" w:sz="0" w:space="0" w:color="auto"/>
      </w:divBdr>
    </w:div>
    <w:div w:id="924074687">
      <w:bodyDiv w:val="1"/>
      <w:marLeft w:val="0"/>
      <w:marRight w:val="0"/>
      <w:marTop w:val="0"/>
      <w:marBottom w:val="0"/>
      <w:divBdr>
        <w:top w:val="none" w:sz="0" w:space="0" w:color="auto"/>
        <w:left w:val="none" w:sz="0" w:space="0" w:color="auto"/>
        <w:bottom w:val="none" w:sz="0" w:space="0" w:color="auto"/>
        <w:right w:val="none" w:sz="0" w:space="0" w:color="auto"/>
      </w:divBdr>
    </w:div>
    <w:div w:id="924462840">
      <w:bodyDiv w:val="1"/>
      <w:marLeft w:val="0"/>
      <w:marRight w:val="0"/>
      <w:marTop w:val="0"/>
      <w:marBottom w:val="0"/>
      <w:divBdr>
        <w:top w:val="none" w:sz="0" w:space="0" w:color="auto"/>
        <w:left w:val="none" w:sz="0" w:space="0" w:color="auto"/>
        <w:bottom w:val="none" w:sz="0" w:space="0" w:color="auto"/>
        <w:right w:val="none" w:sz="0" w:space="0" w:color="auto"/>
      </w:divBdr>
    </w:div>
    <w:div w:id="924531734">
      <w:bodyDiv w:val="1"/>
      <w:marLeft w:val="0"/>
      <w:marRight w:val="0"/>
      <w:marTop w:val="0"/>
      <w:marBottom w:val="0"/>
      <w:divBdr>
        <w:top w:val="none" w:sz="0" w:space="0" w:color="auto"/>
        <w:left w:val="none" w:sz="0" w:space="0" w:color="auto"/>
        <w:bottom w:val="none" w:sz="0" w:space="0" w:color="auto"/>
        <w:right w:val="none" w:sz="0" w:space="0" w:color="auto"/>
      </w:divBdr>
    </w:div>
    <w:div w:id="925531962">
      <w:bodyDiv w:val="1"/>
      <w:marLeft w:val="0"/>
      <w:marRight w:val="0"/>
      <w:marTop w:val="0"/>
      <w:marBottom w:val="0"/>
      <w:divBdr>
        <w:top w:val="none" w:sz="0" w:space="0" w:color="auto"/>
        <w:left w:val="none" w:sz="0" w:space="0" w:color="auto"/>
        <w:bottom w:val="none" w:sz="0" w:space="0" w:color="auto"/>
        <w:right w:val="none" w:sz="0" w:space="0" w:color="auto"/>
      </w:divBdr>
    </w:div>
    <w:div w:id="925722988">
      <w:bodyDiv w:val="1"/>
      <w:marLeft w:val="0"/>
      <w:marRight w:val="0"/>
      <w:marTop w:val="0"/>
      <w:marBottom w:val="0"/>
      <w:divBdr>
        <w:top w:val="none" w:sz="0" w:space="0" w:color="auto"/>
        <w:left w:val="none" w:sz="0" w:space="0" w:color="auto"/>
        <w:bottom w:val="none" w:sz="0" w:space="0" w:color="auto"/>
        <w:right w:val="none" w:sz="0" w:space="0" w:color="auto"/>
      </w:divBdr>
    </w:div>
    <w:div w:id="926035634">
      <w:bodyDiv w:val="1"/>
      <w:marLeft w:val="0"/>
      <w:marRight w:val="0"/>
      <w:marTop w:val="0"/>
      <w:marBottom w:val="0"/>
      <w:divBdr>
        <w:top w:val="none" w:sz="0" w:space="0" w:color="auto"/>
        <w:left w:val="none" w:sz="0" w:space="0" w:color="auto"/>
        <w:bottom w:val="none" w:sz="0" w:space="0" w:color="auto"/>
        <w:right w:val="none" w:sz="0" w:space="0" w:color="auto"/>
      </w:divBdr>
    </w:div>
    <w:div w:id="926305918">
      <w:bodyDiv w:val="1"/>
      <w:marLeft w:val="0"/>
      <w:marRight w:val="0"/>
      <w:marTop w:val="0"/>
      <w:marBottom w:val="0"/>
      <w:divBdr>
        <w:top w:val="none" w:sz="0" w:space="0" w:color="auto"/>
        <w:left w:val="none" w:sz="0" w:space="0" w:color="auto"/>
        <w:bottom w:val="none" w:sz="0" w:space="0" w:color="auto"/>
        <w:right w:val="none" w:sz="0" w:space="0" w:color="auto"/>
      </w:divBdr>
    </w:div>
    <w:div w:id="926571609">
      <w:bodyDiv w:val="1"/>
      <w:marLeft w:val="0"/>
      <w:marRight w:val="0"/>
      <w:marTop w:val="0"/>
      <w:marBottom w:val="0"/>
      <w:divBdr>
        <w:top w:val="none" w:sz="0" w:space="0" w:color="auto"/>
        <w:left w:val="none" w:sz="0" w:space="0" w:color="auto"/>
        <w:bottom w:val="none" w:sz="0" w:space="0" w:color="auto"/>
        <w:right w:val="none" w:sz="0" w:space="0" w:color="auto"/>
      </w:divBdr>
    </w:div>
    <w:div w:id="927231219">
      <w:bodyDiv w:val="1"/>
      <w:marLeft w:val="0"/>
      <w:marRight w:val="0"/>
      <w:marTop w:val="0"/>
      <w:marBottom w:val="0"/>
      <w:divBdr>
        <w:top w:val="none" w:sz="0" w:space="0" w:color="auto"/>
        <w:left w:val="none" w:sz="0" w:space="0" w:color="auto"/>
        <w:bottom w:val="none" w:sz="0" w:space="0" w:color="auto"/>
        <w:right w:val="none" w:sz="0" w:space="0" w:color="auto"/>
      </w:divBdr>
      <w:divsChild>
        <w:div w:id="1958024779">
          <w:marLeft w:val="480"/>
          <w:marRight w:val="0"/>
          <w:marTop w:val="0"/>
          <w:marBottom w:val="0"/>
          <w:divBdr>
            <w:top w:val="none" w:sz="0" w:space="0" w:color="auto"/>
            <w:left w:val="none" w:sz="0" w:space="0" w:color="auto"/>
            <w:bottom w:val="none" w:sz="0" w:space="0" w:color="auto"/>
            <w:right w:val="none" w:sz="0" w:space="0" w:color="auto"/>
          </w:divBdr>
          <w:divsChild>
            <w:div w:id="9043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33287">
      <w:bodyDiv w:val="1"/>
      <w:marLeft w:val="0"/>
      <w:marRight w:val="0"/>
      <w:marTop w:val="0"/>
      <w:marBottom w:val="0"/>
      <w:divBdr>
        <w:top w:val="none" w:sz="0" w:space="0" w:color="auto"/>
        <w:left w:val="none" w:sz="0" w:space="0" w:color="auto"/>
        <w:bottom w:val="none" w:sz="0" w:space="0" w:color="auto"/>
        <w:right w:val="none" w:sz="0" w:space="0" w:color="auto"/>
      </w:divBdr>
    </w:div>
    <w:div w:id="928123964">
      <w:bodyDiv w:val="1"/>
      <w:marLeft w:val="0"/>
      <w:marRight w:val="0"/>
      <w:marTop w:val="0"/>
      <w:marBottom w:val="0"/>
      <w:divBdr>
        <w:top w:val="none" w:sz="0" w:space="0" w:color="auto"/>
        <w:left w:val="none" w:sz="0" w:space="0" w:color="auto"/>
        <w:bottom w:val="none" w:sz="0" w:space="0" w:color="auto"/>
        <w:right w:val="none" w:sz="0" w:space="0" w:color="auto"/>
      </w:divBdr>
    </w:div>
    <w:div w:id="928343099">
      <w:bodyDiv w:val="1"/>
      <w:marLeft w:val="0"/>
      <w:marRight w:val="0"/>
      <w:marTop w:val="0"/>
      <w:marBottom w:val="0"/>
      <w:divBdr>
        <w:top w:val="none" w:sz="0" w:space="0" w:color="auto"/>
        <w:left w:val="none" w:sz="0" w:space="0" w:color="auto"/>
        <w:bottom w:val="none" w:sz="0" w:space="0" w:color="auto"/>
        <w:right w:val="none" w:sz="0" w:space="0" w:color="auto"/>
      </w:divBdr>
    </w:div>
    <w:div w:id="930242077">
      <w:bodyDiv w:val="1"/>
      <w:marLeft w:val="0"/>
      <w:marRight w:val="0"/>
      <w:marTop w:val="0"/>
      <w:marBottom w:val="0"/>
      <w:divBdr>
        <w:top w:val="none" w:sz="0" w:space="0" w:color="auto"/>
        <w:left w:val="none" w:sz="0" w:space="0" w:color="auto"/>
        <w:bottom w:val="none" w:sz="0" w:space="0" w:color="auto"/>
        <w:right w:val="none" w:sz="0" w:space="0" w:color="auto"/>
      </w:divBdr>
    </w:div>
    <w:div w:id="930627001">
      <w:bodyDiv w:val="1"/>
      <w:marLeft w:val="0"/>
      <w:marRight w:val="0"/>
      <w:marTop w:val="0"/>
      <w:marBottom w:val="0"/>
      <w:divBdr>
        <w:top w:val="none" w:sz="0" w:space="0" w:color="auto"/>
        <w:left w:val="none" w:sz="0" w:space="0" w:color="auto"/>
        <w:bottom w:val="none" w:sz="0" w:space="0" w:color="auto"/>
        <w:right w:val="none" w:sz="0" w:space="0" w:color="auto"/>
      </w:divBdr>
    </w:div>
    <w:div w:id="930939223">
      <w:bodyDiv w:val="1"/>
      <w:marLeft w:val="0"/>
      <w:marRight w:val="0"/>
      <w:marTop w:val="0"/>
      <w:marBottom w:val="0"/>
      <w:divBdr>
        <w:top w:val="none" w:sz="0" w:space="0" w:color="auto"/>
        <w:left w:val="none" w:sz="0" w:space="0" w:color="auto"/>
        <w:bottom w:val="none" w:sz="0" w:space="0" w:color="auto"/>
        <w:right w:val="none" w:sz="0" w:space="0" w:color="auto"/>
      </w:divBdr>
    </w:div>
    <w:div w:id="931162045">
      <w:bodyDiv w:val="1"/>
      <w:marLeft w:val="0"/>
      <w:marRight w:val="0"/>
      <w:marTop w:val="0"/>
      <w:marBottom w:val="0"/>
      <w:divBdr>
        <w:top w:val="none" w:sz="0" w:space="0" w:color="auto"/>
        <w:left w:val="none" w:sz="0" w:space="0" w:color="auto"/>
        <w:bottom w:val="none" w:sz="0" w:space="0" w:color="auto"/>
        <w:right w:val="none" w:sz="0" w:space="0" w:color="auto"/>
      </w:divBdr>
    </w:div>
    <w:div w:id="931205549">
      <w:bodyDiv w:val="1"/>
      <w:marLeft w:val="0"/>
      <w:marRight w:val="0"/>
      <w:marTop w:val="0"/>
      <w:marBottom w:val="0"/>
      <w:divBdr>
        <w:top w:val="none" w:sz="0" w:space="0" w:color="auto"/>
        <w:left w:val="none" w:sz="0" w:space="0" w:color="auto"/>
        <w:bottom w:val="none" w:sz="0" w:space="0" w:color="auto"/>
        <w:right w:val="none" w:sz="0" w:space="0" w:color="auto"/>
      </w:divBdr>
    </w:div>
    <w:div w:id="931933661">
      <w:bodyDiv w:val="1"/>
      <w:marLeft w:val="0"/>
      <w:marRight w:val="0"/>
      <w:marTop w:val="0"/>
      <w:marBottom w:val="0"/>
      <w:divBdr>
        <w:top w:val="none" w:sz="0" w:space="0" w:color="auto"/>
        <w:left w:val="none" w:sz="0" w:space="0" w:color="auto"/>
        <w:bottom w:val="none" w:sz="0" w:space="0" w:color="auto"/>
        <w:right w:val="none" w:sz="0" w:space="0" w:color="auto"/>
      </w:divBdr>
    </w:div>
    <w:div w:id="932593620">
      <w:bodyDiv w:val="1"/>
      <w:marLeft w:val="0"/>
      <w:marRight w:val="0"/>
      <w:marTop w:val="0"/>
      <w:marBottom w:val="0"/>
      <w:divBdr>
        <w:top w:val="none" w:sz="0" w:space="0" w:color="auto"/>
        <w:left w:val="none" w:sz="0" w:space="0" w:color="auto"/>
        <w:bottom w:val="none" w:sz="0" w:space="0" w:color="auto"/>
        <w:right w:val="none" w:sz="0" w:space="0" w:color="auto"/>
      </w:divBdr>
    </w:div>
    <w:div w:id="932736909">
      <w:bodyDiv w:val="1"/>
      <w:marLeft w:val="0"/>
      <w:marRight w:val="0"/>
      <w:marTop w:val="0"/>
      <w:marBottom w:val="0"/>
      <w:divBdr>
        <w:top w:val="none" w:sz="0" w:space="0" w:color="auto"/>
        <w:left w:val="none" w:sz="0" w:space="0" w:color="auto"/>
        <w:bottom w:val="none" w:sz="0" w:space="0" w:color="auto"/>
        <w:right w:val="none" w:sz="0" w:space="0" w:color="auto"/>
      </w:divBdr>
    </w:div>
    <w:div w:id="932782209">
      <w:bodyDiv w:val="1"/>
      <w:marLeft w:val="0"/>
      <w:marRight w:val="0"/>
      <w:marTop w:val="0"/>
      <w:marBottom w:val="0"/>
      <w:divBdr>
        <w:top w:val="none" w:sz="0" w:space="0" w:color="auto"/>
        <w:left w:val="none" w:sz="0" w:space="0" w:color="auto"/>
        <w:bottom w:val="none" w:sz="0" w:space="0" w:color="auto"/>
        <w:right w:val="none" w:sz="0" w:space="0" w:color="auto"/>
      </w:divBdr>
    </w:div>
    <w:div w:id="933246439">
      <w:bodyDiv w:val="1"/>
      <w:marLeft w:val="0"/>
      <w:marRight w:val="0"/>
      <w:marTop w:val="0"/>
      <w:marBottom w:val="0"/>
      <w:divBdr>
        <w:top w:val="none" w:sz="0" w:space="0" w:color="auto"/>
        <w:left w:val="none" w:sz="0" w:space="0" w:color="auto"/>
        <w:bottom w:val="none" w:sz="0" w:space="0" w:color="auto"/>
        <w:right w:val="none" w:sz="0" w:space="0" w:color="auto"/>
      </w:divBdr>
    </w:div>
    <w:div w:id="935865927">
      <w:bodyDiv w:val="1"/>
      <w:marLeft w:val="0"/>
      <w:marRight w:val="0"/>
      <w:marTop w:val="0"/>
      <w:marBottom w:val="0"/>
      <w:divBdr>
        <w:top w:val="none" w:sz="0" w:space="0" w:color="auto"/>
        <w:left w:val="none" w:sz="0" w:space="0" w:color="auto"/>
        <w:bottom w:val="none" w:sz="0" w:space="0" w:color="auto"/>
        <w:right w:val="none" w:sz="0" w:space="0" w:color="auto"/>
      </w:divBdr>
    </w:div>
    <w:div w:id="935940321">
      <w:bodyDiv w:val="1"/>
      <w:marLeft w:val="0"/>
      <w:marRight w:val="0"/>
      <w:marTop w:val="0"/>
      <w:marBottom w:val="0"/>
      <w:divBdr>
        <w:top w:val="none" w:sz="0" w:space="0" w:color="auto"/>
        <w:left w:val="none" w:sz="0" w:space="0" w:color="auto"/>
        <w:bottom w:val="none" w:sz="0" w:space="0" w:color="auto"/>
        <w:right w:val="none" w:sz="0" w:space="0" w:color="auto"/>
      </w:divBdr>
    </w:div>
    <w:div w:id="936986219">
      <w:bodyDiv w:val="1"/>
      <w:marLeft w:val="0"/>
      <w:marRight w:val="0"/>
      <w:marTop w:val="0"/>
      <w:marBottom w:val="0"/>
      <w:divBdr>
        <w:top w:val="none" w:sz="0" w:space="0" w:color="auto"/>
        <w:left w:val="none" w:sz="0" w:space="0" w:color="auto"/>
        <w:bottom w:val="none" w:sz="0" w:space="0" w:color="auto"/>
        <w:right w:val="none" w:sz="0" w:space="0" w:color="auto"/>
      </w:divBdr>
    </w:div>
    <w:div w:id="937101544">
      <w:bodyDiv w:val="1"/>
      <w:marLeft w:val="0"/>
      <w:marRight w:val="0"/>
      <w:marTop w:val="0"/>
      <w:marBottom w:val="0"/>
      <w:divBdr>
        <w:top w:val="none" w:sz="0" w:space="0" w:color="auto"/>
        <w:left w:val="none" w:sz="0" w:space="0" w:color="auto"/>
        <w:bottom w:val="none" w:sz="0" w:space="0" w:color="auto"/>
        <w:right w:val="none" w:sz="0" w:space="0" w:color="auto"/>
      </w:divBdr>
    </w:div>
    <w:div w:id="937447702">
      <w:bodyDiv w:val="1"/>
      <w:marLeft w:val="0"/>
      <w:marRight w:val="0"/>
      <w:marTop w:val="0"/>
      <w:marBottom w:val="0"/>
      <w:divBdr>
        <w:top w:val="none" w:sz="0" w:space="0" w:color="auto"/>
        <w:left w:val="none" w:sz="0" w:space="0" w:color="auto"/>
        <w:bottom w:val="none" w:sz="0" w:space="0" w:color="auto"/>
        <w:right w:val="none" w:sz="0" w:space="0" w:color="auto"/>
      </w:divBdr>
    </w:div>
    <w:div w:id="937828326">
      <w:bodyDiv w:val="1"/>
      <w:marLeft w:val="0"/>
      <w:marRight w:val="0"/>
      <w:marTop w:val="0"/>
      <w:marBottom w:val="0"/>
      <w:divBdr>
        <w:top w:val="none" w:sz="0" w:space="0" w:color="auto"/>
        <w:left w:val="none" w:sz="0" w:space="0" w:color="auto"/>
        <w:bottom w:val="none" w:sz="0" w:space="0" w:color="auto"/>
        <w:right w:val="none" w:sz="0" w:space="0" w:color="auto"/>
      </w:divBdr>
    </w:div>
    <w:div w:id="938492492">
      <w:bodyDiv w:val="1"/>
      <w:marLeft w:val="0"/>
      <w:marRight w:val="0"/>
      <w:marTop w:val="0"/>
      <w:marBottom w:val="0"/>
      <w:divBdr>
        <w:top w:val="none" w:sz="0" w:space="0" w:color="auto"/>
        <w:left w:val="none" w:sz="0" w:space="0" w:color="auto"/>
        <w:bottom w:val="none" w:sz="0" w:space="0" w:color="auto"/>
        <w:right w:val="none" w:sz="0" w:space="0" w:color="auto"/>
      </w:divBdr>
    </w:div>
    <w:div w:id="941450704">
      <w:bodyDiv w:val="1"/>
      <w:marLeft w:val="0"/>
      <w:marRight w:val="0"/>
      <w:marTop w:val="0"/>
      <w:marBottom w:val="0"/>
      <w:divBdr>
        <w:top w:val="none" w:sz="0" w:space="0" w:color="auto"/>
        <w:left w:val="none" w:sz="0" w:space="0" w:color="auto"/>
        <w:bottom w:val="none" w:sz="0" w:space="0" w:color="auto"/>
        <w:right w:val="none" w:sz="0" w:space="0" w:color="auto"/>
      </w:divBdr>
    </w:div>
    <w:div w:id="942764723">
      <w:bodyDiv w:val="1"/>
      <w:marLeft w:val="0"/>
      <w:marRight w:val="0"/>
      <w:marTop w:val="0"/>
      <w:marBottom w:val="0"/>
      <w:divBdr>
        <w:top w:val="none" w:sz="0" w:space="0" w:color="auto"/>
        <w:left w:val="none" w:sz="0" w:space="0" w:color="auto"/>
        <w:bottom w:val="none" w:sz="0" w:space="0" w:color="auto"/>
        <w:right w:val="none" w:sz="0" w:space="0" w:color="auto"/>
      </w:divBdr>
    </w:div>
    <w:div w:id="942958923">
      <w:bodyDiv w:val="1"/>
      <w:marLeft w:val="0"/>
      <w:marRight w:val="0"/>
      <w:marTop w:val="0"/>
      <w:marBottom w:val="0"/>
      <w:divBdr>
        <w:top w:val="none" w:sz="0" w:space="0" w:color="auto"/>
        <w:left w:val="none" w:sz="0" w:space="0" w:color="auto"/>
        <w:bottom w:val="none" w:sz="0" w:space="0" w:color="auto"/>
        <w:right w:val="none" w:sz="0" w:space="0" w:color="auto"/>
      </w:divBdr>
    </w:div>
    <w:div w:id="943727131">
      <w:bodyDiv w:val="1"/>
      <w:marLeft w:val="0"/>
      <w:marRight w:val="0"/>
      <w:marTop w:val="0"/>
      <w:marBottom w:val="0"/>
      <w:divBdr>
        <w:top w:val="none" w:sz="0" w:space="0" w:color="auto"/>
        <w:left w:val="none" w:sz="0" w:space="0" w:color="auto"/>
        <w:bottom w:val="none" w:sz="0" w:space="0" w:color="auto"/>
        <w:right w:val="none" w:sz="0" w:space="0" w:color="auto"/>
      </w:divBdr>
    </w:div>
    <w:div w:id="943921283">
      <w:bodyDiv w:val="1"/>
      <w:marLeft w:val="0"/>
      <w:marRight w:val="0"/>
      <w:marTop w:val="0"/>
      <w:marBottom w:val="0"/>
      <w:divBdr>
        <w:top w:val="none" w:sz="0" w:space="0" w:color="auto"/>
        <w:left w:val="none" w:sz="0" w:space="0" w:color="auto"/>
        <w:bottom w:val="none" w:sz="0" w:space="0" w:color="auto"/>
        <w:right w:val="none" w:sz="0" w:space="0" w:color="auto"/>
      </w:divBdr>
    </w:div>
    <w:div w:id="944118554">
      <w:bodyDiv w:val="1"/>
      <w:marLeft w:val="0"/>
      <w:marRight w:val="0"/>
      <w:marTop w:val="0"/>
      <w:marBottom w:val="0"/>
      <w:divBdr>
        <w:top w:val="none" w:sz="0" w:space="0" w:color="auto"/>
        <w:left w:val="none" w:sz="0" w:space="0" w:color="auto"/>
        <w:bottom w:val="none" w:sz="0" w:space="0" w:color="auto"/>
        <w:right w:val="none" w:sz="0" w:space="0" w:color="auto"/>
      </w:divBdr>
    </w:div>
    <w:div w:id="944265690">
      <w:bodyDiv w:val="1"/>
      <w:marLeft w:val="0"/>
      <w:marRight w:val="0"/>
      <w:marTop w:val="0"/>
      <w:marBottom w:val="0"/>
      <w:divBdr>
        <w:top w:val="none" w:sz="0" w:space="0" w:color="auto"/>
        <w:left w:val="none" w:sz="0" w:space="0" w:color="auto"/>
        <w:bottom w:val="none" w:sz="0" w:space="0" w:color="auto"/>
        <w:right w:val="none" w:sz="0" w:space="0" w:color="auto"/>
      </w:divBdr>
    </w:div>
    <w:div w:id="945187598">
      <w:bodyDiv w:val="1"/>
      <w:marLeft w:val="0"/>
      <w:marRight w:val="0"/>
      <w:marTop w:val="0"/>
      <w:marBottom w:val="0"/>
      <w:divBdr>
        <w:top w:val="none" w:sz="0" w:space="0" w:color="auto"/>
        <w:left w:val="none" w:sz="0" w:space="0" w:color="auto"/>
        <w:bottom w:val="none" w:sz="0" w:space="0" w:color="auto"/>
        <w:right w:val="none" w:sz="0" w:space="0" w:color="auto"/>
      </w:divBdr>
    </w:div>
    <w:div w:id="946155984">
      <w:bodyDiv w:val="1"/>
      <w:marLeft w:val="0"/>
      <w:marRight w:val="0"/>
      <w:marTop w:val="0"/>
      <w:marBottom w:val="0"/>
      <w:divBdr>
        <w:top w:val="none" w:sz="0" w:space="0" w:color="auto"/>
        <w:left w:val="none" w:sz="0" w:space="0" w:color="auto"/>
        <w:bottom w:val="none" w:sz="0" w:space="0" w:color="auto"/>
        <w:right w:val="none" w:sz="0" w:space="0" w:color="auto"/>
      </w:divBdr>
    </w:div>
    <w:div w:id="946352664">
      <w:bodyDiv w:val="1"/>
      <w:marLeft w:val="0"/>
      <w:marRight w:val="0"/>
      <w:marTop w:val="0"/>
      <w:marBottom w:val="0"/>
      <w:divBdr>
        <w:top w:val="none" w:sz="0" w:space="0" w:color="auto"/>
        <w:left w:val="none" w:sz="0" w:space="0" w:color="auto"/>
        <w:bottom w:val="none" w:sz="0" w:space="0" w:color="auto"/>
        <w:right w:val="none" w:sz="0" w:space="0" w:color="auto"/>
      </w:divBdr>
    </w:div>
    <w:div w:id="946429534">
      <w:bodyDiv w:val="1"/>
      <w:marLeft w:val="0"/>
      <w:marRight w:val="0"/>
      <w:marTop w:val="0"/>
      <w:marBottom w:val="0"/>
      <w:divBdr>
        <w:top w:val="none" w:sz="0" w:space="0" w:color="auto"/>
        <w:left w:val="none" w:sz="0" w:space="0" w:color="auto"/>
        <w:bottom w:val="none" w:sz="0" w:space="0" w:color="auto"/>
        <w:right w:val="none" w:sz="0" w:space="0" w:color="auto"/>
      </w:divBdr>
    </w:div>
    <w:div w:id="946734087">
      <w:bodyDiv w:val="1"/>
      <w:marLeft w:val="0"/>
      <w:marRight w:val="0"/>
      <w:marTop w:val="0"/>
      <w:marBottom w:val="0"/>
      <w:divBdr>
        <w:top w:val="none" w:sz="0" w:space="0" w:color="auto"/>
        <w:left w:val="none" w:sz="0" w:space="0" w:color="auto"/>
        <w:bottom w:val="none" w:sz="0" w:space="0" w:color="auto"/>
        <w:right w:val="none" w:sz="0" w:space="0" w:color="auto"/>
      </w:divBdr>
    </w:div>
    <w:div w:id="947659208">
      <w:bodyDiv w:val="1"/>
      <w:marLeft w:val="0"/>
      <w:marRight w:val="0"/>
      <w:marTop w:val="0"/>
      <w:marBottom w:val="0"/>
      <w:divBdr>
        <w:top w:val="none" w:sz="0" w:space="0" w:color="auto"/>
        <w:left w:val="none" w:sz="0" w:space="0" w:color="auto"/>
        <w:bottom w:val="none" w:sz="0" w:space="0" w:color="auto"/>
        <w:right w:val="none" w:sz="0" w:space="0" w:color="auto"/>
      </w:divBdr>
    </w:div>
    <w:div w:id="947735502">
      <w:bodyDiv w:val="1"/>
      <w:marLeft w:val="0"/>
      <w:marRight w:val="0"/>
      <w:marTop w:val="0"/>
      <w:marBottom w:val="0"/>
      <w:divBdr>
        <w:top w:val="none" w:sz="0" w:space="0" w:color="auto"/>
        <w:left w:val="none" w:sz="0" w:space="0" w:color="auto"/>
        <w:bottom w:val="none" w:sz="0" w:space="0" w:color="auto"/>
        <w:right w:val="none" w:sz="0" w:space="0" w:color="auto"/>
      </w:divBdr>
    </w:div>
    <w:div w:id="948320350">
      <w:bodyDiv w:val="1"/>
      <w:marLeft w:val="0"/>
      <w:marRight w:val="0"/>
      <w:marTop w:val="0"/>
      <w:marBottom w:val="0"/>
      <w:divBdr>
        <w:top w:val="none" w:sz="0" w:space="0" w:color="auto"/>
        <w:left w:val="none" w:sz="0" w:space="0" w:color="auto"/>
        <w:bottom w:val="none" w:sz="0" w:space="0" w:color="auto"/>
        <w:right w:val="none" w:sz="0" w:space="0" w:color="auto"/>
      </w:divBdr>
    </w:div>
    <w:div w:id="948507223">
      <w:bodyDiv w:val="1"/>
      <w:marLeft w:val="0"/>
      <w:marRight w:val="0"/>
      <w:marTop w:val="0"/>
      <w:marBottom w:val="0"/>
      <w:divBdr>
        <w:top w:val="none" w:sz="0" w:space="0" w:color="auto"/>
        <w:left w:val="none" w:sz="0" w:space="0" w:color="auto"/>
        <w:bottom w:val="none" w:sz="0" w:space="0" w:color="auto"/>
        <w:right w:val="none" w:sz="0" w:space="0" w:color="auto"/>
      </w:divBdr>
    </w:div>
    <w:div w:id="948658427">
      <w:bodyDiv w:val="1"/>
      <w:marLeft w:val="0"/>
      <w:marRight w:val="0"/>
      <w:marTop w:val="0"/>
      <w:marBottom w:val="0"/>
      <w:divBdr>
        <w:top w:val="none" w:sz="0" w:space="0" w:color="auto"/>
        <w:left w:val="none" w:sz="0" w:space="0" w:color="auto"/>
        <w:bottom w:val="none" w:sz="0" w:space="0" w:color="auto"/>
        <w:right w:val="none" w:sz="0" w:space="0" w:color="auto"/>
      </w:divBdr>
    </w:div>
    <w:div w:id="949627205">
      <w:bodyDiv w:val="1"/>
      <w:marLeft w:val="0"/>
      <w:marRight w:val="0"/>
      <w:marTop w:val="0"/>
      <w:marBottom w:val="0"/>
      <w:divBdr>
        <w:top w:val="none" w:sz="0" w:space="0" w:color="auto"/>
        <w:left w:val="none" w:sz="0" w:space="0" w:color="auto"/>
        <w:bottom w:val="none" w:sz="0" w:space="0" w:color="auto"/>
        <w:right w:val="none" w:sz="0" w:space="0" w:color="auto"/>
      </w:divBdr>
    </w:div>
    <w:div w:id="949707713">
      <w:bodyDiv w:val="1"/>
      <w:marLeft w:val="0"/>
      <w:marRight w:val="0"/>
      <w:marTop w:val="0"/>
      <w:marBottom w:val="0"/>
      <w:divBdr>
        <w:top w:val="none" w:sz="0" w:space="0" w:color="auto"/>
        <w:left w:val="none" w:sz="0" w:space="0" w:color="auto"/>
        <w:bottom w:val="none" w:sz="0" w:space="0" w:color="auto"/>
        <w:right w:val="none" w:sz="0" w:space="0" w:color="auto"/>
      </w:divBdr>
    </w:div>
    <w:div w:id="950816490">
      <w:bodyDiv w:val="1"/>
      <w:marLeft w:val="0"/>
      <w:marRight w:val="0"/>
      <w:marTop w:val="0"/>
      <w:marBottom w:val="0"/>
      <w:divBdr>
        <w:top w:val="none" w:sz="0" w:space="0" w:color="auto"/>
        <w:left w:val="none" w:sz="0" w:space="0" w:color="auto"/>
        <w:bottom w:val="none" w:sz="0" w:space="0" w:color="auto"/>
        <w:right w:val="none" w:sz="0" w:space="0" w:color="auto"/>
      </w:divBdr>
    </w:div>
    <w:div w:id="951596343">
      <w:bodyDiv w:val="1"/>
      <w:marLeft w:val="0"/>
      <w:marRight w:val="0"/>
      <w:marTop w:val="0"/>
      <w:marBottom w:val="0"/>
      <w:divBdr>
        <w:top w:val="none" w:sz="0" w:space="0" w:color="auto"/>
        <w:left w:val="none" w:sz="0" w:space="0" w:color="auto"/>
        <w:bottom w:val="none" w:sz="0" w:space="0" w:color="auto"/>
        <w:right w:val="none" w:sz="0" w:space="0" w:color="auto"/>
      </w:divBdr>
    </w:div>
    <w:div w:id="952052494">
      <w:bodyDiv w:val="1"/>
      <w:marLeft w:val="0"/>
      <w:marRight w:val="0"/>
      <w:marTop w:val="0"/>
      <w:marBottom w:val="0"/>
      <w:divBdr>
        <w:top w:val="none" w:sz="0" w:space="0" w:color="auto"/>
        <w:left w:val="none" w:sz="0" w:space="0" w:color="auto"/>
        <w:bottom w:val="none" w:sz="0" w:space="0" w:color="auto"/>
        <w:right w:val="none" w:sz="0" w:space="0" w:color="auto"/>
      </w:divBdr>
    </w:div>
    <w:div w:id="954365456">
      <w:bodyDiv w:val="1"/>
      <w:marLeft w:val="0"/>
      <w:marRight w:val="0"/>
      <w:marTop w:val="0"/>
      <w:marBottom w:val="0"/>
      <w:divBdr>
        <w:top w:val="none" w:sz="0" w:space="0" w:color="auto"/>
        <w:left w:val="none" w:sz="0" w:space="0" w:color="auto"/>
        <w:bottom w:val="none" w:sz="0" w:space="0" w:color="auto"/>
        <w:right w:val="none" w:sz="0" w:space="0" w:color="auto"/>
      </w:divBdr>
    </w:div>
    <w:div w:id="954753821">
      <w:bodyDiv w:val="1"/>
      <w:marLeft w:val="0"/>
      <w:marRight w:val="0"/>
      <w:marTop w:val="0"/>
      <w:marBottom w:val="0"/>
      <w:divBdr>
        <w:top w:val="none" w:sz="0" w:space="0" w:color="auto"/>
        <w:left w:val="none" w:sz="0" w:space="0" w:color="auto"/>
        <w:bottom w:val="none" w:sz="0" w:space="0" w:color="auto"/>
        <w:right w:val="none" w:sz="0" w:space="0" w:color="auto"/>
      </w:divBdr>
    </w:div>
    <w:div w:id="955139547">
      <w:bodyDiv w:val="1"/>
      <w:marLeft w:val="0"/>
      <w:marRight w:val="0"/>
      <w:marTop w:val="0"/>
      <w:marBottom w:val="0"/>
      <w:divBdr>
        <w:top w:val="none" w:sz="0" w:space="0" w:color="auto"/>
        <w:left w:val="none" w:sz="0" w:space="0" w:color="auto"/>
        <w:bottom w:val="none" w:sz="0" w:space="0" w:color="auto"/>
        <w:right w:val="none" w:sz="0" w:space="0" w:color="auto"/>
      </w:divBdr>
    </w:div>
    <w:div w:id="955336376">
      <w:bodyDiv w:val="1"/>
      <w:marLeft w:val="0"/>
      <w:marRight w:val="0"/>
      <w:marTop w:val="0"/>
      <w:marBottom w:val="0"/>
      <w:divBdr>
        <w:top w:val="none" w:sz="0" w:space="0" w:color="auto"/>
        <w:left w:val="none" w:sz="0" w:space="0" w:color="auto"/>
        <w:bottom w:val="none" w:sz="0" w:space="0" w:color="auto"/>
        <w:right w:val="none" w:sz="0" w:space="0" w:color="auto"/>
      </w:divBdr>
    </w:div>
    <w:div w:id="956915541">
      <w:bodyDiv w:val="1"/>
      <w:marLeft w:val="0"/>
      <w:marRight w:val="0"/>
      <w:marTop w:val="0"/>
      <w:marBottom w:val="0"/>
      <w:divBdr>
        <w:top w:val="none" w:sz="0" w:space="0" w:color="auto"/>
        <w:left w:val="none" w:sz="0" w:space="0" w:color="auto"/>
        <w:bottom w:val="none" w:sz="0" w:space="0" w:color="auto"/>
        <w:right w:val="none" w:sz="0" w:space="0" w:color="auto"/>
      </w:divBdr>
    </w:div>
    <w:div w:id="957687659">
      <w:bodyDiv w:val="1"/>
      <w:marLeft w:val="0"/>
      <w:marRight w:val="0"/>
      <w:marTop w:val="0"/>
      <w:marBottom w:val="0"/>
      <w:divBdr>
        <w:top w:val="none" w:sz="0" w:space="0" w:color="auto"/>
        <w:left w:val="none" w:sz="0" w:space="0" w:color="auto"/>
        <w:bottom w:val="none" w:sz="0" w:space="0" w:color="auto"/>
        <w:right w:val="none" w:sz="0" w:space="0" w:color="auto"/>
      </w:divBdr>
    </w:div>
    <w:div w:id="957760803">
      <w:bodyDiv w:val="1"/>
      <w:marLeft w:val="0"/>
      <w:marRight w:val="0"/>
      <w:marTop w:val="0"/>
      <w:marBottom w:val="0"/>
      <w:divBdr>
        <w:top w:val="none" w:sz="0" w:space="0" w:color="auto"/>
        <w:left w:val="none" w:sz="0" w:space="0" w:color="auto"/>
        <w:bottom w:val="none" w:sz="0" w:space="0" w:color="auto"/>
        <w:right w:val="none" w:sz="0" w:space="0" w:color="auto"/>
      </w:divBdr>
    </w:div>
    <w:div w:id="957832602">
      <w:bodyDiv w:val="1"/>
      <w:marLeft w:val="0"/>
      <w:marRight w:val="0"/>
      <w:marTop w:val="0"/>
      <w:marBottom w:val="0"/>
      <w:divBdr>
        <w:top w:val="none" w:sz="0" w:space="0" w:color="auto"/>
        <w:left w:val="none" w:sz="0" w:space="0" w:color="auto"/>
        <w:bottom w:val="none" w:sz="0" w:space="0" w:color="auto"/>
        <w:right w:val="none" w:sz="0" w:space="0" w:color="auto"/>
      </w:divBdr>
    </w:div>
    <w:div w:id="958143352">
      <w:bodyDiv w:val="1"/>
      <w:marLeft w:val="0"/>
      <w:marRight w:val="0"/>
      <w:marTop w:val="0"/>
      <w:marBottom w:val="0"/>
      <w:divBdr>
        <w:top w:val="none" w:sz="0" w:space="0" w:color="auto"/>
        <w:left w:val="none" w:sz="0" w:space="0" w:color="auto"/>
        <w:bottom w:val="none" w:sz="0" w:space="0" w:color="auto"/>
        <w:right w:val="none" w:sz="0" w:space="0" w:color="auto"/>
      </w:divBdr>
    </w:div>
    <w:div w:id="959383959">
      <w:bodyDiv w:val="1"/>
      <w:marLeft w:val="0"/>
      <w:marRight w:val="0"/>
      <w:marTop w:val="0"/>
      <w:marBottom w:val="0"/>
      <w:divBdr>
        <w:top w:val="none" w:sz="0" w:space="0" w:color="auto"/>
        <w:left w:val="none" w:sz="0" w:space="0" w:color="auto"/>
        <w:bottom w:val="none" w:sz="0" w:space="0" w:color="auto"/>
        <w:right w:val="none" w:sz="0" w:space="0" w:color="auto"/>
      </w:divBdr>
    </w:div>
    <w:div w:id="959649688">
      <w:bodyDiv w:val="1"/>
      <w:marLeft w:val="0"/>
      <w:marRight w:val="0"/>
      <w:marTop w:val="0"/>
      <w:marBottom w:val="0"/>
      <w:divBdr>
        <w:top w:val="none" w:sz="0" w:space="0" w:color="auto"/>
        <w:left w:val="none" w:sz="0" w:space="0" w:color="auto"/>
        <w:bottom w:val="none" w:sz="0" w:space="0" w:color="auto"/>
        <w:right w:val="none" w:sz="0" w:space="0" w:color="auto"/>
      </w:divBdr>
    </w:div>
    <w:div w:id="959798457">
      <w:bodyDiv w:val="1"/>
      <w:marLeft w:val="0"/>
      <w:marRight w:val="0"/>
      <w:marTop w:val="0"/>
      <w:marBottom w:val="0"/>
      <w:divBdr>
        <w:top w:val="none" w:sz="0" w:space="0" w:color="auto"/>
        <w:left w:val="none" w:sz="0" w:space="0" w:color="auto"/>
        <w:bottom w:val="none" w:sz="0" w:space="0" w:color="auto"/>
        <w:right w:val="none" w:sz="0" w:space="0" w:color="auto"/>
      </w:divBdr>
    </w:div>
    <w:div w:id="960454195">
      <w:bodyDiv w:val="1"/>
      <w:marLeft w:val="0"/>
      <w:marRight w:val="0"/>
      <w:marTop w:val="0"/>
      <w:marBottom w:val="0"/>
      <w:divBdr>
        <w:top w:val="none" w:sz="0" w:space="0" w:color="auto"/>
        <w:left w:val="none" w:sz="0" w:space="0" w:color="auto"/>
        <w:bottom w:val="none" w:sz="0" w:space="0" w:color="auto"/>
        <w:right w:val="none" w:sz="0" w:space="0" w:color="auto"/>
      </w:divBdr>
    </w:div>
    <w:div w:id="960454450">
      <w:bodyDiv w:val="1"/>
      <w:marLeft w:val="0"/>
      <w:marRight w:val="0"/>
      <w:marTop w:val="0"/>
      <w:marBottom w:val="0"/>
      <w:divBdr>
        <w:top w:val="none" w:sz="0" w:space="0" w:color="auto"/>
        <w:left w:val="none" w:sz="0" w:space="0" w:color="auto"/>
        <w:bottom w:val="none" w:sz="0" w:space="0" w:color="auto"/>
        <w:right w:val="none" w:sz="0" w:space="0" w:color="auto"/>
      </w:divBdr>
    </w:div>
    <w:div w:id="960576236">
      <w:bodyDiv w:val="1"/>
      <w:marLeft w:val="0"/>
      <w:marRight w:val="0"/>
      <w:marTop w:val="0"/>
      <w:marBottom w:val="0"/>
      <w:divBdr>
        <w:top w:val="none" w:sz="0" w:space="0" w:color="auto"/>
        <w:left w:val="none" w:sz="0" w:space="0" w:color="auto"/>
        <w:bottom w:val="none" w:sz="0" w:space="0" w:color="auto"/>
        <w:right w:val="none" w:sz="0" w:space="0" w:color="auto"/>
      </w:divBdr>
    </w:div>
    <w:div w:id="960846871">
      <w:bodyDiv w:val="1"/>
      <w:marLeft w:val="0"/>
      <w:marRight w:val="0"/>
      <w:marTop w:val="0"/>
      <w:marBottom w:val="0"/>
      <w:divBdr>
        <w:top w:val="none" w:sz="0" w:space="0" w:color="auto"/>
        <w:left w:val="none" w:sz="0" w:space="0" w:color="auto"/>
        <w:bottom w:val="none" w:sz="0" w:space="0" w:color="auto"/>
        <w:right w:val="none" w:sz="0" w:space="0" w:color="auto"/>
      </w:divBdr>
    </w:div>
    <w:div w:id="964042642">
      <w:bodyDiv w:val="1"/>
      <w:marLeft w:val="0"/>
      <w:marRight w:val="0"/>
      <w:marTop w:val="0"/>
      <w:marBottom w:val="0"/>
      <w:divBdr>
        <w:top w:val="none" w:sz="0" w:space="0" w:color="auto"/>
        <w:left w:val="none" w:sz="0" w:space="0" w:color="auto"/>
        <w:bottom w:val="none" w:sz="0" w:space="0" w:color="auto"/>
        <w:right w:val="none" w:sz="0" w:space="0" w:color="auto"/>
      </w:divBdr>
    </w:div>
    <w:div w:id="964383070">
      <w:bodyDiv w:val="1"/>
      <w:marLeft w:val="0"/>
      <w:marRight w:val="0"/>
      <w:marTop w:val="0"/>
      <w:marBottom w:val="0"/>
      <w:divBdr>
        <w:top w:val="none" w:sz="0" w:space="0" w:color="auto"/>
        <w:left w:val="none" w:sz="0" w:space="0" w:color="auto"/>
        <w:bottom w:val="none" w:sz="0" w:space="0" w:color="auto"/>
        <w:right w:val="none" w:sz="0" w:space="0" w:color="auto"/>
      </w:divBdr>
    </w:div>
    <w:div w:id="964703756">
      <w:bodyDiv w:val="1"/>
      <w:marLeft w:val="0"/>
      <w:marRight w:val="0"/>
      <w:marTop w:val="0"/>
      <w:marBottom w:val="0"/>
      <w:divBdr>
        <w:top w:val="none" w:sz="0" w:space="0" w:color="auto"/>
        <w:left w:val="none" w:sz="0" w:space="0" w:color="auto"/>
        <w:bottom w:val="none" w:sz="0" w:space="0" w:color="auto"/>
        <w:right w:val="none" w:sz="0" w:space="0" w:color="auto"/>
      </w:divBdr>
    </w:div>
    <w:div w:id="966546672">
      <w:bodyDiv w:val="1"/>
      <w:marLeft w:val="0"/>
      <w:marRight w:val="0"/>
      <w:marTop w:val="0"/>
      <w:marBottom w:val="0"/>
      <w:divBdr>
        <w:top w:val="none" w:sz="0" w:space="0" w:color="auto"/>
        <w:left w:val="none" w:sz="0" w:space="0" w:color="auto"/>
        <w:bottom w:val="none" w:sz="0" w:space="0" w:color="auto"/>
        <w:right w:val="none" w:sz="0" w:space="0" w:color="auto"/>
      </w:divBdr>
    </w:div>
    <w:div w:id="968364637">
      <w:bodyDiv w:val="1"/>
      <w:marLeft w:val="0"/>
      <w:marRight w:val="0"/>
      <w:marTop w:val="0"/>
      <w:marBottom w:val="0"/>
      <w:divBdr>
        <w:top w:val="none" w:sz="0" w:space="0" w:color="auto"/>
        <w:left w:val="none" w:sz="0" w:space="0" w:color="auto"/>
        <w:bottom w:val="none" w:sz="0" w:space="0" w:color="auto"/>
        <w:right w:val="none" w:sz="0" w:space="0" w:color="auto"/>
      </w:divBdr>
    </w:div>
    <w:div w:id="969164587">
      <w:bodyDiv w:val="1"/>
      <w:marLeft w:val="0"/>
      <w:marRight w:val="0"/>
      <w:marTop w:val="0"/>
      <w:marBottom w:val="0"/>
      <w:divBdr>
        <w:top w:val="none" w:sz="0" w:space="0" w:color="auto"/>
        <w:left w:val="none" w:sz="0" w:space="0" w:color="auto"/>
        <w:bottom w:val="none" w:sz="0" w:space="0" w:color="auto"/>
        <w:right w:val="none" w:sz="0" w:space="0" w:color="auto"/>
      </w:divBdr>
    </w:div>
    <w:div w:id="969938563">
      <w:bodyDiv w:val="1"/>
      <w:marLeft w:val="0"/>
      <w:marRight w:val="0"/>
      <w:marTop w:val="0"/>
      <w:marBottom w:val="0"/>
      <w:divBdr>
        <w:top w:val="none" w:sz="0" w:space="0" w:color="auto"/>
        <w:left w:val="none" w:sz="0" w:space="0" w:color="auto"/>
        <w:bottom w:val="none" w:sz="0" w:space="0" w:color="auto"/>
        <w:right w:val="none" w:sz="0" w:space="0" w:color="auto"/>
      </w:divBdr>
    </w:div>
    <w:div w:id="970283199">
      <w:bodyDiv w:val="1"/>
      <w:marLeft w:val="0"/>
      <w:marRight w:val="0"/>
      <w:marTop w:val="0"/>
      <w:marBottom w:val="0"/>
      <w:divBdr>
        <w:top w:val="none" w:sz="0" w:space="0" w:color="auto"/>
        <w:left w:val="none" w:sz="0" w:space="0" w:color="auto"/>
        <w:bottom w:val="none" w:sz="0" w:space="0" w:color="auto"/>
        <w:right w:val="none" w:sz="0" w:space="0" w:color="auto"/>
      </w:divBdr>
    </w:div>
    <w:div w:id="970329485">
      <w:bodyDiv w:val="1"/>
      <w:marLeft w:val="0"/>
      <w:marRight w:val="0"/>
      <w:marTop w:val="0"/>
      <w:marBottom w:val="0"/>
      <w:divBdr>
        <w:top w:val="none" w:sz="0" w:space="0" w:color="auto"/>
        <w:left w:val="none" w:sz="0" w:space="0" w:color="auto"/>
        <w:bottom w:val="none" w:sz="0" w:space="0" w:color="auto"/>
        <w:right w:val="none" w:sz="0" w:space="0" w:color="auto"/>
      </w:divBdr>
    </w:div>
    <w:div w:id="971054774">
      <w:bodyDiv w:val="1"/>
      <w:marLeft w:val="0"/>
      <w:marRight w:val="0"/>
      <w:marTop w:val="0"/>
      <w:marBottom w:val="0"/>
      <w:divBdr>
        <w:top w:val="none" w:sz="0" w:space="0" w:color="auto"/>
        <w:left w:val="none" w:sz="0" w:space="0" w:color="auto"/>
        <w:bottom w:val="none" w:sz="0" w:space="0" w:color="auto"/>
        <w:right w:val="none" w:sz="0" w:space="0" w:color="auto"/>
      </w:divBdr>
    </w:div>
    <w:div w:id="971444202">
      <w:bodyDiv w:val="1"/>
      <w:marLeft w:val="0"/>
      <w:marRight w:val="0"/>
      <w:marTop w:val="0"/>
      <w:marBottom w:val="0"/>
      <w:divBdr>
        <w:top w:val="none" w:sz="0" w:space="0" w:color="auto"/>
        <w:left w:val="none" w:sz="0" w:space="0" w:color="auto"/>
        <w:bottom w:val="none" w:sz="0" w:space="0" w:color="auto"/>
        <w:right w:val="none" w:sz="0" w:space="0" w:color="auto"/>
      </w:divBdr>
    </w:div>
    <w:div w:id="971638401">
      <w:bodyDiv w:val="1"/>
      <w:marLeft w:val="0"/>
      <w:marRight w:val="0"/>
      <w:marTop w:val="0"/>
      <w:marBottom w:val="0"/>
      <w:divBdr>
        <w:top w:val="none" w:sz="0" w:space="0" w:color="auto"/>
        <w:left w:val="none" w:sz="0" w:space="0" w:color="auto"/>
        <w:bottom w:val="none" w:sz="0" w:space="0" w:color="auto"/>
        <w:right w:val="none" w:sz="0" w:space="0" w:color="auto"/>
      </w:divBdr>
    </w:div>
    <w:div w:id="971861877">
      <w:bodyDiv w:val="1"/>
      <w:marLeft w:val="0"/>
      <w:marRight w:val="0"/>
      <w:marTop w:val="0"/>
      <w:marBottom w:val="0"/>
      <w:divBdr>
        <w:top w:val="none" w:sz="0" w:space="0" w:color="auto"/>
        <w:left w:val="none" w:sz="0" w:space="0" w:color="auto"/>
        <w:bottom w:val="none" w:sz="0" w:space="0" w:color="auto"/>
        <w:right w:val="none" w:sz="0" w:space="0" w:color="auto"/>
      </w:divBdr>
    </w:div>
    <w:div w:id="972060878">
      <w:bodyDiv w:val="1"/>
      <w:marLeft w:val="0"/>
      <w:marRight w:val="0"/>
      <w:marTop w:val="0"/>
      <w:marBottom w:val="0"/>
      <w:divBdr>
        <w:top w:val="none" w:sz="0" w:space="0" w:color="auto"/>
        <w:left w:val="none" w:sz="0" w:space="0" w:color="auto"/>
        <w:bottom w:val="none" w:sz="0" w:space="0" w:color="auto"/>
        <w:right w:val="none" w:sz="0" w:space="0" w:color="auto"/>
      </w:divBdr>
    </w:div>
    <w:div w:id="973363553">
      <w:bodyDiv w:val="1"/>
      <w:marLeft w:val="0"/>
      <w:marRight w:val="0"/>
      <w:marTop w:val="0"/>
      <w:marBottom w:val="0"/>
      <w:divBdr>
        <w:top w:val="none" w:sz="0" w:space="0" w:color="auto"/>
        <w:left w:val="none" w:sz="0" w:space="0" w:color="auto"/>
        <w:bottom w:val="none" w:sz="0" w:space="0" w:color="auto"/>
        <w:right w:val="none" w:sz="0" w:space="0" w:color="auto"/>
      </w:divBdr>
    </w:div>
    <w:div w:id="973368575">
      <w:bodyDiv w:val="1"/>
      <w:marLeft w:val="0"/>
      <w:marRight w:val="0"/>
      <w:marTop w:val="0"/>
      <w:marBottom w:val="0"/>
      <w:divBdr>
        <w:top w:val="none" w:sz="0" w:space="0" w:color="auto"/>
        <w:left w:val="none" w:sz="0" w:space="0" w:color="auto"/>
        <w:bottom w:val="none" w:sz="0" w:space="0" w:color="auto"/>
        <w:right w:val="none" w:sz="0" w:space="0" w:color="auto"/>
      </w:divBdr>
    </w:div>
    <w:div w:id="973413754">
      <w:bodyDiv w:val="1"/>
      <w:marLeft w:val="0"/>
      <w:marRight w:val="0"/>
      <w:marTop w:val="0"/>
      <w:marBottom w:val="0"/>
      <w:divBdr>
        <w:top w:val="none" w:sz="0" w:space="0" w:color="auto"/>
        <w:left w:val="none" w:sz="0" w:space="0" w:color="auto"/>
        <w:bottom w:val="none" w:sz="0" w:space="0" w:color="auto"/>
        <w:right w:val="none" w:sz="0" w:space="0" w:color="auto"/>
      </w:divBdr>
    </w:div>
    <w:div w:id="973683774">
      <w:bodyDiv w:val="1"/>
      <w:marLeft w:val="0"/>
      <w:marRight w:val="0"/>
      <w:marTop w:val="0"/>
      <w:marBottom w:val="0"/>
      <w:divBdr>
        <w:top w:val="none" w:sz="0" w:space="0" w:color="auto"/>
        <w:left w:val="none" w:sz="0" w:space="0" w:color="auto"/>
        <w:bottom w:val="none" w:sz="0" w:space="0" w:color="auto"/>
        <w:right w:val="none" w:sz="0" w:space="0" w:color="auto"/>
      </w:divBdr>
    </w:div>
    <w:div w:id="974067760">
      <w:bodyDiv w:val="1"/>
      <w:marLeft w:val="0"/>
      <w:marRight w:val="0"/>
      <w:marTop w:val="0"/>
      <w:marBottom w:val="0"/>
      <w:divBdr>
        <w:top w:val="none" w:sz="0" w:space="0" w:color="auto"/>
        <w:left w:val="none" w:sz="0" w:space="0" w:color="auto"/>
        <w:bottom w:val="none" w:sz="0" w:space="0" w:color="auto"/>
        <w:right w:val="none" w:sz="0" w:space="0" w:color="auto"/>
      </w:divBdr>
    </w:div>
    <w:div w:id="974406411">
      <w:bodyDiv w:val="1"/>
      <w:marLeft w:val="0"/>
      <w:marRight w:val="0"/>
      <w:marTop w:val="0"/>
      <w:marBottom w:val="0"/>
      <w:divBdr>
        <w:top w:val="none" w:sz="0" w:space="0" w:color="auto"/>
        <w:left w:val="none" w:sz="0" w:space="0" w:color="auto"/>
        <w:bottom w:val="none" w:sz="0" w:space="0" w:color="auto"/>
        <w:right w:val="none" w:sz="0" w:space="0" w:color="auto"/>
      </w:divBdr>
    </w:div>
    <w:div w:id="974675330">
      <w:bodyDiv w:val="1"/>
      <w:marLeft w:val="0"/>
      <w:marRight w:val="0"/>
      <w:marTop w:val="0"/>
      <w:marBottom w:val="0"/>
      <w:divBdr>
        <w:top w:val="none" w:sz="0" w:space="0" w:color="auto"/>
        <w:left w:val="none" w:sz="0" w:space="0" w:color="auto"/>
        <w:bottom w:val="none" w:sz="0" w:space="0" w:color="auto"/>
        <w:right w:val="none" w:sz="0" w:space="0" w:color="auto"/>
      </w:divBdr>
    </w:div>
    <w:div w:id="975794502">
      <w:bodyDiv w:val="1"/>
      <w:marLeft w:val="0"/>
      <w:marRight w:val="0"/>
      <w:marTop w:val="0"/>
      <w:marBottom w:val="0"/>
      <w:divBdr>
        <w:top w:val="none" w:sz="0" w:space="0" w:color="auto"/>
        <w:left w:val="none" w:sz="0" w:space="0" w:color="auto"/>
        <w:bottom w:val="none" w:sz="0" w:space="0" w:color="auto"/>
        <w:right w:val="none" w:sz="0" w:space="0" w:color="auto"/>
      </w:divBdr>
    </w:div>
    <w:div w:id="975796337">
      <w:bodyDiv w:val="1"/>
      <w:marLeft w:val="0"/>
      <w:marRight w:val="0"/>
      <w:marTop w:val="0"/>
      <w:marBottom w:val="0"/>
      <w:divBdr>
        <w:top w:val="none" w:sz="0" w:space="0" w:color="auto"/>
        <w:left w:val="none" w:sz="0" w:space="0" w:color="auto"/>
        <w:bottom w:val="none" w:sz="0" w:space="0" w:color="auto"/>
        <w:right w:val="none" w:sz="0" w:space="0" w:color="auto"/>
      </w:divBdr>
    </w:div>
    <w:div w:id="976880280">
      <w:bodyDiv w:val="1"/>
      <w:marLeft w:val="0"/>
      <w:marRight w:val="0"/>
      <w:marTop w:val="0"/>
      <w:marBottom w:val="0"/>
      <w:divBdr>
        <w:top w:val="none" w:sz="0" w:space="0" w:color="auto"/>
        <w:left w:val="none" w:sz="0" w:space="0" w:color="auto"/>
        <w:bottom w:val="none" w:sz="0" w:space="0" w:color="auto"/>
        <w:right w:val="none" w:sz="0" w:space="0" w:color="auto"/>
      </w:divBdr>
    </w:div>
    <w:div w:id="977031562">
      <w:bodyDiv w:val="1"/>
      <w:marLeft w:val="0"/>
      <w:marRight w:val="0"/>
      <w:marTop w:val="0"/>
      <w:marBottom w:val="0"/>
      <w:divBdr>
        <w:top w:val="none" w:sz="0" w:space="0" w:color="auto"/>
        <w:left w:val="none" w:sz="0" w:space="0" w:color="auto"/>
        <w:bottom w:val="none" w:sz="0" w:space="0" w:color="auto"/>
        <w:right w:val="none" w:sz="0" w:space="0" w:color="auto"/>
      </w:divBdr>
    </w:div>
    <w:div w:id="977613894">
      <w:bodyDiv w:val="1"/>
      <w:marLeft w:val="0"/>
      <w:marRight w:val="0"/>
      <w:marTop w:val="0"/>
      <w:marBottom w:val="0"/>
      <w:divBdr>
        <w:top w:val="none" w:sz="0" w:space="0" w:color="auto"/>
        <w:left w:val="none" w:sz="0" w:space="0" w:color="auto"/>
        <w:bottom w:val="none" w:sz="0" w:space="0" w:color="auto"/>
        <w:right w:val="none" w:sz="0" w:space="0" w:color="auto"/>
      </w:divBdr>
    </w:div>
    <w:div w:id="979462415">
      <w:bodyDiv w:val="1"/>
      <w:marLeft w:val="0"/>
      <w:marRight w:val="0"/>
      <w:marTop w:val="0"/>
      <w:marBottom w:val="0"/>
      <w:divBdr>
        <w:top w:val="none" w:sz="0" w:space="0" w:color="auto"/>
        <w:left w:val="none" w:sz="0" w:space="0" w:color="auto"/>
        <w:bottom w:val="none" w:sz="0" w:space="0" w:color="auto"/>
        <w:right w:val="none" w:sz="0" w:space="0" w:color="auto"/>
      </w:divBdr>
    </w:div>
    <w:div w:id="979533091">
      <w:bodyDiv w:val="1"/>
      <w:marLeft w:val="0"/>
      <w:marRight w:val="0"/>
      <w:marTop w:val="0"/>
      <w:marBottom w:val="0"/>
      <w:divBdr>
        <w:top w:val="none" w:sz="0" w:space="0" w:color="auto"/>
        <w:left w:val="none" w:sz="0" w:space="0" w:color="auto"/>
        <w:bottom w:val="none" w:sz="0" w:space="0" w:color="auto"/>
        <w:right w:val="none" w:sz="0" w:space="0" w:color="auto"/>
      </w:divBdr>
    </w:div>
    <w:div w:id="979725039">
      <w:bodyDiv w:val="1"/>
      <w:marLeft w:val="0"/>
      <w:marRight w:val="0"/>
      <w:marTop w:val="0"/>
      <w:marBottom w:val="0"/>
      <w:divBdr>
        <w:top w:val="none" w:sz="0" w:space="0" w:color="auto"/>
        <w:left w:val="none" w:sz="0" w:space="0" w:color="auto"/>
        <w:bottom w:val="none" w:sz="0" w:space="0" w:color="auto"/>
        <w:right w:val="none" w:sz="0" w:space="0" w:color="auto"/>
      </w:divBdr>
    </w:div>
    <w:div w:id="983852619">
      <w:bodyDiv w:val="1"/>
      <w:marLeft w:val="0"/>
      <w:marRight w:val="0"/>
      <w:marTop w:val="0"/>
      <w:marBottom w:val="0"/>
      <w:divBdr>
        <w:top w:val="none" w:sz="0" w:space="0" w:color="auto"/>
        <w:left w:val="none" w:sz="0" w:space="0" w:color="auto"/>
        <w:bottom w:val="none" w:sz="0" w:space="0" w:color="auto"/>
        <w:right w:val="none" w:sz="0" w:space="0" w:color="auto"/>
      </w:divBdr>
    </w:div>
    <w:div w:id="983898587">
      <w:bodyDiv w:val="1"/>
      <w:marLeft w:val="0"/>
      <w:marRight w:val="0"/>
      <w:marTop w:val="0"/>
      <w:marBottom w:val="0"/>
      <w:divBdr>
        <w:top w:val="none" w:sz="0" w:space="0" w:color="auto"/>
        <w:left w:val="none" w:sz="0" w:space="0" w:color="auto"/>
        <w:bottom w:val="none" w:sz="0" w:space="0" w:color="auto"/>
        <w:right w:val="none" w:sz="0" w:space="0" w:color="auto"/>
      </w:divBdr>
    </w:div>
    <w:div w:id="987904487">
      <w:bodyDiv w:val="1"/>
      <w:marLeft w:val="0"/>
      <w:marRight w:val="0"/>
      <w:marTop w:val="0"/>
      <w:marBottom w:val="0"/>
      <w:divBdr>
        <w:top w:val="none" w:sz="0" w:space="0" w:color="auto"/>
        <w:left w:val="none" w:sz="0" w:space="0" w:color="auto"/>
        <w:bottom w:val="none" w:sz="0" w:space="0" w:color="auto"/>
        <w:right w:val="none" w:sz="0" w:space="0" w:color="auto"/>
      </w:divBdr>
    </w:div>
    <w:div w:id="987904947">
      <w:bodyDiv w:val="1"/>
      <w:marLeft w:val="0"/>
      <w:marRight w:val="0"/>
      <w:marTop w:val="0"/>
      <w:marBottom w:val="0"/>
      <w:divBdr>
        <w:top w:val="none" w:sz="0" w:space="0" w:color="auto"/>
        <w:left w:val="none" w:sz="0" w:space="0" w:color="auto"/>
        <w:bottom w:val="none" w:sz="0" w:space="0" w:color="auto"/>
        <w:right w:val="none" w:sz="0" w:space="0" w:color="auto"/>
      </w:divBdr>
    </w:div>
    <w:div w:id="988095748">
      <w:bodyDiv w:val="1"/>
      <w:marLeft w:val="0"/>
      <w:marRight w:val="0"/>
      <w:marTop w:val="0"/>
      <w:marBottom w:val="0"/>
      <w:divBdr>
        <w:top w:val="none" w:sz="0" w:space="0" w:color="auto"/>
        <w:left w:val="none" w:sz="0" w:space="0" w:color="auto"/>
        <w:bottom w:val="none" w:sz="0" w:space="0" w:color="auto"/>
        <w:right w:val="none" w:sz="0" w:space="0" w:color="auto"/>
      </w:divBdr>
    </w:div>
    <w:div w:id="988708530">
      <w:bodyDiv w:val="1"/>
      <w:marLeft w:val="0"/>
      <w:marRight w:val="0"/>
      <w:marTop w:val="0"/>
      <w:marBottom w:val="0"/>
      <w:divBdr>
        <w:top w:val="none" w:sz="0" w:space="0" w:color="auto"/>
        <w:left w:val="none" w:sz="0" w:space="0" w:color="auto"/>
        <w:bottom w:val="none" w:sz="0" w:space="0" w:color="auto"/>
        <w:right w:val="none" w:sz="0" w:space="0" w:color="auto"/>
      </w:divBdr>
    </w:div>
    <w:div w:id="989528308">
      <w:bodyDiv w:val="1"/>
      <w:marLeft w:val="0"/>
      <w:marRight w:val="0"/>
      <w:marTop w:val="0"/>
      <w:marBottom w:val="0"/>
      <w:divBdr>
        <w:top w:val="none" w:sz="0" w:space="0" w:color="auto"/>
        <w:left w:val="none" w:sz="0" w:space="0" w:color="auto"/>
        <w:bottom w:val="none" w:sz="0" w:space="0" w:color="auto"/>
        <w:right w:val="none" w:sz="0" w:space="0" w:color="auto"/>
      </w:divBdr>
    </w:div>
    <w:div w:id="990717501">
      <w:bodyDiv w:val="1"/>
      <w:marLeft w:val="0"/>
      <w:marRight w:val="0"/>
      <w:marTop w:val="0"/>
      <w:marBottom w:val="0"/>
      <w:divBdr>
        <w:top w:val="none" w:sz="0" w:space="0" w:color="auto"/>
        <w:left w:val="none" w:sz="0" w:space="0" w:color="auto"/>
        <w:bottom w:val="none" w:sz="0" w:space="0" w:color="auto"/>
        <w:right w:val="none" w:sz="0" w:space="0" w:color="auto"/>
      </w:divBdr>
    </w:div>
    <w:div w:id="991174830">
      <w:bodyDiv w:val="1"/>
      <w:marLeft w:val="0"/>
      <w:marRight w:val="0"/>
      <w:marTop w:val="0"/>
      <w:marBottom w:val="0"/>
      <w:divBdr>
        <w:top w:val="none" w:sz="0" w:space="0" w:color="auto"/>
        <w:left w:val="none" w:sz="0" w:space="0" w:color="auto"/>
        <w:bottom w:val="none" w:sz="0" w:space="0" w:color="auto"/>
        <w:right w:val="none" w:sz="0" w:space="0" w:color="auto"/>
      </w:divBdr>
    </w:div>
    <w:div w:id="991251026">
      <w:bodyDiv w:val="1"/>
      <w:marLeft w:val="0"/>
      <w:marRight w:val="0"/>
      <w:marTop w:val="0"/>
      <w:marBottom w:val="0"/>
      <w:divBdr>
        <w:top w:val="none" w:sz="0" w:space="0" w:color="auto"/>
        <w:left w:val="none" w:sz="0" w:space="0" w:color="auto"/>
        <w:bottom w:val="none" w:sz="0" w:space="0" w:color="auto"/>
        <w:right w:val="none" w:sz="0" w:space="0" w:color="auto"/>
      </w:divBdr>
    </w:div>
    <w:div w:id="991756959">
      <w:bodyDiv w:val="1"/>
      <w:marLeft w:val="0"/>
      <w:marRight w:val="0"/>
      <w:marTop w:val="0"/>
      <w:marBottom w:val="0"/>
      <w:divBdr>
        <w:top w:val="none" w:sz="0" w:space="0" w:color="auto"/>
        <w:left w:val="none" w:sz="0" w:space="0" w:color="auto"/>
        <w:bottom w:val="none" w:sz="0" w:space="0" w:color="auto"/>
        <w:right w:val="none" w:sz="0" w:space="0" w:color="auto"/>
      </w:divBdr>
    </w:div>
    <w:div w:id="992149652">
      <w:bodyDiv w:val="1"/>
      <w:marLeft w:val="0"/>
      <w:marRight w:val="0"/>
      <w:marTop w:val="0"/>
      <w:marBottom w:val="0"/>
      <w:divBdr>
        <w:top w:val="none" w:sz="0" w:space="0" w:color="auto"/>
        <w:left w:val="none" w:sz="0" w:space="0" w:color="auto"/>
        <w:bottom w:val="none" w:sz="0" w:space="0" w:color="auto"/>
        <w:right w:val="none" w:sz="0" w:space="0" w:color="auto"/>
      </w:divBdr>
    </w:div>
    <w:div w:id="992366257">
      <w:bodyDiv w:val="1"/>
      <w:marLeft w:val="0"/>
      <w:marRight w:val="0"/>
      <w:marTop w:val="0"/>
      <w:marBottom w:val="0"/>
      <w:divBdr>
        <w:top w:val="none" w:sz="0" w:space="0" w:color="auto"/>
        <w:left w:val="none" w:sz="0" w:space="0" w:color="auto"/>
        <w:bottom w:val="none" w:sz="0" w:space="0" w:color="auto"/>
        <w:right w:val="none" w:sz="0" w:space="0" w:color="auto"/>
      </w:divBdr>
    </w:div>
    <w:div w:id="992443427">
      <w:bodyDiv w:val="1"/>
      <w:marLeft w:val="0"/>
      <w:marRight w:val="0"/>
      <w:marTop w:val="0"/>
      <w:marBottom w:val="0"/>
      <w:divBdr>
        <w:top w:val="none" w:sz="0" w:space="0" w:color="auto"/>
        <w:left w:val="none" w:sz="0" w:space="0" w:color="auto"/>
        <w:bottom w:val="none" w:sz="0" w:space="0" w:color="auto"/>
        <w:right w:val="none" w:sz="0" w:space="0" w:color="auto"/>
      </w:divBdr>
    </w:div>
    <w:div w:id="992684734">
      <w:bodyDiv w:val="1"/>
      <w:marLeft w:val="0"/>
      <w:marRight w:val="0"/>
      <w:marTop w:val="0"/>
      <w:marBottom w:val="0"/>
      <w:divBdr>
        <w:top w:val="none" w:sz="0" w:space="0" w:color="auto"/>
        <w:left w:val="none" w:sz="0" w:space="0" w:color="auto"/>
        <w:bottom w:val="none" w:sz="0" w:space="0" w:color="auto"/>
        <w:right w:val="none" w:sz="0" w:space="0" w:color="auto"/>
      </w:divBdr>
    </w:div>
    <w:div w:id="993409990">
      <w:bodyDiv w:val="1"/>
      <w:marLeft w:val="0"/>
      <w:marRight w:val="0"/>
      <w:marTop w:val="0"/>
      <w:marBottom w:val="0"/>
      <w:divBdr>
        <w:top w:val="none" w:sz="0" w:space="0" w:color="auto"/>
        <w:left w:val="none" w:sz="0" w:space="0" w:color="auto"/>
        <w:bottom w:val="none" w:sz="0" w:space="0" w:color="auto"/>
        <w:right w:val="none" w:sz="0" w:space="0" w:color="auto"/>
      </w:divBdr>
    </w:div>
    <w:div w:id="994067757">
      <w:bodyDiv w:val="1"/>
      <w:marLeft w:val="0"/>
      <w:marRight w:val="0"/>
      <w:marTop w:val="0"/>
      <w:marBottom w:val="0"/>
      <w:divBdr>
        <w:top w:val="none" w:sz="0" w:space="0" w:color="auto"/>
        <w:left w:val="none" w:sz="0" w:space="0" w:color="auto"/>
        <w:bottom w:val="none" w:sz="0" w:space="0" w:color="auto"/>
        <w:right w:val="none" w:sz="0" w:space="0" w:color="auto"/>
      </w:divBdr>
    </w:div>
    <w:div w:id="994340822">
      <w:bodyDiv w:val="1"/>
      <w:marLeft w:val="0"/>
      <w:marRight w:val="0"/>
      <w:marTop w:val="0"/>
      <w:marBottom w:val="0"/>
      <w:divBdr>
        <w:top w:val="none" w:sz="0" w:space="0" w:color="auto"/>
        <w:left w:val="none" w:sz="0" w:space="0" w:color="auto"/>
        <w:bottom w:val="none" w:sz="0" w:space="0" w:color="auto"/>
        <w:right w:val="none" w:sz="0" w:space="0" w:color="auto"/>
      </w:divBdr>
    </w:div>
    <w:div w:id="994650419">
      <w:bodyDiv w:val="1"/>
      <w:marLeft w:val="0"/>
      <w:marRight w:val="0"/>
      <w:marTop w:val="0"/>
      <w:marBottom w:val="0"/>
      <w:divBdr>
        <w:top w:val="none" w:sz="0" w:space="0" w:color="auto"/>
        <w:left w:val="none" w:sz="0" w:space="0" w:color="auto"/>
        <w:bottom w:val="none" w:sz="0" w:space="0" w:color="auto"/>
        <w:right w:val="none" w:sz="0" w:space="0" w:color="auto"/>
      </w:divBdr>
    </w:div>
    <w:div w:id="994725403">
      <w:bodyDiv w:val="1"/>
      <w:marLeft w:val="0"/>
      <w:marRight w:val="0"/>
      <w:marTop w:val="0"/>
      <w:marBottom w:val="0"/>
      <w:divBdr>
        <w:top w:val="none" w:sz="0" w:space="0" w:color="auto"/>
        <w:left w:val="none" w:sz="0" w:space="0" w:color="auto"/>
        <w:bottom w:val="none" w:sz="0" w:space="0" w:color="auto"/>
        <w:right w:val="none" w:sz="0" w:space="0" w:color="auto"/>
      </w:divBdr>
    </w:div>
    <w:div w:id="994838488">
      <w:bodyDiv w:val="1"/>
      <w:marLeft w:val="0"/>
      <w:marRight w:val="0"/>
      <w:marTop w:val="0"/>
      <w:marBottom w:val="0"/>
      <w:divBdr>
        <w:top w:val="none" w:sz="0" w:space="0" w:color="auto"/>
        <w:left w:val="none" w:sz="0" w:space="0" w:color="auto"/>
        <w:bottom w:val="none" w:sz="0" w:space="0" w:color="auto"/>
        <w:right w:val="none" w:sz="0" w:space="0" w:color="auto"/>
      </w:divBdr>
    </w:div>
    <w:div w:id="995837875">
      <w:bodyDiv w:val="1"/>
      <w:marLeft w:val="0"/>
      <w:marRight w:val="0"/>
      <w:marTop w:val="0"/>
      <w:marBottom w:val="0"/>
      <w:divBdr>
        <w:top w:val="none" w:sz="0" w:space="0" w:color="auto"/>
        <w:left w:val="none" w:sz="0" w:space="0" w:color="auto"/>
        <w:bottom w:val="none" w:sz="0" w:space="0" w:color="auto"/>
        <w:right w:val="none" w:sz="0" w:space="0" w:color="auto"/>
      </w:divBdr>
    </w:div>
    <w:div w:id="996953326">
      <w:bodyDiv w:val="1"/>
      <w:marLeft w:val="0"/>
      <w:marRight w:val="0"/>
      <w:marTop w:val="0"/>
      <w:marBottom w:val="0"/>
      <w:divBdr>
        <w:top w:val="none" w:sz="0" w:space="0" w:color="auto"/>
        <w:left w:val="none" w:sz="0" w:space="0" w:color="auto"/>
        <w:bottom w:val="none" w:sz="0" w:space="0" w:color="auto"/>
        <w:right w:val="none" w:sz="0" w:space="0" w:color="auto"/>
      </w:divBdr>
    </w:div>
    <w:div w:id="997269079">
      <w:bodyDiv w:val="1"/>
      <w:marLeft w:val="0"/>
      <w:marRight w:val="0"/>
      <w:marTop w:val="0"/>
      <w:marBottom w:val="0"/>
      <w:divBdr>
        <w:top w:val="none" w:sz="0" w:space="0" w:color="auto"/>
        <w:left w:val="none" w:sz="0" w:space="0" w:color="auto"/>
        <w:bottom w:val="none" w:sz="0" w:space="0" w:color="auto"/>
        <w:right w:val="none" w:sz="0" w:space="0" w:color="auto"/>
      </w:divBdr>
    </w:div>
    <w:div w:id="997533659">
      <w:bodyDiv w:val="1"/>
      <w:marLeft w:val="0"/>
      <w:marRight w:val="0"/>
      <w:marTop w:val="0"/>
      <w:marBottom w:val="0"/>
      <w:divBdr>
        <w:top w:val="none" w:sz="0" w:space="0" w:color="auto"/>
        <w:left w:val="none" w:sz="0" w:space="0" w:color="auto"/>
        <w:bottom w:val="none" w:sz="0" w:space="0" w:color="auto"/>
        <w:right w:val="none" w:sz="0" w:space="0" w:color="auto"/>
      </w:divBdr>
    </w:div>
    <w:div w:id="997614443">
      <w:bodyDiv w:val="1"/>
      <w:marLeft w:val="0"/>
      <w:marRight w:val="0"/>
      <w:marTop w:val="0"/>
      <w:marBottom w:val="0"/>
      <w:divBdr>
        <w:top w:val="none" w:sz="0" w:space="0" w:color="auto"/>
        <w:left w:val="none" w:sz="0" w:space="0" w:color="auto"/>
        <w:bottom w:val="none" w:sz="0" w:space="0" w:color="auto"/>
        <w:right w:val="none" w:sz="0" w:space="0" w:color="auto"/>
      </w:divBdr>
    </w:div>
    <w:div w:id="998195826">
      <w:bodyDiv w:val="1"/>
      <w:marLeft w:val="0"/>
      <w:marRight w:val="0"/>
      <w:marTop w:val="0"/>
      <w:marBottom w:val="0"/>
      <w:divBdr>
        <w:top w:val="none" w:sz="0" w:space="0" w:color="auto"/>
        <w:left w:val="none" w:sz="0" w:space="0" w:color="auto"/>
        <w:bottom w:val="none" w:sz="0" w:space="0" w:color="auto"/>
        <w:right w:val="none" w:sz="0" w:space="0" w:color="auto"/>
      </w:divBdr>
    </w:div>
    <w:div w:id="998267660">
      <w:bodyDiv w:val="1"/>
      <w:marLeft w:val="0"/>
      <w:marRight w:val="0"/>
      <w:marTop w:val="0"/>
      <w:marBottom w:val="0"/>
      <w:divBdr>
        <w:top w:val="none" w:sz="0" w:space="0" w:color="auto"/>
        <w:left w:val="none" w:sz="0" w:space="0" w:color="auto"/>
        <w:bottom w:val="none" w:sz="0" w:space="0" w:color="auto"/>
        <w:right w:val="none" w:sz="0" w:space="0" w:color="auto"/>
      </w:divBdr>
    </w:div>
    <w:div w:id="999890104">
      <w:bodyDiv w:val="1"/>
      <w:marLeft w:val="0"/>
      <w:marRight w:val="0"/>
      <w:marTop w:val="0"/>
      <w:marBottom w:val="0"/>
      <w:divBdr>
        <w:top w:val="none" w:sz="0" w:space="0" w:color="auto"/>
        <w:left w:val="none" w:sz="0" w:space="0" w:color="auto"/>
        <w:bottom w:val="none" w:sz="0" w:space="0" w:color="auto"/>
        <w:right w:val="none" w:sz="0" w:space="0" w:color="auto"/>
      </w:divBdr>
    </w:div>
    <w:div w:id="1001003853">
      <w:bodyDiv w:val="1"/>
      <w:marLeft w:val="0"/>
      <w:marRight w:val="0"/>
      <w:marTop w:val="0"/>
      <w:marBottom w:val="0"/>
      <w:divBdr>
        <w:top w:val="none" w:sz="0" w:space="0" w:color="auto"/>
        <w:left w:val="none" w:sz="0" w:space="0" w:color="auto"/>
        <w:bottom w:val="none" w:sz="0" w:space="0" w:color="auto"/>
        <w:right w:val="none" w:sz="0" w:space="0" w:color="auto"/>
      </w:divBdr>
    </w:div>
    <w:div w:id="1001197501">
      <w:bodyDiv w:val="1"/>
      <w:marLeft w:val="0"/>
      <w:marRight w:val="0"/>
      <w:marTop w:val="0"/>
      <w:marBottom w:val="0"/>
      <w:divBdr>
        <w:top w:val="none" w:sz="0" w:space="0" w:color="auto"/>
        <w:left w:val="none" w:sz="0" w:space="0" w:color="auto"/>
        <w:bottom w:val="none" w:sz="0" w:space="0" w:color="auto"/>
        <w:right w:val="none" w:sz="0" w:space="0" w:color="auto"/>
      </w:divBdr>
    </w:div>
    <w:div w:id="1001543877">
      <w:bodyDiv w:val="1"/>
      <w:marLeft w:val="0"/>
      <w:marRight w:val="0"/>
      <w:marTop w:val="0"/>
      <w:marBottom w:val="0"/>
      <w:divBdr>
        <w:top w:val="none" w:sz="0" w:space="0" w:color="auto"/>
        <w:left w:val="none" w:sz="0" w:space="0" w:color="auto"/>
        <w:bottom w:val="none" w:sz="0" w:space="0" w:color="auto"/>
        <w:right w:val="none" w:sz="0" w:space="0" w:color="auto"/>
      </w:divBdr>
    </w:div>
    <w:div w:id="1001737324">
      <w:bodyDiv w:val="1"/>
      <w:marLeft w:val="0"/>
      <w:marRight w:val="0"/>
      <w:marTop w:val="0"/>
      <w:marBottom w:val="0"/>
      <w:divBdr>
        <w:top w:val="none" w:sz="0" w:space="0" w:color="auto"/>
        <w:left w:val="none" w:sz="0" w:space="0" w:color="auto"/>
        <w:bottom w:val="none" w:sz="0" w:space="0" w:color="auto"/>
        <w:right w:val="none" w:sz="0" w:space="0" w:color="auto"/>
      </w:divBdr>
    </w:div>
    <w:div w:id="1001928828">
      <w:bodyDiv w:val="1"/>
      <w:marLeft w:val="0"/>
      <w:marRight w:val="0"/>
      <w:marTop w:val="0"/>
      <w:marBottom w:val="0"/>
      <w:divBdr>
        <w:top w:val="none" w:sz="0" w:space="0" w:color="auto"/>
        <w:left w:val="none" w:sz="0" w:space="0" w:color="auto"/>
        <w:bottom w:val="none" w:sz="0" w:space="0" w:color="auto"/>
        <w:right w:val="none" w:sz="0" w:space="0" w:color="auto"/>
      </w:divBdr>
    </w:div>
    <w:div w:id="1002853110">
      <w:bodyDiv w:val="1"/>
      <w:marLeft w:val="0"/>
      <w:marRight w:val="0"/>
      <w:marTop w:val="0"/>
      <w:marBottom w:val="0"/>
      <w:divBdr>
        <w:top w:val="none" w:sz="0" w:space="0" w:color="auto"/>
        <w:left w:val="none" w:sz="0" w:space="0" w:color="auto"/>
        <w:bottom w:val="none" w:sz="0" w:space="0" w:color="auto"/>
        <w:right w:val="none" w:sz="0" w:space="0" w:color="auto"/>
      </w:divBdr>
    </w:div>
    <w:div w:id="1003051649">
      <w:bodyDiv w:val="1"/>
      <w:marLeft w:val="0"/>
      <w:marRight w:val="0"/>
      <w:marTop w:val="0"/>
      <w:marBottom w:val="0"/>
      <w:divBdr>
        <w:top w:val="none" w:sz="0" w:space="0" w:color="auto"/>
        <w:left w:val="none" w:sz="0" w:space="0" w:color="auto"/>
        <w:bottom w:val="none" w:sz="0" w:space="0" w:color="auto"/>
        <w:right w:val="none" w:sz="0" w:space="0" w:color="auto"/>
      </w:divBdr>
    </w:div>
    <w:div w:id="1004210346">
      <w:bodyDiv w:val="1"/>
      <w:marLeft w:val="0"/>
      <w:marRight w:val="0"/>
      <w:marTop w:val="0"/>
      <w:marBottom w:val="0"/>
      <w:divBdr>
        <w:top w:val="none" w:sz="0" w:space="0" w:color="auto"/>
        <w:left w:val="none" w:sz="0" w:space="0" w:color="auto"/>
        <w:bottom w:val="none" w:sz="0" w:space="0" w:color="auto"/>
        <w:right w:val="none" w:sz="0" w:space="0" w:color="auto"/>
      </w:divBdr>
    </w:div>
    <w:div w:id="1004429967">
      <w:bodyDiv w:val="1"/>
      <w:marLeft w:val="0"/>
      <w:marRight w:val="0"/>
      <w:marTop w:val="0"/>
      <w:marBottom w:val="0"/>
      <w:divBdr>
        <w:top w:val="none" w:sz="0" w:space="0" w:color="auto"/>
        <w:left w:val="none" w:sz="0" w:space="0" w:color="auto"/>
        <w:bottom w:val="none" w:sz="0" w:space="0" w:color="auto"/>
        <w:right w:val="none" w:sz="0" w:space="0" w:color="auto"/>
      </w:divBdr>
    </w:div>
    <w:div w:id="1008675145">
      <w:bodyDiv w:val="1"/>
      <w:marLeft w:val="0"/>
      <w:marRight w:val="0"/>
      <w:marTop w:val="0"/>
      <w:marBottom w:val="0"/>
      <w:divBdr>
        <w:top w:val="none" w:sz="0" w:space="0" w:color="auto"/>
        <w:left w:val="none" w:sz="0" w:space="0" w:color="auto"/>
        <w:bottom w:val="none" w:sz="0" w:space="0" w:color="auto"/>
        <w:right w:val="none" w:sz="0" w:space="0" w:color="auto"/>
      </w:divBdr>
    </w:div>
    <w:div w:id="1010064877">
      <w:bodyDiv w:val="1"/>
      <w:marLeft w:val="0"/>
      <w:marRight w:val="0"/>
      <w:marTop w:val="0"/>
      <w:marBottom w:val="0"/>
      <w:divBdr>
        <w:top w:val="none" w:sz="0" w:space="0" w:color="auto"/>
        <w:left w:val="none" w:sz="0" w:space="0" w:color="auto"/>
        <w:bottom w:val="none" w:sz="0" w:space="0" w:color="auto"/>
        <w:right w:val="none" w:sz="0" w:space="0" w:color="auto"/>
      </w:divBdr>
    </w:div>
    <w:div w:id="1010520815">
      <w:bodyDiv w:val="1"/>
      <w:marLeft w:val="0"/>
      <w:marRight w:val="0"/>
      <w:marTop w:val="0"/>
      <w:marBottom w:val="0"/>
      <w:divBdr>
        <w:top w:val="none" w:sz="0" w:space="0" w:color="auto"/>
        <w:left w:val="none" w:sz="0" w:space="0" w:color="auto"/>
        <w:bottom w:val="none" w:sz="0" w:space="0" w:color="auto"/>
        <w:right w:val="none" w:sz="0" w:space="0" w:color="auto"/>
      </w:divBdr>
    </w:div>
    <w:div w:id="1010832252">
      <w:bodyDiv w:val="1"/>
      <w:marLeft w:val="0"/>
      <w:marRight w:val="0"/>
      <w:marTop w:val="0"/>
      <w:marBottom w:val="0"/>
      <w:divBdr>
        <w:top w:val="none" w:sz="0" w:space="0" w:color="auto"/>
        <w:left w:val="none" w:sz="0" w:space="0" w:color="auto"/>
        <w:bottom w:val="none" w:sz="0" w:space="0" w:color="auto"/>
        <w:right w:val="none" w:sz="0" w:space="0" w:color="auto"/>
      </w:divBdr>
    </w:div>
    <w:div w:id="1012031974">
      <w:bodyDiv w:val="1"/>
      <w:marLeft w:val="0"/>
      <w:marRight w:val="0"/>
      <w:marTop w:val="0"/>
      <w:marBottom w:val="0"/>
      <w:divBdr>
        <w:top w:val="none" w:sz="0" w:space="0" w:color="auto"/>
        <w:left w:val="none" w:sz="0" w:space="0" w:color="auto"/>
        <w:bottom w:val="none" w:sz="0" w:space="0" w:color="auto"/>
        <w:right w:val="none" w:sz="0" w:space="0" w:color="auto"/>
      </w:divBdr>
    </w:div>
    <w:div w:id="1012142951">
      <w:bodyDiv w:val="1"/>
      <w:marLeft w:val="0"/>
      <w:marRight w:val="0"/>
      <w:marTop w:val="0"/>
      <w:marBottom w:val="0"/>
      <w:divBdr>
        <w:top w:val="none" w:sz="0" w:space="0" w:color="auto"/>
        <w:left w:val="none" w:sz="0" w:space="0" w:color="auto"/>
        <w:bottom w:val="none" w:sz="0" w:space="0" w:color="auto"/>
        <w:right w:val="none" w:sz="0" w:space="0" w:color="auto"/>
      </w:divBdr>
    </w:div>
    <w:div w:id="1012344249">
      <w:bodyDiv w:val="1"/>
      <w:marLeft w:val="0"/>
      <w:marRight w:val="0"/>
      <w:marTop w:val="0"/>
      <w:marBottom w:val="0"/>
      <w:divBdr>
        <w:top w:val="none" w:sz="0" w:space="0" w:color="auto"/>
        <w:left w:val="none" w:sz="0" w:space="0" w:color="auto"/>
        <w:bottom w:val="none" w:sz="0" w:space="0" w:color="auto"/>
        <w:right w:val="none" w:sz="0" w:space="0" w:color="auto"/>
      </w:divBdr>
    </w:div>
    <w:div w:id="1012536861">
      <w:bodyDiv w:val="1"/>
      <w:marLeft w:val="0"/>
      <w:marRight w:val="0"/>
      <w:marTop w:val="0"/>
      <w:marBottom w:val="0"/>
      <w:divBdr>
        <w:top w:val="none" w:sz="0" w:space="0" w:color="auto"/>
        <w:left w:val="none" w:sz="0" w:space="0" w:color="auto"/>
        <w:bottom w:val="none" w:sz="0" w:space="0" w:color="auto"/>
        <w:right w:val="none" w:sz="0" w:space="0" w:color="auto"/>
      </w:divBdr>
    </w:div>
    <w:div w:id="1012806047">
      <w:bodyDiv w:val="1"/>
      <w:marLeft w:val="0"/>
      <w:marRight w:val="0"/>
      <w:marTop w:val="0"/>
      <w:marBottom w:val="0"/>
      <w:divBdr>
        <w:top w:val="none" w:sz="0" w:space="0" w:color="auto"/>
        <w:left w:val="none" w:sz="0" w:space="0" w:color="auto"/>
        <w:bottom w:val="none" w:sz="0" w:space="0" w:color="auto"/>
        <w:right w:val="none" w:sz="0" w:space="0" w:color="auto"/>
      </w:divBdr>
    </w:div>
    <w:div w:id="1015495914">
      <w:bodyDiv w:val="1"/>
      <w:marLeft w:val="0"/>
      <w:marRight w:val="0"/>
      <w:marTop w:val="0"/>
      <w:marBottom w:val="0"/>
      <w:divBdr>
        <w:top w:val="none" w:sz="0" w:space="0" w:color="auto"/>
        <w:left w:val="none" w:sz="0" w:space="0" w:color="auto"/>
        <w:bottom w:val="none" w:sz="0" w:space="0" w:color="auto"/>
        <w:right w:val="none" w:sz="0" w:space="0" w:color="auto"/>
      </w:divBdr>
    </w:div>
    <w:div w:id="1016231555">
      <w:bodyDiv w:val="1"/>
      <w:marLeft w:val="0"/>
      <w:marRight w:val="0"/>
      <w:marTop w:val="0"/>
      <w:marBottom w:val="0"/>
      <w:divBdr>
        <w:top w:val="none" w:sz="0" w:space="0" w:color="auto"/>
        <w:left w:val="none" w:sz="0" w:space="0" w:color="auto"/>
        <w:bottom w:val="none" w:sz="0" w:space="0" w:color="auto"/>
        <w:right w:val="none" w:sz="0" w:space="0" w:color="auto"/>
      </w:divBdr>
    </w:div>
    <w:div w:id="1016536131">
      <w:bodyDiv w:val="1"/>
      <w:marLeft w:val="0"/>
      <w:marRight w:val="0"/>
      <w:marTop w:val="0"/>
      <w:marBottom w:val="0"/>
      <w:divBdr>
        <w:top w:val="none" w:sz="0" w:space="0" w:color="auto"/>
        <w:left w:val="none" w:sz="0" w:space="0" w:color="auto"/>
        <w:bottom w:val="none" w:sz="0" w:space="0" w:color="auto"/>
        <w:right w:val="none" w:sz="0" w:space="0" w:color="auto"/>
      </w:divBdr>
    </w:div>
    <w:div w:id="1016689565">
      <w:bodyDiv w:val="1"/>
      <w:marLeft w:val="0"/>
      <w:marRight w:val="0"/>
      <w:marTop w:val="0"/>
      <w:marBottom w:val="0"/>
      <w:divBdr>
        <w:top w:val="none" w:sz="0" w:space="0" w:color="auto"/>
        <w:left w:val="none" w:sz="0" w:space="0" w:color="auto"/>
        <w:bottom w:val="none" w:sz="0" w:space="0" w:color="auto"/>
        <w:right w:val="none" w:sz="0" w:space="0" w:color="auto"/>
      </w:divBdr>
    </w:div>
    <w:div w:id="1016733992">
      <w:bodyDiv w:val="1"/>
      <w:marLeft w:val="0"/>
      <w:marRight w:val="0"/>
      <w:marTop w:val="0"/>
      <w:marBottom w:val="0"/>
      <w:divBdr>
        <w:top w:val="none" w:sz="0" w:space="0" w:color="auto"/>
        <w:left w:val="none" w:sz="0" w:space="0" w:color="auto"/>
        <w:bottom w:val="none" w:sz="0" w:space="0" w:color="auto"/>
        <w:right w:val="none" w:sz="0" w:space="0" w:color="auto"/>
      </w:divBdr>
    </w:div>
    <w:div w:id="1016806310">
      <w:bodyDiv w:val="1"/>
      <w:marLeft w:val="0"/>
      <w:marRight w:val="0"/>
      <w:marTop w:val="0"/>
      <w:marBottom w:val="0"/>
      <w:divBdr>
        <w:top w:val="none" w:sz="0" w:space="0" w:color="auto"/>
        <w:left w:val="none" w:sz="0" w:space="0" w:color="auto"/>
        <w:bottom w:val="none" w:sz="0" w:space="0" w:color="auto"/>
        <w:right w:val="none" w:sz="0" w:space="0" w:color="auto"/>
      </w:divBdr>
    </w:div>
    <w:div w:id="1017393204">
      <w:bodyDiv w:val="1"/>
      <w:marLeft w:val="0"/>
      <w:marRight w:val="0"/>
      <w:marTop w:val="0"/>
      <w:marBottom w:val="0"/>
      <w:divBdr>
        <w:top w:val="none" w:sz="0" w:space="0" w:color="auto"/>
        <w:left w:val="none" w:sz="0" w:space="0" w:color="auto"/>
        <w:bottom w:val="none" w:sz="0" w:space="0" w:color="auto"/>
        <w:right w:val="none" w:sz="0" w:space="0" w:color="auto"/>
      </w:divBdr>
    </w:div>
    <w:div w:id="1017853032">
      <w:bodyDiv w:val="1"/>
      <w:marLeft w:val="0"/>
      <w:marRight w:val="0"/>
      <w:marTop w:val="0"/>
      <w:marBottom w:val="0"/>
      <w:divBdr>
        <w:top w:val="none" w:sz="0" w:space="0" w:color="auto"/>
        <w:left w:val="none" w:sz="0" w:space="0" w:color="auto"/>
        <w:bottom w:val="none" w:sz="0" w:space="0" w:color="auto"/>
        <w:right w:val="none" w:sz="0" w:space="0" w:color="auto"/>
      </w:divBdr>
    </w:div>
    <w:div w:id="1018316723">
      <w:bodyDiv w:val="1"/>
      <w:marLeft w:val="0"/>
      <w:marRight w:val="0"/>
      <w:marTop w:val="0"/>
      <w:marBottom w:val="0"/>
      <w:divBdr>
        <w:top w:val="none" w:sz="0" w:space="0" w:color="auto"/>
        <w:left w:val="none" w:sz="0" w:space="0" w:color="auto"/>
        <w:bottom w:val="none" w:sz="0" w:space="0" w:color="auto"/>
        <w:right w:val="none" w:sz="0" w:space="0" w:color="auto"/>
      </w:divBdr>
    </w:div>
    <w:div w:id="1018434462">
      <w:bodyDiv w:val="1"/>
      <w:marLeft w:val="0"/>
      <w:marRight w:val="0"/>
      <w:marTop w:val="0"/>
      <w:marBottom w:val="0"/>
      <w:divBdr>
        <w:top w:val="none" w:sz="0" w:space="0" w:color="auto"/>
        <w:left w:val="none" w:sz="0" w:space="0" w:color="auto"/>
        <w:bottom w:val="none" w:sz="0" w:space="0" w:color="auto"/>
        <w:right w:val="none" w:sz="0" w:space="0" w:color="auto"/>
      </w:divBdr>
    </w:div>
    <w:div w:id="1018626172">
      <w:bodyDiv w:val="1"/>
      <w:marLeft w:val="0"/>
      <w:marRight w:val="0"/>
      <w:marTop w:val="0"/>
      <w:marBottom w:val="0"/>
      <w:divBdr>
        <w:top w:val="none" w:sz="0" w:space="0" w:color="auto"/>
        <w:left w:val="none" w:sz="0" w:space="0" w:color="auto"/>
        <w:bottom w:val="none" w:sz="0" w:space="0" w:color="auto"/>
        <w:right w:val="none" w:sz="0" w:space="0" w:color="auto"/>
      </w:divBdr>
    </w:div>
    <w:div w:id="1018698677">
      <w:bodyDiv w:val="1"/>
      <w:marLeft w:val="0"/>
      <w:marRight w:val="0"/>
      <w:marTop w:val="0"/>
      <w:marBottom w:val="0"/>
      <w:divBdr>
        <w:top w:val="none" w:sz="0" w:space="0" w:color="auto"/>
        <w:left w:val="none" w:sz="0" w:space="0" w:color="auto"/>
        <w:bottom w:val="none" w:sz="0" w:space="0" w:color="auto"/>
        <w:right w:val="none" w:sz="0" w:space="0" w:color="auto"/>
      </w:divBdr>
    </w:div>
    <w:div w:id="1019157239">
      <w:bodyDiv w:val="1"/>
      <w:marLeft w:val="0"/>
      <w:marRight w:val="0"/>
      <w:marTop w:val="0"/>
      <w:marBottom w:val="0"/>
      <w:divBdr>
        <w:top w:val="none" w:sz="0" w:space="0" w:color="auto"/>
        <w:left w:val="none" w:sz="0" w:space="0" w:color="auto"/>
        <w:bottom w:val="none" w:sz="0" w:space="0" w:color="auto"/>
        <w:right w:val="none" w:sz="0" w:space="0" w:color="auto"/>
      </w:divBdr>
    </w:div>
    <w:div w:id="1019158398">
      <w:bodyDiv w:val="1"/>
      <w:marLeft w:val="0"/>
      <w:marRight w:val="0"/>
      <w:marTop w:val="0"/>
      <w:marBottom w:val="0"/>
      <w:divBdr>
        <w:top w:val="none" w:sz="0" w:space="0" w:color="auto"/>
        <w:left w:val="none" w:sz="0" w:space="0" w:color="auto"/>
        <w:bottom w:val="none" w:sz="0" w:space="0" w:color="auto"/>
        <w:right w:val="none" w:sz="0" w:space="0" w:color="auto"/>
      </w:divBdr>
    </w:div>
    <w:div w:id="1019354824">
      <w:bodyDiv w:val="1"/>
      <w:marLeft w:val="0"/>
      <w:marRight w:val="0"/>
      <w:marTop w:val="0"/>
      <w:marBottom w:val="0"/>
      <w:divBdr>
        <w:top w:val="none" w:sz="0" w:space="0" w:color="auto"/>
        <w:left w:val="none" w:sz="0" w:space="0" w:color="auto"/>
        <w:bottom w:val="none" w:sz="0" w:space="0" w:color="auto"/>
        <w:right w:val="none" w:sz="0" w:space="0" w:color="auto"/>
      </w:divBdr>
    </w:div>
    <w:div w:id="1021473326">
      <w:bodyDiv w:val="1"/>
      <w:marLeft w:val="0"/>
      <w:marRight w:val="0"/>
      <w:marTop w:val="0"/>
      <w:marBottom w:val="0"/>
      <w:divBdr>
        <w:top w:val="none" w:sz="0" w:space="0" w:color="auto"/>
        <w:left w:val="none" w:sz="0" w:space="0" w:color="auto"/>
        <w:bottom w:val="none" w:sz="0" w:space="0" w:color="auto"/>
        <w:right w:val="none" w:sz="0" w:space="0" w:color="auto"/>
      </w:divBdr>
    </w:div>
    <w:div w:id="1022173318">
      <w:bodyDiv w:val="1"/>
      <w:marLeft w:val="0"/>
      <w:marRight w:val="0"/>
      <w:marTop w:val="0"/>
      <w:marBottom w:val="0"/>
      <w:divBdr>
        <w:top w:val="none" w:sz="0" w:space="0" w:color="auto"/>
        <w:left w:val="none" w:sz="0" w:space="0" w:color="auto"/>
        <w:bottom w:val="none" w:sz="0" w:space="0" w:color="auto"/>
        <w:right w:val="none" w:sz="0" w:space="0" w:color="auto"/>
      </w:divBdr>
    </w:div>
    <w:div w:id="1022438290">
      <w:bodyDiv w:val="1"/>
      <w:marLeft w:val="0"/>
      <w:marRight w:val="0"/>
      <w:marTop w:val="0"/>
      <w:marBottom w:val="0"/>
      <w:divBdr>
        <w:top w:val="none" w:sz="0" w:space="0" w:color="auto"/>
        <w:left w:val="none" w:sz="0" w:space="0" w:color="auto"/>
        <w:bottom w:val="none" w:sz="0" w:space="0" w:color="auto"/>
        <w:right w:val="none" w:sz="0" w:space="0" w:color="auto"/>
      </w:divBdr>
    </w:div>
    <w:div w:id="1022512447">
      <w:bodyDiv w:val="1"/>
      <w:marLeft w:val="0"/>
      <w:marRight w:val="0"/>
      <w:marTop w:val="0"/>
      <w:marBottom w:val="0"/>
      <w:divBdr>
        <w:top w:val="none" w:sz="0" w:space="0" w:color="auto"/>
        <w:left w:val="none" w:sz="0" w:space="0" w:color="auto"/>
        <w:bottom w:val="none" w:sz="0" w:space="0" w:color="auto"/>
        <w:right w:val="none" w:sz="0" w:space="0" w:color="auto"/>
      </w:divBdr>
    </w:div>
    <w:div w:id="1023164521">
      <w:bodyDiv w:val="1"/>
      <w:marLeft w:val="0"/>
      <w:marRight w:val="0"/>
      <w:marTop w:val="0"/>
      <w:marBottom w:val="0"/>
      <w:divBdr>
        <w:top w:val="none" w:sz="0" w:space="0" w:color="auto"/>
        <w:left w:val="none" w:sz="0" w:space="0" w:color="auto"/>
        <w:bottom w:val="none" w:sz="0" w:space="0" w:color="auto"/>
        <w:right w:val="none" w:sz="0" w:space="0" w:color="auto"/>
      </w:divBdr>
    </w:div>
    <w:div w:id="1025517811">
      <w:bodyDiv w:val="1"/>
      <w:marLeft w:val="0"/>
      <w:marRight w:val="0"/>
      <w:marTop w:val="0"/>
      <w:marBottom w:val="0"/>
      <w:divBdr>
        <w:top w:val="none" w:sz="0" w:space="0" w:color="auto"/>
        <w:left w:val="none" w:sz="0" w:space="0" w:color="auto"/>
        <w:bottom w:val="none" w:sz="0" w:space="0" w:color="auto"/>
        <w:right w:val="none" w:sz="0" w:space="0" w:color="auto"/>
      </w:divBdr>
    </w:div>
    <w:div w:id="1026755788">
      <w:bodyDiv w:val="1"/>
      <w:marLeft w:val="0"/>
      <w:marRight w:val="0"/>
      <w:marTop w:val="0"/>
      <w:marBottom w:val="0"/>
      <w:divBdr>
        <w:top w:val="none" w:sz="0" w:space="0" w:color="auto"/>
        <w:left w:val="none" w:sz="0" w:space="0" w:color="auto"/>
        <w:bottom w:val="none" w:sz="0" w:space="0" w:color="auto"/>
        <w:right w:val="none" w:sz="0" w:space="0" w:color="auto"/>
      </w:divBdr>
    </w:div>
    <w:div w:id="1027635580">
      <w:bodyDiv w:val="1"/>
      <w:marLeft w:val="0"/>
      <w:marRight w:val="0"/>
      <w:marTop w:val="0"/>
      <w:marBottom w:val="0"/>
      <w:divBdr>
        <w:top w:val="none" w:sz="0" w:space="0" w:color="auto"/>
        <w:left w:val="none" w:sz="0" w:space="0" w:color="auto"/>
        <w:bottom w:val="none" w:sz="0" w:space="0" w:color="auto"/>
        <w:right w:val="none" w:sz="0" w:space="0" w:color="auto"/>
      </w:divBdr>
    </w:div>
    <w:div w:id="1028992902">
      <w:bodyDiv w:val="1"/>
      <w:marLeft w:val="0"/>
      <w:marRight w:val="0"/>
      <w:marTop w:val="0"/>
      <w:marBottom w:val="0"/>
      <w:divBdr>
        <w:top w:val="none" w:sz="0" w:space="0" w:color="auto"/>
        <w:left w:val="none" w:sz="0" w:space="0" w:color="auto"/>
        <w:bottom w:val="none" w:sz="0" w:space="0" w:color="auto"/>
        <w:right w:val="none" w:sz="0" w:space="0" w:color="auto"/>
      </w:divBdr>
    </w:div>
    <w:div w:id="1029180613">
      <w:bodyDiv w:val="1"/>
      <w:marLeft w:val="0"/>
      <w:marRight w:val="0"/>
      <w:marTop w:val="0"/>
      <w:marBottom w:val="0"/>
      <w:divBdr>
        <w:top w:val="none" w:sz="0" w:space="0" w:color="auto"/>
        <w:left w:val="none" w:sz="0" w:space="0" w:color="auto"/>
        <w:bottom w:val="none" w:sz="0" w:space="0" w:color="auto"/>
        <w:right w:val="none" w:sz="0" w:space="0" w:color="auto"/>
      </w:divBdr>
    </w:div>
    <w:div w:id="1029647484">
      <w:bodyDiv w:val="1"/>
      <w:marLeft w:val="0"/>
      <w:marRight w:val="0"/>
      <w:marTop w:val="0"/>
      <w:marBottom w:val="0"/>
      <w:divBdr>
        <w:top w:val="none" w:sz="0" w:space="0" w:color="auto"/>
        <w:left w:val="none" w:sz="0" w:space="0" w:color="auto"/>
        <w:bottom w:val="none" w:sz="0" w:space="0" w:color="auto"/>
        <w:right w:val="none" w:sz="0" w:space="0" w:color="auto"/>
      </w:divBdr>
    </w:div>
    <w:div w:id="1029795541">
      <w:bodyDiv w:val="1"/>
      <w:marLeft w:val="0"/>
      <w:marRight w:val="0"/>
      <w:marTop w:val="0"/>
      <w:marBottom w:val="0"/>
      <w:divBdr>
        <w:top w:val="none" w:sz="0" w:space="0" w:color="auto"/>
        <w:left w:val="none" w:sz="0" w:space="0" w:color="auto"/>
        <w:bottom w:val="none" w:sz="0" w:space="0" w:color="auto"/>
        <w:right w:val="none" w:sz="0" w:space="0" w:color="auto"/>
      </w:divBdr>
    </w:div>
    <w:div w:id="1030377135">
      <w:bodyDiv w:val="1"/>
      <w:marLeft w:val="0"/>
      <w:marRight w:val="0"/>
      <w:marTop w:val="0"/>
      <w:marBottom w:val="0"/>
      <w:divBdr>
        <w:top w:val="none" w:sz="0" w:space="0" w:color="auto"/>
        <w:left w:val="none" w:sz="0" w:space="0" w:color="auto"/>
        <w:bottom w:val="none" w:sz="0" w:space="0" w:color="auto"/>
        <w:right w:val="none" w:sz="0" w:space="0" w:color="auto"/>
      </w:divBdr>
    </w:div>
    <w:div w:id="1030954209">
      <w:bodyDiv w:val="1"/>
      <w:marLeft w:val="0"/>
      <w:marRight w:val="0"/>
      <w:marTop w:val="0"/>
      <w:marBottom w:val="0"/>
      <w:divBdr>
        <w:top w:val="none" w:sz="0" w:space="0" w:color="auto"/>
        <w:left w:val="none" w:sz="0" w:space="0" w:color="auto"/>
        <w:bottom w:val="none" w:sz="0" w:space="0" w:color="auto"/>
        <w:right w:val="none" w:sz="0" w:space="0" w:color="auto"/>
      </w:divBdr>
    </w:div>
    <w:div w:id="1031298669">
      <w:bodyDiv w:val="1"/>
      <w:marLeft w:val="0"/>
      <w:marRight w:val="0"/>
      <w:marTop w:val="0"/>
      <w:marBottom w:val="0"/>
      <w:divBdr>
        <w:top w:val="none" w:sz="0" w:space="0" w:color="auto"/>
        <w:left w:val="none" w:sz="0" w:space="0" w:color="auto"/>
        <w:bottom w:val="none" w:sz="0" w:space="0" w:color="auto"/>
        <w:right w:val="none" w:sz="0" w:space="0" w:color="auto"/>
      </w:divBdr>
    </w:div>
    <w:div w:id="1031608091">
      <w:bodyDiv w:val="1"/>
      <w:marLeft w:val="0"/>
      <w:marRight w:val="0"/>
      <w:marTop w:val="0"/>
      <w:marBottom w:val="0"/>
      <w:divBdr>
        <w:top w:val="none" w:sz="0" w:space="0" w:color="auto"/>
        <w:left w:val="none" w:sz="0" w:space="0" w:color="auto"/>
        <w:bottom w:val="none" w:sz="0" w:space="0" w:color="auto"/>
        <w:right w:val="none" w:sz="0" w:space="0" w:color="auto"/>
      </w:divBdr>
    </w:div>
    <w:div w:id="1031610021">
      <w:bodyDiv w:val="1"/>
      <w:marLeft w:val="0"/>
      <w:marRight w:val="0"/>
      <w:marTop w:val="0"/>
      <w:marBottom w:val="0"/>
      <w:divBdr>
        <w:top w:val="none" w:sz="0" w:space="0" w:color="auto"/>
        <w:left w:val="none" w:sz="0" w:space="0" w:color="auto"/>
        <w:bottom w:val="none" w:sz="0" w:space="0" w:color="auto"/>
        <w:right w:val="none" w:sz="0" w:space="0" w:color="auto"/>
      </w:divBdr>
    </w:div>
    <w:div w:id="1032028069">
      <w:bodyDiv w:val="1"/>
      <w:marLeft w:val="0"/>
      <w:marRight w:val="0"/>
      <w:marTop w:val="0"/>
      <w:marBottom w:val="0"/>
      <w:divBdr>
        <w:top w:val="none" w:sz="0" w:space="0" w:color="auto"/>
        <w:left w:val="none" w:sz="0" w:space="0" w:color="auto"/>
        <w:bottom w:val="none" w:sz="0" w:space="0" w:color="auto"/>
        <w:right w:val="none" w:sz="0" w:space="0" w:color="auto"/>
      </w:divBdr>
    </w:div>
    <w:div w:id="1032389191">
      <w:bodyDiv w:val="1"/>
      <w:marLeft w:val="0"/>
      <w:marRight w:val="0"/>
      <w:marTop w:val="0"/>
      <w:marBottom w:val="0"/>
      <w:divBdr>
        <w:top w:val="none" w:sz="0" w:space="0" w:color="auto"/>
        <w:left w:val="none" w:sz="0" w:space="0" w:color="auto"/>
        <w:bottom w:val="none" w:sz="0" w:space="0" w:color="auto"/>
        <w:right w:val="none" w:sz="0" w:space="0" w:color="auto"/>
      </w:divBdr>
    </w:div>
    <w:div w:id="1032800431">
      <w:bodyDiv w:val="1"/>
      <w:marLeft w:val="0"/>
      <w:marRight w:val="0"/>
      <w:marTop w:val="0"/>
      <w:marBottom w:val="0"/>
      <w:divBdr>
        <w:top w:val="none" w:sz="0" w:space="0" w:color="auto"/>
        <w:left w:val="none" w:sz="0" w:space="0" w:color="auto"/>
        <w:bottom w:val="none" w:sz="0" w:space="0" w:color="auto"/>
        <w:right w:val="none" w:sz="0" w:space="0" w:color="auto"/>
      </w:divBdr>
    </w:div>
    <w:div w:id="1033117550">
      <w:bodyDiv w:val="1"/>
      <w:marLeft w:val="0"/>
      <w:marRight w:val="0"/>
      <w:marTop w:val="0"/>
      <w:marBottom w:val="0"/>
      <w:divBdr>
        <w:top w:val="none" w:sz="0" w:space="0" w:color="auto"/>
        <w:left w:val="none" w:sz="0" w:space="0" w:color="auto"/>
        <w:bottom w:val="none" w:sz="0" w:space="0" w:color="auto"/>
        <w:right w:val="none" w:sz="0" w:space="0" w:color="auto"/>
      </w:divBdr>
    </w:div>
    <w:div w:id="1034310683">
      <w:bodyDiv w:val="1"/>
      <w:marLeft w:val="0"/>
      <w:marRight w:val="0"/>
      <w:marTop w:val="0"/>
      <w:marBottom w:val="0"/>
      <w:divBdr>
        <w:top w:val="none" w:sz="0" w:space="0" w:color="auto"/>
        <w:left w:val="none" w:sz="0" w:space="0" w:color="auto"/>
        <w:bottom w:val="none" w:sz="0" w:space="0" w:color="auto"/>
        <w:right w:val="none" w:sz="0" w:space="0" w:color="auto"/>
      </w:divBdr>
    </w:div>
    <w:div w:id="1035697092">
      <w:bodyDiv w:val="1"/>
      <w:marLeft w:val="0"/>
      <w:marRight w:val="0"/>
      <w:marTop w:val="0"/>
      <w:marBottom w:val="0"/>
      <w:divBdr>
        <w:top w:val="none" w:sz="0" w:space="0" w:color="auto"/>
        <w:left w:val="none" w:sz="0" w:space="0" w:color="auto"/>
        <w:bottom w:val="none" w:sz="0" w:space="0" w:color="auto"/>
        <w:right w:val="none" w:sz="0" w:space="0" w:color="auto"/>
      </w:divBdr>
    </w:div>
    <w:div w:id="1036663039">
      <w:bodyDiv w:val="1"/>
      <w:marLeft w:val="0"/>
      <w:marRight w:val="0"/>
      <w:marTop w:val="0"/>
      <w:marBottom w:val="0"/>
      <w:divBdr>
        <w:top w:val="none" w:sz="0" w:space="0" w:color="auto"/>
        <w:left w:val="none" w:sz="0" w:space="0" w:color="auto"/>
        <w:bottom w:val="none" w:sz="0" w:space="0" w:color="auto"/>
        <w:right w:val="none" w:sz="0" w:space="0" w:color="auto"/>
      </w:divBdr>
    </w:div>
    <w:div w:id="1037201501">
      <w:bodyDiv w:val="1"/>
      <w:marLeft w:val="0"/>
      <w:marRight w:val="0"/>
      <w:marTop w:val="0"/>
      <w:marBottom w:val="0"/>
      <w:divBdr>
        <w:top w:val="none" w:sz="0" w:space="0" w:color="auto"/>
        <w:left w:val="none" w:sz="0" w:space="0" w:color="auto"/>
        <w:bottom w:val="none" w:sz="0" w:space="0" w:color="auto"/>
        <w:right w:val="none" w:sz="0" w:space="0" w:color="auto"/>
      </w:divBdr>
    </w:div>
    <w:div w:id="1037319150">
      <w:bodyDiv w:val="1"/>
      <w:marLeft w:val="0"/>
      <w:marRight w:val="0"/>
      <w:marTop w:val="0"/>
      <w:marBottom w:val="0"/>
      <w:divBdr>
        <w:top w:val="none" w:sz="0" w:space="0" w:color="auto"/>
        <w:left w:val="none" w:sz="0" w:space="0" w:color="auto"/>
        <w:bottom w:val="none" w:sz="0" w:space="0" w:color="auto"/>
        <w:right w:val="none" w:sz="0" w:space="0" w:color="auto"/>
      </w:divBdr>
    </w:div>
    <w:div w:id="1037926362">
      <w:bodyDiv w:val="1"/>
      <w:marLeft w:val="0"/>
      <w:marRight w:val="0"/>
      <w:marTop w:val="0"/>
      <w:marBottom w:val="0"/>
      <w:divBdr>
        <w:top w:val="none" w:sz="0" w:space="0" w:color="auto"/>
        <w:left w:val="none" w:sz="0" w:space="0" w:color="auto"/>
        <w:bottom w:val="none" w:sz="0" w:space="0" w:color="auto"/>
        <w:right w:val="none" w:sz="0" w:space="0" w:color="auto"/>
      </w:divBdr>
    </w:div>
    <w:div w:id="1038161019">
      <w:bodyDiv w:val="1"/>
      <w:marLeft w:val="0"/>
      <w:marRight w:val="0"/>
      <w:marTop w:val="0"/>
      <w:marBottom w:val="0"/>
      <w:divBdr>
        <w:top w:val="none" w:sz="0" w:space="0" w:color="auto"/>
        <w:left w:val="none" w:sz="0" w:space="0" w:color="auto"/>
        <w:bottom w:val="none" w:sz="0" w:space="0" w:color="auto"/>
        <w:right w:val="none" w:sz="0" w:space="0" w:color="auto"/>
      </w:divBdr>
    </w:div>
    <w:div w:id="1038165606">
      <w:bodyDiv w:val="1"/>
      <w:marLeft w:val="0"/>
      <w:marRight w:val="0"/>
      <w:marTop w:val="0"/>
      <w:marBottom w:val="0"/>
      <w:divBdr>
        <w:top w:val="none" w:sz="0" w:space="0" w:color="auto"/>
        <w:left w:val="none" w:sz="0" w:space="0" w:color="auto"/>
        <w:bottom w:val="none" w:sz="0" w:space="0" w:color="auto"/>
        <w:right w:val="none" w:sz="0" w:space="0" w:color="auto"/>
      </w:divBdr>
    </w:div>
    <w:div w:id="1038581513">
      <w:bodyDiv w:val="1"/>
      <w:marLeft w:val="0"/>
      <w:marRight w:val="0"/>
      <w:marTop w:val="0"/>
      <w:marBottom w:val="0"/>
      <w:divBdr>
        <w:top w:val="none" w:sz="0" w:space="0" w:color="auto"/>
        <w:left w:val="none" w:sz="0" w:space="0" w:color="auto"/>
        <w:bottom w:val="none" w:sz="0" w:space="0" w:color="auto"/>
        <w:right w:val="none" w:sz="0" w:space="0" w:color="auto"/>
      </w:divBdr>
    </w:div>
    <w:div w:id="1039234218">
      <w:bodyDiv w:val="1"/>
      <w:marLeft w:val="0"/>
      <w:marRight w:val="0"/>
      <w:marTop w:val="0"/>
      <w:marBottom w:val="0"/>
      <w:divBdr>
        <w:top w:val="none" w:sz="0" w:space="0" w:color="auto"/>
        <w:left w:val="none" w:sz="0" w:space="0" w:color="auto"/>
        <w:bottom w:val="none" w:sz="0" w:space="0" w:color="auto"/>
        <w:right w:val="none" w:sz="0" w:space="0" w:color="auto"/>
      </w:divBdr>
    </w:div>
    <w:div w:id="1039360167">
      <w:bodyDiv w:val="1"/>
      <w:marLeft w:val="0"/>
      <w:marRight w:val="0"/>
      <w:marTop w:val="0"/>
      <w:marBottom w:val="0"/>
      <w:divBdr>
        <w:top w:val="none" w:sz="0" w:space="0" w:color="auto"/>
        <w:left w:val="none" w:sz="0" w:space="0" w:color="auto"/>
        <w:bottom w:val="none" w:sz="0" w:space="0" w:color="auto"/>
        <w:right w:val="none" w:sz="0" w:space="0" w:color="auto"/>
      </w:divBdr>
    </w:div>
    <w:div w:id="1039553035">
      <w:bodyDiv w:val="1"/>
      <w:marLeft w:val="0"/>
      <w:marRight w:val="0"/>
      <w:marTop w:val="0"/>
      <w:marBottom w:val="0"/>
      <w:divBdr>
        <w:top w:val="none" w:sz="0" w:space="0" w:color="auto"/>
        <w:left w:val="none" w:sz="0" w:space="0" w:color="auto"/>
        <w:bottom w:val="none" w:sz="0" w:space="0" w:color="auto"/>
        <w:right w:val="none" w:sz="0" w:space="0" w:color="auto"/>
      </w:divBdr>
    </w:div>
    <w:div w:id="1039940368">
      <w:bodyDiv w:val="1"/>
      <w:marLeft w:val="0"/>
      <w:marRight w:val="0"/>
      <w:marTop w:val="0"/>
      <w:marBottom w:val="0"/>
      <w:divBdr>
        <w:top w:val="none" w:sz="0" w:space="0" w:color="auto"/>
        <w:left w:val="none" w:sz="0" w:space="0" w:color="auto"/>
        <w:bottom w:val="none" w:sz="0" w:space="0" w:color="auto"/>
        <w:right w:val="none" w:sz="0" w:space="0" w:color="auto"/>
      </w:divBdr>
    </w:div>
    <w:div w:id="1040322309">
      <w:bodyDiv w:val="1"/>
      <w:marLeft w:val="0"/>
      <w:marRight w:val="0"/>
      <w:marTop w:val="0"/>
      <w:marBottom w:val="0"/>
      <w:divBdr>
        <w:top w:val="none" w:sz="0" w:space="0" w:color="auto"/>
        <w:left w:val="none" w:sz="0" w:space="0" w:color="auto"/>
        <w:bottom w:val="none" w:sz="0" w:space="0" w:color="auto"/>
        <w:right w:val="none" w:sz="0" w:space="0" w:color="auto"/>
      </w:divBdr>
    </w:div>
    <w:div w:id="1040476368">
      <w:bodyDiv w:val="1"/>
      <w:marLeft w:val="0"/>
      <w:marRight w:val="0"/>
      <w:marTop w:val="0"/>
      <w:marBottom w:val="0"/>
      <w:divBdr>
        <w:top w:val="none" w:sz="0" w:space="0" w:color="auto"/>
        <w:left w:val="none" w:sz="0" w:space="0" w:color="auto"/>
        <w:bottom w:val="none" w:sz="0" w:space="0" w:color="auto"/>
        <w:right w:val="none" w:sz="0" w:space="0" w:color="auto"/>
      </w:divBdr>
    </w:div>
    <w:div w:id="1040982778">
      <w:bodyDiv w:val="1"/>
      <w:marLeft w:val="0"/>
      <w:marRight w:val="0"/>
      <w:marTop w:val="0"/>
      <w:marBottom w:val="0"/>
      <w:divBdr>
        <w:top w:val="none" w:sz="0" w:space="0" w:color="auto"/>
        <w:left w:val="none" w:sz="0" w:space="0" w:color="auto"/>
        <w:bottom w:val="none" w:sz="0" w:space="0" w:color="auto"/>
        <w:right w:val="none" w:sz="0" w:space="0" w:color="auto"/>
      </w:divBdr>
    </w:div>
    <w:div w:id="1041321337">
      <w:bodyDiv w:val="1"/>
      <w:marLeft w:val="0"/>
      <w:marRight w:val="0"/>
      <w:marTop w:val="0"/>
      <w:marBottom w:val="0"/>
      <w:divBdr>
        <w:top w:val="none" w:sz="0" w:space="0" w:color="auto"/>
        <w:left w:val="none" w:sz="0" w:space="0" w:color="auto"/>
        <w:bottom w:val="none" w:sz="0" w:space="0" w:color="auto"/>
        <w:right w:val="none" w:sz="0" w:space="0" w:color="auto"/>
      </w:divBdr>
    </w:div>
    <w:div w:id="1041900898">
      <w:bodyDiv w:val="1"/>
      <w:marLeft w:val="0"/>
      <w:marRight w:val="0"/>
      <w:marTop w:val="0"/>
      <w:marBottom w:val="0"/>
      <w:divBdr>
        <w:top w:val="none" w:sz="0" w:space="0" w:color="auto"/>
        <w:left w:val="none" w:sz="0" w:space="0" w:color="auto"/>
        <w:bottom w:val="none" w:sz="0" w:space="0" w:color="auto"/>
        <w:right w:val="none" w:sz="0" w:space="0" w:color="auto"/>
      </w:divBdr>
    </w:div>
    <w:div w:id="1042250324">
      <w:bodyDiv w:val="1"/>
      <w:marLeft w:val="0"/>
      <w:marRight w:val="0"/>
      <w:marTop w:val="0"/>
      <w:marBottom w:val="0"/>
      <w:divBdr>
        <w:top w:val="none" w:sz="0" w:space="0" w:color="auto"/>
        <w:left w:val="none" w:sz="0" w:space="0" w:color="auto"/>
        <w:bottom w:val="none" w:sz="0" w:space="0" w:color="auto"/>
        <w:right w:val="none" w:sz="0" w:space="0" w:color="auto"/>
      </w:divBdr>
    </w:div>
    <w:div w:id="1042628663">
      <w:bodyDiv w:val="1"/>
      <w:marLeft w:val="0"/>
      <w:marRight w:val="0"/>
      <w:marTop w:val="0"/>
      <w:marBottom w:val="0"/>
      <w:divBdr>
        <w:top w:val="none" w:sz="0" w:space="0" w:color="auto"/>
        <w:left w:val="none" w:sz="0" w:space="0" w:color="auto"/>
        <w:bottom w:val="none" w:sz="0" w:space="0" w:color="auto"/>
        <w:right w:val="none" w:sz="0" w:space="0" w:color="auto"/>
      </w:divBdr>
    </w:div>
    <w:div w:id="1044409962">
      <w:bodyDiv w:val="1"/>
      <w:marLeft w:val="0"/>
      <w:marRight w:val="0"/>
      <w:marTop w:val="0"/>
      <w:marBottom w:val="0"/>
      <w:divBdr>
        <w:top w:val="none" w:sz="0" w:space="0" w:color="auto"/>
        <w:left w:val="none" w:sz="0" w:space="0" w:color="auto"/>
        <w:bottom w:val="none" w:sz="0" w:space="0" w:color="auto"/>
        <w:right w:val="none" w:sz="0" w:space="0" w:color="auto"/>
      </w:divBdr>
    </w:div>
    <w:div w:id="1044980863">
      <w:bodyDiv w:val="1"/>
      <w:marLeft w:val="0"/>
      <w:marRight w:val="0"/>
      <w:marTop w:val="0"/>
      <w:marBottom w:val="0"/>
      <w:divBdr>
        <w:top w:val="none" w:sz="0" w:space="0" w:color="auto"/>
        <w:left w:val="none" w:sz="0" w:space="0" w:color="auto"/>
        <w:bottom w:val="none" w:sz="0" w:space="0" w:color="auto"/>
        <w:right w:val="none" w:sz="0" w:space="0" w:color="auto"/>
      </w:divBdr>
    </w:div>
    <w:div w:id="1046219980">
      <w:bodyDiv w:val="1"/>
      <w:marLeft w:val="0"/>
      <w:marRight w:val="0"/>
      <w:marTop w:val="0"/>
      <w:marBottom w:val="0"/>
      <w:divBdr>
        <w:top w:val="none" w:sz="0" w:space="0" w:color="auto"/>
        <w:left w:val="none" w:sz="0" w:space="0" w:color="auto"/>
        <w:bottom w:val="none" w:sz="0" w:space="0" w:color="auto"/>
        <w:right w:val="none" w:sz="0" w:space="0" w:color="auto"/>
      </w:divBdr>
    </w:div>
    <w:div w:id="1046374326">
      <w:bodyDiv w:val="1"/>
      <w:marLeft w:val="0"/>
      <w:marRight w:val="0"/>
      <w:marTop w:val="0"/>
      <w:marBottom w:val="0"/>
      <w:divBdr>
        <w:top w:val="none" w:sz="0" w:space="0" w:color="auto"/>
        <w:left w:val="none" w:sz="0" w:space="0" w:color="auto"/>
        <w:bottom w:val="none" w:sz="0" w:space="0" w:color="auto"/>
        <w:right w:val="none" w:sz="0" w:space="0" w:color="auto"/>
      </w:divBdr>
    </w:div>
    <w:div w:id="1047488725">
      <w:bodyDiv w:val="1"/>
      <w:marLeft w:val="0"/>
      <w:marRight w:val="0"/>
      <w:marTop w:val="0"/>
      <w:marBottom w:val="0"/>
      <w:divBdr>
        <w:top w:val="none" w:sz="0" w:space="0" w:color="auto"/>
        <w:left w:val="none" w:sz="0" w:space="0" w:color="auto"/>
        <w:bottom w:val="none" w:sz="0" w:space="0" w:color="auto"/>
        <w:right w:val="none" w:sz="0" w:space="0" w:color="auto"/>
      </w:divBdr>
    </w:div>
    <w:div w:id="1048334454">
      <w:bodyDiv w:val="1"/>
      <w:marLeft w:val="0"/>
      <w:marRight w:val="0"/>
      <w:marTop w:val="0"/>
      <w:marBottom w:val="0"/>
      <w:divBdr>
        <w:top w:val="none" w:sz="0" w:space="0" w:color="auto"/>
        <w:left w:val="none" w:sz="0" w:space="0" w:color="auto"/>
        <w:bottom w:val="none" w:sz="0" w:space="0" w:color="auto"/>
        <w:right w:val="none" w:sz="0" w:space="0" w:color="auto"/>
      </w:divBdr>
    </w:div>
    <w:div w:id="1049648265">
      <w:bodyDiv w:val="1"/>
      <w:marLeft w:val="0"/>
      <w:marRight w:val="0"/>
      <w:marTop w:val="0"/>
      <w:marBottom w:val="0"/>
      <w:divBdr>
        <w:top w:val="none" w:sz="0" w:space="0" w:color="auto"/>
        <w:left w:val="none" w:sz="0" w:space="0" w:color="auto"/>
        <w:bottom w:val="none" w:sz="0" w:space="0" w:color="auto"/>
        <w:right w:val="none" w:sz="0" w:space="0" w:color="auto"/>
      </w:divBdr>
    </w:div>
    <w:div w:id="1050110309">
      <w:bodyDiv w:val="1"/>
      <w:marLeft w:val="0"/>
      <w:marRight w:val="0"/>
      <w:marTop w:val="0"/>
      <w:marBottom w:val="0"/>
      <w:divBdr>
        <w:top w:val="none" w:sz="0" w:space="0" w:color="auto"/>
        <w:left w:val="none" w:sz="0" w:space="0" w:color="auto"/>
        <w:bottom w:val="none" w:sz="0" w:space="0" w:color="auto"/>
        <w:right w:val="none" w:sz="0" w:space="0" w:color="auto"/>
      </w:divBdr>
    </w:div>
    <w:div w:id="1050153719">
      <w:bodyDiv w:val="1"/>
      <w:marLeft w:val="0"/>
      <w:marRight w:val="0"/>
      <w:marTop w:val="0"/>
      <w:marBottom w:val="0"/>
      <w:divBdr>
        <w:top w:val="none" w:sz="0" w:space="0" w:color="auto"/>
        <w:left w:val="none" w:sz="0" w:space="0" w:color="auto"/>
        <w:bottom w:val="none" w:sz="0" w:space="0" w:color="auto"/>
        <w:right w:val="none" w:sz="0" w:space="0" w:color="auto"/>
      </w:divBdr>
    </w:div>
    <w:div w:id="1050378185">
      <w:bodyDiv w:val="1"/>
      <w:marLeft w:val="0"/>
      <w:marRight w:val="0"/>
      <w:marTop w:val="0"/>
      <w:marBottom w:val="0"/>
      <w:divBdr>
        <w:top w:val="none" w:sz="0" w:space="0" w:color="auto"/>
        <w:left w:val="none" w:sz="0" w:space="0" w:color="auto"/>
        <w:bottom w:val="none" w:sz="0" w:space="0" w:color="auto"/>
        <w:right w:val="none" w:sz="0" w:space="0" w:color="auto"/>
      </w:divBdr>
    </w:div>
    <w:div w:id="1050610016">
      <w:bodyDiv w:val="1"/>
      <w:marLeft w:val="0"/>
      <w:marRight w:val="0"/>
      <w:marTop w:val="0"/>
      <w:marBottom w:val="0"/>
      <w:divBdr>
        <w:top w:val="none" w:sz="0" w:space="0" w:color="auto"/>
        <w:left w:val="none" w:sz="0" w:space="0" w:color="auto"/>
        <w:bottom w:val="none" w:sz="0" w:space="0" w:color="auto"/>
        <w:right w:val="none" w:sz="0" w:space="0" w:color="auto"/>
      </w:divBdr>
    </w:div>
    <w:div w:id="1051534266">
      <w:bodyDiv w:val="1"/>
      <w:marLeft w:val="0"/>
      <w:marRight w:val="0"/>
      <w:marTop w:val="0"/>
      <w:marBottom w:val="0"/>
      <w:divBdr>
        <w:top w:val="none" w:sz="0" w:space="0" w:color="auto"/>
        <w:left w:val="none" w:sz="0" w:space="0" w:color="auto"/>
        <w:bottom w:val="none" w:sz="0" w:space="0" w:color="auto"/>
        <w:right w:val="none" w:sz="0" w:space="0" w:color="auto"/>
      </w:divBdr>
    </w:div>
    <w:div w:id="1051538003">
      <w:bodyDiv w:val="1"/>
      <w:marLeft w:val="0"/>
      <w:marRight w:val="0"/>
      <w:marTop w:val="0"/>
      <w:marBottom w:val="0"/>
      <w:divBdr>
        <w:top w:val="none" w:sz="0" w:space="0" w:color="auto"/>
        <w:left w:val="none" w:sz="0" w:space="0" w:color="auto"/>
        <w:bottom w:val="none" w:sz="0" w:space="0" w:color="auto"/>
        <w:right w:val="none" w:sz="0" w:space="0" w:color="auto"/>
      </w:divBdr>
    </w:div>
    <w:div w:id="1051618150">
      <w:bodyDiv w:val="1"/>
      <w:marLeft w:val="0"/>
      <w:marRight w:val="0"/>
      <w:marTop w:val="0"/>
      <w:marBottom w:val="0"/>
      <w:divBdr>
        <w:top w:val="none" w:sz="0" w:space="0" w:color="auto"/>
        <w:left w:val="none" w:sz="0" w:space="0" w:color="auto"/>
        <w:bottom w:val="none" w:sz="0" w:space="0" w:color="auto"/>
        <w:right w:val="none" w:sz="0" w:space="0" w:color="auto"/>
      </w:divBdr>
    </w:div>
    <w:div w:id="1051881510">
      <w:bodyDiv w:val="1"/>
      <w:marLeft w:val="0"/>
      <w:marRight w:val="0"/>
      <w:marTop w:val="0"/>
      <w:marBottom w:val="0"/>
      <w:divBdr>
        <w:top w:val="none" w:sz="0" w:space="0" w:color="auto"/>
        <w:left w:val="none" w:sz="0" w:space="0" w:color="auto"/>
        <w:bottom w:val="none" w:sz="0" w:space="0" w:color="auto"/>
        <w:right w:val="none" w:sz="0" w:space="0" w:color="auto"/>
      </w:divBdr>
    </w:div>
    <w:div w:id="1052000254">
      <w:bodyDiv w:val="1"/>
      <w:marLeft w:val="0"/>
      <w:marRight w:val="0"/>
      <w:marTop w:val="0"/>
      <w:marBottom w:val="0"/>
      <w:divBdr>
        <w:top w:val="none" w:sz="0" w:space="0" w:color="auto"/>
        <w:left w:val="none" w:sz="0" w:space="0" w:color="auto"/>
        <w:bottom w:val="none" w:sz="0" w:space="0" w:color="auto"/>
        <w:right w:val="none" w:sz="0" w:space="0" w:color="auto"/>
      </w:divBdr>
    </w:div>
    <w:div w:id="1055396300">
      <w:bodyDiv w:val="1"/>
      <w:marLeft w:val="0"/>
      <w:marRight w:val="0"/>
      <w:marTop w:val="0"/>
      <w:marBottom w:val="0"/>
      <w:divBdr>
        <w:top w:val="none" w:sz="0" w:space="0" w:color="auto"/>
        <w:left w:val="none" w:sz="0" w:space="0" w:color="auto"/>
        <w:bottom w:val="none" w:sz="0" w:space="0" w:color="auto"/>
        <w:right w:val="none" w:sz="0" w:space="0" w:color="auto"/>
      </w:divBdr>
    </w:div>
    <w:div w:id="1056466977">
      <w:bodyDiv w:val="1"/>
      <w:marLeft w:val="0"/>
      <w:marRight w:val="0"/>
      <w:marTop w:val="0"/>
      <w:marBottom w:val="0"/>
      <w:divBdr>
        <w:top w:val="none" w:sz="0" w:space="0" w:color="auto"/>
        <w:left w:val="none" w:sz="0" w:space="0" w:color="auto"/>
        <w:bottom w:val="none" w:sz="0" w:space="0" w:color="auto"/>
        <w:right w:val="none" w:sz="0" w:space="0" w:color="auto"/>
      </w:divBdr>
    </w:div>
    <w:div w:id="1056666279">
      <w:bodyDiv w:val="1"/>
      <w:marLeft w:val="0"/>
      <w:marRight w:val="0"/>
      <w:marTop w:val="0"/>
      <w:marBottom w:val="0"/>
      <w:divBdr>
        <w:top w:val="none" w:sz="0" w:space="0" w:color="auto"/>
        <w:left w:val="none" w:sz="0" w:space="0" w:color="auto"/>
        <w:bottom w:val="none" w:sz="0" w:space="0" w:color="auto"/>
        <w:right w:val="none" w:sz="0" w:space="0" w:color="auto"/>
      </w:divBdr>
    </w:div>
    <w:div w:id="1057702469">
      <w:bodyDiv w:val="1"/>
      <w:marLeft w:val="0"/>
      <w:marRight w:val="0"/>
      <w:marTop w:val="0"/>
      <w:marBottom w:val="0"/>
      <w:divBdr>
        <w:top w:val="none" w:sz="0" w:space="0" w:color="auto"/>
        <w:left w:val="none" w:sz="0" w:space="0" w:color="auto"/>
        <w:bottom w:val="none" w:sz="0" w:space="0" w:color="auto"/>
        <w:right w:val="none" w:sz="0" w:space="0" w:color="auto"/>
      </w:divBdr>
    </w:div>
    <w:div w:id="1058168234">
      <w:bodyDiv w:val="1"/>
      <w:marLeft w:val="0"/>
      <w:marRight w:val="0"/>
      <w:marTop w:val="0"/>
      <w:marBottom w:val="0"/>
      <w:divBdr>
        <w:top w:val="none" w:sz="0" w:space="0" w:color="auto"/>
        <w:left w:val="none" w:sz="0" w:space="0" w:color="auto"/>
        <w:bottom w:val="none" w:sz="0" w:space="0" w:color="auto"/>
        <w:right w:val="none" w:sz="0" w:space="0" w:color="auto"/>
      </w:divBdr>
    </w:div>
    <w:div w:id="1059326920">
      <w:bodyDiv w:val="1"/>
      <w:marLeft w:val="0"/>
      <w:marRight w:val="0"/>
      <w:marTop w:val="0"/>
      <w:marBottom w:val="0"/>
      <w:divBdr>
        <w:top w:val="none" w:sz="0" w:space="0" w:color="auto"/>
        <w:left w:val="none" w:sz="0" w:space="0" w:color="auto"/>
        <w:bottom w:val="none" w:sz="0" w:space="0" w:color="auto"/>
        <w:right w:val="none" w:sz="0" w:space="0" w:color="auto"/>
      </w:divBdr>
    </w:div>
    <w:div w:id="1061095072">
      <w:bodyDiv w:val="1"/>
      <w:marLeft w:val="0"/>
      <w:marRight w:val="0"/>
      <w:marTop w:val="0"/>
      <w:marBottom w:val="0"/>
      <w:divBdr>
        <w:top w:val="none" w:sz="0" w:space="0" w:color="auto"/>
        <w:left w:val="none" w:sz="0" w:space="0" w:color="auto"/>
        <w:bottom w:val="none" w:sz="0" w:space="0" w:color="auto"/>
        <w:right w:val="none" w:sz="0" w:space="0" w:color="auto"/>
      </w:divBdr>
    </w:div>
    <w:div w:id="1061172263">
      <w:bodyDiv w:val="1"/>
      <w:marLeft w:val="0"/>
      <w:marRight w:val="0"/>
      <w:marTop w:val="0"/>
      <w:marBottom w:val="0"/>
      <w:divBdr>
        <w:top w:val="none" w:sz="0" w:space="0" w:color="auto"/>
        <w:left w:val="none" w:sz="0" w:space="0" w:color="auto"/>
        <w:bottom w:val="none" w:sz="0" w:space="0" w:color="auto"/>
        <w:right w:val="none" w:sz="0" w:space="0" w:color="auto"/>
      </w:divBdr>
    </w:div>
    <w:div w:id="1061292903">
      <w:bodyDiv w:val="1"/>
      <w:marLeft w:val="0"/>
      <w:marRight w:val="0"/>
      <w:marTop w:val="0"/>
      <w:marBottom w:val="0"/>
      <w:divBdr>
        <w:top w:val="none" w:sz="0" w:space="0" w:color="auto"/>
        <w:left w:val="none" w:sz="0" w:space="0" w:color="auto"/>
        <w:bottom w:val="none" w:sz="0" w:space="0" w:color="auto"/>
        <w:right w:val="none" w:sz="0" w:space="0" w:color="auto"/>
      </w:divBdr>
    </w:div>
    <w:div w:id="1061633294">
      <w:bodyDiv w:val="1"/>
      <w:marLeft w:val="0"/>
      <w:marRight w:val="0"/>
      <w:marTop w:val="0"/>
      <w:marBottom w:val="0"/>
      <w:divBdr>
        <w:top w:val="none" w:sz="0" w:space="0" w:color="auto"/>
        <w:left w:val="none" w:sz="0" w:space="0" w:color="auto"/>
        <w:bottom w:val="none" w:sz="0" w:space="0" w:color="auto"/>
        <w:right w:val="none" w:sz="0" w:space="0" w:color="auto"/>
      </w:divBdr>
    </w:div>
    <w:div w:id="1061908431">
      <w:bodyDiv w:val="1"/>
      <w:marLeft w:val="0"/>
      <w:marRight w:val="0"/>
      <w:marTop w:val="0"/>
      <w:marBottom w:val="0"/>
      <w:divBdr>
        <w:top w:val="none" w:sz="0" w:space="0" w:color="auto"/>
        <w:left w:val="none" w:sz="0" w:space="0" w:color="auto"/>
        <w:bottom w:val="none" w:sz="0" w:space="0" w:color="auto"/>
        <w:right w:val="none" w:sz="0" w:space="0" w:color="auto"/>
      </w:divBdr>
    </w:div>
    <w:div w:id="1062556821">
      <w:bodyDiv w:val="1"/>
      <w:marLeft w:val="0"/>
      <w:marRight w:val="0"/>
      <w:marTop w:val="0"/>
      <w:marBottom w:val="0"/>
      <w:divBdr>
        <w:top w:val="none" w:sz="0" w:space="0" w:color="auto"/>
        <w:left w:val="none" w:sz="0" w:space="0" w:color="auto"/>
        <w:bottom w:val="none" w:sz="0" w:space="0" w:color="auto"/>
        <w:right w:val="none" w:sz="0" w:space="0" w:color="auto"/>
      </w:divBdr>
    </w:div>
    <w:div w:id="1063022915">
      <w:bodyDiv w:val="1"/>
      <w:marLeft w:val="0"/>
      <w:marRight w:val="0"/>
      <w:marTop w:val="0"/>
      <w:marBottom w:val="0"/>
      <w:divBdr>
        <w:top w:val="none" w:sz="0" w:space="0" w:color="auto"/>
        <w:left w:val="none" w:sz="0" w:space="0" w:color="auto"/>
        <w:bottom w:val="none" w:sz="0" w:space="0" w:color="auto"/>
        <w:right w:val="none" w:sz="0" w:space="0" w:color="auto"/>
      </w:divBdr>
    </w:div>
    <w:div w:id="1064375088">
      <w:bodyDiv w:val="1"/>
      <w:marLeft w:val="0"/>
      <w:marRight w:val="0"/>
      <w:marTop w:val="0"/>
      <w:marBottom w:val="0"/>
      <w:divBdr>
        <w:top w:val="none" w:sz="0" w:space="0" w:color="auto"/>
        <w:left w:val="none" w:sz="0" w:space="0" w:color="auto"/>
        <w:bottom w:val="none" w:sz="0" w:space="0" w:color="auto"/>
        <w:right w:val="none" w:sz="0" w:space="0" w:color="auto"/>
      </w:divBdr>
    </w:div>
    <w:div w:id="1064530511">
      <w:bodyDiv w:val="1"/>
      <w:marLeft w:val="0"/>
      <w:marRight w:val="0"/>
      <w:marTop w:val="0"/>
      <w:marBottom w:val="0"/>
      <w:divBdr>
        <w:top w:val="none" w:sz="0" w:space="0" w:color="auto"/>
        <w:left w:val="none" w:sz="0" w:space="0" w:color="auto"/>
        <w:bottom w:val="none" w:sz="0" w:space="0" w:color="auto"/>
        <w:right w:val="none" w:sz="0" w:space="0" w:color="auto"/>
      </w:divBdr>
    </w:div>
    <w:div w:id="1064717693">
      <w:bodyDiv w:val="1"/>
      <w:marLeft w:val="0"/>
      <w:marRight w:val="0"/>
      <w:marTop w:val="0"/>
      <w:marBottom w:val="0"/>
      <w:divBdr>
        <w:top w:val="none" w:sz="0" w:space="0" w:color="auto"/>
        <w:left w:val="none" w:sz="0" w:space="0" w:color="auto"/>
        <w:bottom w:val="none" w:sz="0" w:space="0" w:color="auto"/>
        <w:right w:val="none" w:sz="0" w:space="0" w:color="auto"/>
      </w:divBdr>
    </w:div>
    <w:div w:id="1064836555">
      <w:bodyDiv w:val="1"/>
      <w:marLeft w:val="0"/>
      <w:marRight w:val="0"/>
      <w:marTop w:val="0"/>
      <w:marBottom w:val="0"/>
      <w:divBdr>
        <w:top w:val="none" w:sz="0" w:space="0" w:color="auto"/>
        <w:left w:val="none" w:sz="0" w:space="0" w:color="auto"/>
        <w:bottom w:val="none" w:sz="0" w:space="0" w:color="auto"/>
        <w:right w:val="none" w:sz="0" w:space="0" w:color="auto"/>
      </w:divBdr>
    </w:div>
    <w:div w:id="1064988833">
      <w:bodyDiv w:val="1"/>
      <w:marLeft w:val="0"/>
      <w:marRight w:val="0"/>
      <w:marTop w:val="0"/>
      <w:marBottom w:val="0"/>
      <w:divBdr>
        <w:top w:val="none" w:sz="0" w:space="0" w:color="auto"/>
        <w:left w:val="none" w:sz="0" w:space="0" w:color="auto"/>
        <w:bottom w:val="none" w:sz="0" w:space="0" w:color="auto"/>
        <w:right w:val="none" w:sz="0" w:space="0" w:color="auto"/>
      </w:divBdr>
    </w:div>
    <w:div w:id="1065686418">
      <w:bodyDiv w:val="1"/>
      <w:marLeft w:val="0"/>
      <w:marRight w:val="0"/>
      <w:marTop w:val="0"/>
      <w:marBottom w:val="0"/>
      <w:divBdr>
        <w:top w:val="none" w:sz="0" w:space="0" w:color="auto"/>
        <w:left w:val="none" w:sz="0" w:space="0" w:color="auto"/>
        <w:bottom w:val="none" w:sz="0" w:space="0" w:color="auto"/>
        <w:right w:val="none" w:sz="0" w:space="0" w:color="auto"/>
      </w:divBdr>
    </w:div>
    <w:div w:id="1066296597">
      <w:bodyDiv w:val="1"/>
      <w:marLeft w:val="0"/>
      <w:marRight w:val="0"/>
      <w:marTop w:val="0"/>
      <w:marBottom w:val="0"/>
      <w:divBdr>
        <w:top w:val="none" w:sz="0" w:space="0" w:color="auto"/>
        <w:left w:val="none" w:sz="0" w:space="0" w:color="auto"/>
        <w:bottom w:val="none" w:sz="0" w:space="0" w:color="auto"/>
        <w:right w:val="none" w:sz="0" w:space="0" w:color="auto"/>
      </w:divBdr>
    </w:div>
    <w:div w:id="1066340138">
      <w:bodyDiv w:val="1"/>
      <w:marLeft w:val="0"/>
      <w:marRight w:val="0"/>
      <w:marTop w:val="0"/>
      <w:marBottom w:val="0"/>
      <w:divBdr>
        <w:top w:val="none" w:sz="0" w:space="0" w:color="auto"/>
        <w:left w:val="none" w:sz="0" w:space="0" w:color="auto"/>
        <w:bottom w:val="none" w:sz="0" w:space="0" w:color="auto"/>
        <w:right w:val="none" w:sz="0" w:space="0" w:color="auto"/>
      </w:divBdr>
    </w:div>
    <w:div w:id="1066881023">
      <w:bodyDiv w:val="1"/>
      <w:marLeft w:val="0"/>
      <w:marRight w:val="0"/>
      <w:marTop w:val="0"/>
      <w:marBottom w:val="0"/>
      <w:divBdr>
        <w:top w:val="none" w:sz="0" w:space="0" w:color="auto"/>
        <w:left w:val="none" w:sz="0" w:space="0" w:color="auto"/>
        <w:bottom w:val="none" w:sz="0" w:space="0" w:color="auto"/>
        <w:right w:val="none" w:sz="0" w:space="0" w:color="auto"/>
      </w:divBdr>
    </w:div>
    <w:div w:id="1066956495">
      <w:bodyDiv w:val="1"/>
      <w:marLeft w:val="0"/>
      <w:marRight w:val="0"/>
      <w:marTop w:val="0"/>
      <w:marBottom w:val="0"/>
      <w:divBdr>
        <w:top w:val="none" w:sz="0" w:space="0" w:color="auto"/>
        <w:left w:val="none" w:sz="0" w:space="0" w:color="auto"/>
        <w:bottom w:val="none" w:sz="0" w:space="0" w:color="auto"/>
        <w:right w:val="none" w:sz="0" w:space="0" w:color="auto"/>
      </w:divBdr>
    </w:div>
    <w:div w:id="1067651563">
      <w:bodyDiv w:val="1"/>
      <w:marLeft w:val="0"/>
      <w:marRight w:val="0"/>
      <w:marTop w:val="0"/>
      <w:marBottom w:val="0"/>
      <w:divBdr>
        <w:top w:val="none" w:sz="0" w:space="0" w:color="auto"/>
        <w:left w:val="none" w:sz="0" w:space="0" w:color="auto"/>
        <w:bottom w:val="none" w:sz="0" w:space="0" w:color="auto"/>
        <w:right w:val="none" w:sz="0" w:space="0" w:color="auto"/>
      </w:divBdr>
    </w:div>
    <w:div w:id="1067728014">
      <w:bodyDiv w:val="1"/>
      <w:marLeft w:val="0"/>
      <w:marRight w:val="0"/>
      <w:marTop w:val="0"/>
      <w:marBottom w:val="0"/>
      <w:divBdr>
        <w:top w:val="none" w:sz="0" w:space="0" w:color="auto"/>
        <w:left w:val="none" w:sz="0" w:space="0" w:color="auto"/>
        <w:bottom w:val="none" w:sz="0" w:space="0" w:color="auto"/>
        <w:right w:val="none" w:sz="0" w:space="0" w:color="auto"/>
      </w:divBdr>
    </w:div>
    <w:div w:id="1068530375">
      <w:bodyDiv w:val="1"/>
      <w:marLeft w:val="0"/>
      <w:marRight w:val="0"/>
      <w:marTop w:val="0"/>
      <w:marBottom w:val="0"/>
      <w:divBdr>
        <w:top w:val="none" w:sz="0" w:space="0" w:color="auto"/>
        <w:left w:val="none" w:sz="0" w:space="0" w:color="auto"/>
        <w:bottom w:val="none" w:sz="0" w:space="0" w:color="auto"/>
        <w:right w:val="none" w:sz="0" w:space="0" w:color="auto"/>
      </w:divBdr>
    </w:div>
    <w:div w:id="1068773543">
      <w:bodyDiv w:val="1"/>
      <w:marLeft w:val="0"/>
      <w:marRight w:val="0"/>
      <w:marTop w:val="0"/>
      <w:marBottom w:val="0"/>
      <w:divBdr>
        <w:top w:val="none" w:sz="0" w:space="0" w:color="auto"/>
        <w:left w:val="none" w:sz="0" w:space="0" w:color="auto"/>
        <w:bottom w:val="none" w:sz="0" w:space="0" w:color="auto"/>
        <w:right w:val="none" w:sz="0" w:space="0" w:color="auto"/>
      </w:divBdr>
    </w:div>
    <w:div w:id="1069887053">
      <w:bodyDiv w:val="1"/>
      <w:marLeft w:val="0"/>
      <w:marRight w:val="0"/>
      <w:marTop w:val="0"/>
      <w:marBottom w:val="0"/>
      <w:divBdr>
        <w:top w:val="none" w:sz="0" w:space="0" w:color="auto"/>
        <w:left w:val="none" w:sz="0" w:space="0" w:color="auto"/>
        <w:bottom w:val="none" w:sz="0" w:space="0" w:color="auto"/>
        <w:right w:val="none" w:sz="0" w:space="0" w:color="auto"/>
      </w:divBdr>
    </w:div>
    <w:div w:id="1070036053">
      <w:bodyDiv w:val="1"/>
      <w:marLeft w:val="0"/>
      <w:marRight w:val="0"/>
      <w:marTop w:val="0"/>
      <w:marBottom w:val="0"/>
      <w:divBdr>
        <w:top w:val="none" w:sz="0" w:space="0" w:color="auto"/>
        <w:left w:val="none" w:sz="0" w:space="0" w:color="auto"/>
        <w:bottom w:val="none" w:sz="0" w:space="0" w:color="auto"/>
        <w:right w:val="none" w:sz="0" w:space="0" w:color="auto"/>
      </w:divBdr>
    </w:div>
    <w:div w:id="1071270970">
      <w:bodyDiv w:val="1"/>
      <w:marLeft w:val="0"/>
      <w:marRight w:val="0"/>
      <w:marTop w:val="0"/>
      <w:marBottom w:val="0"/>
      <w:divBdr>
        <w:top w:val="none" w:sz="0" w:space="0" w:color="auto"/>
        <w:left w:val="none" w:sz="0" w:space="0" w:color="auto"/>
        <w:bottom w:val="none" w:sz="0" w:space="0" w:color="auto"/>
        <w:right w:val="none" w:sz="0" w:space="0" w:color="auto"/>
      </w:divBdr>
    </w:div>
    <w:div w:id="1071348233">
      <w:bodyDiv w:val="1"/>
      <w:marLeft w:val="0"/>
      <w:marRight w:val="0"/>
      <w:marTop w:val="0"/>
      <w:marBottom w:val="0"/>
      <w:divBdr>
        <w:top w:val="none" w:sz="0" w:space="0" w:color="auto"/>
        <w:left w:val="none" w:sz="0" w:space="0" w:color="auto"/>
        <w:bottom w:val="none" w:sz="0" w:space="0" w:color="auto"/>
        <w:right w:val="none" w:sz="0" w:space="0" w:color="auto"/>
      </w:divBdr>
    </w:div>
    <w:div w:id="1072120689">
      <w:bodyDiv w:val="1"/>
      <w:marLeft w:val="0"/>
      <w:marRight w:val="0"/>
      <w:marTop w:val="0"/>
      <w:marBottom w:val="0"/>
      <w:divBdr>
        <w:top w:val="none" w:sz="0" w:space="0" w:color="auto"/>
        <w:left w:val="none" w:sz="0" w:space="0" w:color="auto"/>
        <w:bottom w:val="none" w:sz="0" w:space="0" w:color="auto"/>
        <w:right w:val="none" w:sz="0" w:space="0" w:color="auto"/>
      </w:divBdr>
    </w:div>
    <w:div w:id="1073741855">
      <w:bodyDiv w:val="1"/>
      <w:marLeft w:val="0"/>
      <w:marRight w:val="0"/>
      <w:marTop w:val="0"/>
      <w:marBottom w:val="0"/>
      <w:divBdr>
        <w:top w:val="none" w:sz="0" w:space="0" w:color="auto"/>
        <w:left w:val="none" w:sz="0" w:space="0" w:color="auto"/>
        <w:bottom w:val="none" w:sz="0" w:space="0" w:color="auto"/>
        <w:right w:val="none" w:sz="0" w:space="0" w:color="auto"/>
      </w:divBdr>
    </w:div>
    <w:div w:id="1074814258">
      <w:bodyDiv w:val="1"/>
      <w:marLeft w:val="0"/>
      <w:marRight w:val="0"/>
      <w:marTop w:val="0"/>
      <w:marBottom w:val="0"/>
      <w:divBdr>
        <w:top w:val="none" w:sz="0" w:space="0" w:color="auto"/>
        <w:left w:val="none" w:sz="0" w:space="0" w:color="auto"/>
        <w:bottom w:val="none" w:sz="0" w:space="0" w:color="auto"/>
        <w:right w:val="none" w:sz="0" w:space="0" w:color="auto"/>
      </w:divBdr>
    </w:div>
    <w:div w:id="1074930499">
      <w:bodyDiv w:val="1"/>
      <w:marLeft w:val="0"/>
      <w:marRight w:val="0"/>
      <w:marTop w:val="0"/>
      <w:marBottom w:val="0"/>
      <w:divBdr>
        <w:top w:val="none" w:sz="0" w:space="0" w:color="auto"/>
        <w:left w:val="none" w:sz="0" w:space="0" w:color="auto"/>
        <w:bottom w:val="none" w:sz="0" w:space="0" w:color="auto"/>
        <w:right w:val="none" w:sz="0" w:space="0" w:color="auto"/>
      </w:divBdr>
    </w:div>
    <w:div w:id="1075010502">
      <w:bodyDiv w:val="1"/>
      <w:marLeft w:val="0"/>
      <w:marRight w:val="0"/>
      <w:marTop w:val="0"/>
      <w:marBottom w:val="0"/>
      <w:divBdr>
        <w:top w:val="none" w:sz="0" w:space="0" w:color="auto"/>
        <w:left w:val="none" w:sz="0" w:space="0" w:color="auto"/>
        <w:bottom w:val="none" w:sz="0" w:space="0" w:color="auto"/>
        <w:right w:val="none" w:sz="0" w:space="0" w:color="auto"/>
      </w:divBdr>
    </w:div>
    <w:div w:id="1075976270">
      <w:bodyDiv w:val="1"/>
      <w:marLeft w:val="0"/>
      <w:marRight w:val="0"/>
      <w:marTop w:val="0"/>
      <w:marBottom w:val="0"/>
      <w:divBdr>
        <w:top w:val="none" w:sz="0" w:space="0" w:color="auto"/>
        <w:left w:val="none" w:sz="0" w:space="0" w:color="auto"/>
        <w:bottom w:val="none" w:sz="0" w:space="0" w:color="auto"/>
        <w:right w:val="none" w:sz="0" w:space="0" w:color="auto"/>
      </w:divBdr>
    </w:div>
    <w:div w:id="1076128645">
      <w:bodyDiv w:val="1"/>
      <w:marLeft w:val="0"/>
      <w:marRight w:val="0"/>
      <w:marTop w:val="0"/>
      <w:marBottom w:val="0"/>
      <w:divBdr>
        <w:top w:val="none" w:sz="0" w:space="0" w:color="auto"/>
        <w:left w:val="none" w:sz="0" w:space="0" w:color="auto"/>
        <w:bottom w:val="none" w:sz="0" w:space="0" w:color="auto"/>
        <w:right w:val="none" w:sz="0" w:space="0" w:color="auto"/>
      </w:divBdr>
    </w:div>
    <w:div w:id="1076900526">
      <w:bodyDiv w:val="1"/>
      <w:marLeft w:val="0"/>
      <w:marRight w:val="0"/>
      <w:marTop w:val="0"/>
      <w:marBottom w:val="0"/>
      <w:divBdr>
        <w:top w:val="none" w:sz="0" w:space="0" w:color="auto"/>
        <w:left w:val="none" w:sz="0" w:space="0" w:color="auto"/>
        <w:bottom w:val="none" w:sz="0" w:space="0" w:color="auto"/>
        <w:right w:val="none" w:sz="0" w:space="0" w:color="auto"/>
      </w:divBdr>
    </w:div>
    <w:div w:id="1079135508">
      <w:bodyDiv w:val="1"/>
      <w:marLeft w:val="0"/>
      <w:marRight w:val="0"/>
      <w:marTop w:val="0"/>
      <w:marBottom w:val="0"/>
      <w:divBdr>
        <w:top w:val="none" w:sz="0" w:space="0" w:color="auto"/>
        <w:left w:val="none" w:sz="0" w:space="0" w:color="auto"/>
        <w:bottom w:val="none" w:sz="0" w:space="0" w:color="auto"/>
        <w:right w:val="none" w:sz="0" w:space="0" w:color="auto"/>
      </w:divBdr>
    </w:div>
    <w:div w:id="1081830518">
      <w:bodyDiv w:val="1"/>
      <w:marLeft w:val="0"/>
      <w:marRight w:val="0"/>
      <w:marTop w:val="0"/>
      <w:marBottom w:val="0"/>
      <w:divBdr>
        <w:top w:val="none" w:sz="0" w:space="0" w:color="auto"/>
        <w:left w:val="none" w:sz="0" w:space="0" w:color="auto"/>
        <w:bottom w:val="none" w:sz="0" w:space="0" w:color="auto"/>
        <w:right w:val="none" w:sz="0" w:space="0" w:color="auto"/>
      </w:divBdr>
    </w:div>
    <w:div w:id="1082029441">
      <w:bodyDiv w:val="1"/>
      <w:marLeft w:val="0"/>
      <w:marRight w:val="0"/>
      <w:marTop w:val="0"/>
      <w:marBottom w:val="0"/>
      <w:divBdr>
        <w:top w:val="none" w:sz="0" w:space="0" w:color="auto"/>
        <w:left w:val="none" w:sz="0" w:space="0" w:color="auto"/>
        <w:bottom w:val="none" w:sz="0" w:space="0" w:color="auto"/>
        <w:right w:val="none" w:sz="0" w:space="0" w:color="auto"/>
      </w:divBdr>
    </w:div>
    <w:div w:id="1082143337">
      <w:bodyDiv w:val="1"/>
      <w:marLeft w:val="0"/>
      <w:marRight w:val="0"/>
      <w:marTop w:val="0"/>
      <w:marBottom w:val="0"/>
      <w:divBdr>
        <w:top w:val="none" w:sz="0" w:space="0" w:color="auto"/>
        <w:left w:val="none" w:sz="0" w:space="0" w:color="auto"/>
        <w:bottom w:val="none" w:sz="0" w:space="0" w:color="auto"/>
        <w:right w:val="none" w:sz="0" w:space="0" w:color="auto"/>
      </w:divBdr>
    </w:div>
    <w:div w:id="1083533239">
      <w:bodyDiv w:val="1"/>
      <w:marLeft w:val="0"/>
      <w:marRight w:val="0"/>
      <w:marTop w:val="0"/>
      <w:marBottom w:val="0"/>
      <w:divBdr>
        <w:top w:val="none" w:sz="0" w:space="0" w:color="auto"/>
        <w:left w:val="none" w:sz="0" w:space="0" w:color="auto"/>
        <w:bottom w:val="none" w:sz="0" w:space="0" w:color="auto"/>
        <w:right w:val="none" w:sz="0" w:space="0" w:color="auto"/>
      </w:divBdr>
    </w:div>
    <w:div w:id="1084181925">
      <w:bodyDiv w:val="1"/>
      <w:marLeft w:val="0"/>
      <w:marRight w:val="0"/>
      <w:marTop w:val="0"/>
      <w:marBottom w:val="0"/>
      <w:divBdr>
        <w:top w:val="none" w:sz="0" w:space="0" w:color="auto"/>
        <w:left w:val="none" w:sz="0" w:space="0" w:color="auto"/>
        <w:bottom w:val="none" w:sz="0" w:space="0" w:color="auto"/>
        <w:right w:val="none" w:sz="0" w:space="0" w:color="auto"/>
      </w:divBdr>
    </w:div>
    <w:div w:id="1084299121">
      <w:bodyDiv w:val="1"/>
      <w:marLeft w:val="0"/>
      <w:marRight w:val="0"/>
      <w:marTop w:val="0"/>
      <w:marBottom w:val="0"/>
      <w:divBdr>
        <w:top w:val="none" w:sz="0" w:space="0" w:color="auto"/>
        <w:left w:val="none" w:sz="0" w:space="0" w:color="auto"/>
        <w:bottom w:val="none" w:sz="0" w:space="0" w:color="auto"/>
        <w:right w:val="none" w:sz="0" w:space="0" w:color="auto"/>
      </w:divBdr>
    </w:div>
    <w:div w:id="1085343702">
      <w:bodyDiv w:val="1"/>
      <w:marLeft w:val="0"/>
      <w:marRight w:val="0"/>
      <w:marTop w:val="0"/>
      <w:marBottom w:val="0"/>
      <w:divBdr>
        <w:top w:val="none" w:sz="0" w:space="0" w:color="auto"/>
        <w:left w:val="none" w:sz="0" w:space="0" w:color="auto"/>
        <w:bottom w:val="none" w:sz="0" w:space="0" w:color="auto"/>
        <w:right w:val="none" w:sz="0" w:space="0" w:color="auto"/>
      </w:divBdr>
    </w:div>
    <w:div w:id="1085423250">
      <w:bodyDiv w:val="1"/>
      <w:marLeft w:val="0"/>
      <w:marRight w:val="0"/>
      <w:marTop w:val="0"/>
      <w:marBottom w:val="0"/>
      <w:divBdr>
        <w:top w:val="none" w:sz="0" w:space="0" w:color="auto"/>
        <w:left w:val="none" w:sz="0" w:space="0" w:color="auto"/>
        <w:bottom w:val="none" w:sz="0" w:space="0" w:color="auto"/>
        <w:right w:val="none" w:sz="0" w:space="0" w:color="auto"/>
      </w:divBdr>
    </w:div>
    <w:div w:id="1086613407">
      <w:bodyDiv w:val="1"/>
      <w:marLeft w:val="0"/>
      <w:marRight w:val="0"/>
      <w:marTop w:val="0"/>
      <w:marBottom w:val="0"/>
      <w:divBdr>
        <w:top w:val="none" w:sz="0" w:space="0" w:color="auto"/>
        <w:left w:val="none" w:sz="0" w:space="0" w:color="auto"/>
        <w:bottom w:val="none" w:sz="0" w:space="0" w:color="auto"/>
        <w:right w:val="none" w:sz="0" w:space="0" w:color="auto"/>
      </w:divBdr>
    </w:div>
    <w:div w:id="1086682796">
      <w:bodyDiv w:val="1"/>
      <w:marLeft w:val="0"/>
      <w:marRight w:val="0"/>
      <w:marTop w:val="0"/>
      <w:marBottom w:val="0"/>
      <w:divBdr>
        <w:top w:val="none" w:sz="0" w:space="0" w:color="auto"/>
        <w:left w:val="none" w:sz="0" w:space="0" w:color="auto"/>
        <w:bottom w:val="none" w:sz="0" w:space="0" w:color="auto"/>
        <w:right w:val="none" w:sz="0" w:space="0" w:color="auto"/>
      </w:divBdr>
    </w:div>
    <w:div w:id="1087535714">
      <w:bodyDiv w:val="1"/>
      <w:marLeft w:val="0"/>
      <w:marRight w:val="0"/>
      <w:marTop w:val="0"/>
      <w:marBottom w:val="0"/>
      <w:divBdr>
        <w:top w:val="none" w:sz="0" w:space="0" w:color="auto"/>
        <w:left w:val="none" w:sz="0" w:space="0" w:color="auto"/>
        <w:bottom w:val="none" w:sz="0" w:space="0" w:color="auto"/>
        <w:right w:val="none" w:sz="0" w:space="0" w:color="auto"/>
      </w:divBdr>
    </w:div>
    <w:div w:id="1087577869">
      <w:bodyDiv w:val="1"/>
      <w:marLeft w:val="0"/>
      <w:marRight w:val="0"/>
      <w:marTop w:val="0"/>
      <w:marBottom w:val="0"/>
      <w:divBdr>
        <w:top w:val="none" w:sz="0" w:space="0" w:color="auto"/>
        <w:left w:val="none" w:sz="0" w:space="0" w:color="auto"/>
        <w:bottom w:val="none" w:sz="0" w:space="0" w:color="auto"/>
        <w:right w:val="none" w:sz="0" w:space="0" w:color="auto"/>
      </w:divBdr>
    </w:div>
    <w:div w:id="1087649716">
      <w:bodyDiv w:val="1"/>
      <w:marLeft w:val="0"/>
      <w:marRight w:val="0"/>
      <w:marTop w:val="0"/>
      <w:marBottom w:val="0"/>
      <w:divBdr>
        <w:top w:val="none" w:sz="0" w:space="0" w:color="auto"/>
        <w:left w:val="none" w:sz="0" w:space="0" w:color="auto"/>
        <w:bottom w:val="none" w:sz="0" w:space="0" w:color="auto"/>
        <w:right w:val="none" w:sz="0" w:space="0" w:color="auto"/>
      </w:divBdr>
    </w:div>
    <w:div w:id="1087965459">
      <w:bodyDiv w:val="1"/>
      <w:marLeft w:val="0"/>
      <w:marRight w:val="0"/>
      <w:marTop w:val="0"/>
      <w:marBottom w:val="0"/>
      <w:divBdr>
        <w:top w:val="none" w:sz="0" w:space="0" w:color="auto"/>
        <w:left w:val="none" w:sz="0" w:space="0" w:color="auto"/>
        <w:bottom w:val="none" w:sz="0" w:space="0" w:color="auto"/>
        <w:right w:val="none" w:sz="0" w:space="0" w:color="auto"/>
      </w:divBdr>
    </w:div>
    <w:div w:id="1088115764">
      <w:bodyDiv w:val="1"/>
      <w:marLeft w:val="0"/>
      <w:marRight w:val="0"/>
      <w:marTop w:val="0"/>
      <w:marBottom w:val="0"/>
      <w:divBdr>
        <w:top w:val="none" w:sz="0" w:space="0" w:color="auto"/>
        <w:left w:val="none" w:sz="0" w:space="0" w:color="auto"/>
        <w:bottom w:val="none" w:sz="0" w:space="0" w:color="auto"/>
        <w:right w:val="none" w:sz="0" w:space="0" w:color="auto"/>
      </w:divBdr>
    </w:div>
    <w:div w:id="1089541396">
      <w:bodyDiv w:val="1"/>
      <w:marLeft w:val="0"/>
      <w:marRight w:val="0"/>
      <w:marTop w:val="0"/>
      <w:marBottom w:val="0"/>
      <w:divBdr>
        <w:top w:val="none" w:sz="0" w:space="0" w:color="auto"/>
        <w:left w:val="none" w:sz="0" w:space="0" w:color="auto"/>
        <w:bottom w:val="none" w:sz="0" w:space="0" w:color="auto"/>
        <w:right w:val="none" w:sz="0" w:space="0" w:color="auto"/>
      </w:divBdr>
    </w:div>
    <w:div w:id="1090472189">
      <w:bodyDiv w:val="1"/>
      <w:marLeft w:val="0"/>
      <w:marRight w:val="0"/>
      <w:marTop w:val="0"/>
      <w:marBottom w:val="0"/>
      <w:divBdr>
        <w:top w:val="none" w:sz="0" w:space="0" w:color="auto"/>
        <w:left w:val="none" w:sz="0" w:space="0" w:color="auto"/>
        <w:bottom w:val="none" w:sz="0" w:space="0" w:color="auto"/>
        <w:right w:val="none" w:sz="0" w:space="0" w:color="auto"/>
      </w:divBdr>
    </w:div>
    <w:div w:id="1092164011">
      <w:bodyDiv w:val="1"/>
      <w:marLeft w:val="0"/>
      <w:marRight w:val="0"/>
      <w:marTop w:val="0"/>
      <w:marBottom w:val="0"/>
      <w:divBdr>
        <w:top w:val="none" w:sz="0" w:space="0" w:color="auto"/>
        <w:left w:val="none" w:sz="0" w:space="0" w:color="auto"/>
        <w:bottom w:val="none" w:sz="0" w:space="0" w:color="auto"/>
        <w:right w:val="none" w:sz="0" w:space="0" w:color="auto"/>
      </w:divBdr>
    </w:div>
    <w:div w:id="1092969762">
      <w:bodyDiv w:val="1"/>
      <w:marLeft w:val="0"/>
      <w:marRight w:val="0"/>
      <w:marTop w:val="0"/>
      <w:marBottom w:val="0"/>
      <w:divBdr>
        <w:top w:val="none" w:sz="0" w:space="0" w:color="auto"/>
        <w:left w:val="none" w:sz="0" w:space="0" w:color="auto"/>
        <w:bottom w:val="none" w:sz="0" w:space="0" w:color="auto"/>
        <w:right w:val="none" w:sz="0" w:space="0" w:color="auto"/>
      </w:divBdr>
    </w:div>
    <w:div w:id="1094670332">
      <w:bodyDiv w:val="1"/>
      <w:marLeft w:val="0"/>
      <w:marRight w:val="0"/>
      <w:marTop w:val="0"/>
      <w:marBottom w:val="0"/>
      <w:divBdr>
        <w:top w:val="none" w:sz="0" w:space="0" w:color="auto"/>
        <w:left w:val="none" w:sz="0" w:space="0" w:color="auto"/>
        <w:bottom w:val="none" w:sz="0" w:space="0" w:color="auto"/>
        <w:right w:val="none" w:sz="0" w:space="0" w:color="auto"/>
      </w:divBdr>
    </w:div>
    <w:div w:id="1095511975">
      <w:bodyDiv w:val="1"/>
      <w:marLeft w:val="0"/>
      <w:marRight w:val="0"/>
      <w:marTop w:val="0"/>
      <w:marBottom w:val="0"/>
      <w:divBdr>
        <w:top w:val="none" w:sz="0" w:space="0" w:color="auto"/>
        <w:left w:val="none" w:sz="0" w:space="0" w:color="auto"/>
        <w:bottom w:val="none" w:sz="0" w:space="0" w:color="auto"/>
        <w:right w:val="none" w:sz="0" w:space="0" w:color="auto"/>
      </w:divBdr>
    </w:div>
    <w:div w:id="1096753594">
      <w:bodyDiv w:val="1"/>
      <w:marLeft w:val="0"/>
      <w:marRight w:val="0"/>
      <w:marTop w:val="0"/>
      <w:marBottom w:val="0"/>
      <w:divBdr>
        <w:top w:val="none" w:sz="0" w:space="0" w:color="auto"/>
        <w:left w:val="none" w:sz="0" w:space="0" w:color="auto"/>
        <w:bottom w:val="none" w:sz="0" w:space="0" w:color="auto"/>
        <w:right w:val="none" w:sz="0" w:space="0" w:color="auto"/>
      </w:divBdr>
    </w:div>
    <w:div w:id="1096907485">
      <w:bodyDiv w:val="1"/>
      <w:marLeft w:val="0"/>
      <w:marRight w:val="0"/>
      <w:marTop w:val="0"/>
      <w:marBottom w:val="0"/>
      <w:divBdr>
        <w:top w:val="none" w:sz="0" w:space="0" w:color="auto"/>
        <w:left w:val="none" w:sz="0" w:space="0" w:color="auto"/>
        <w:bottom w:val="none" w:sz="0" w:space="0" w:color="auto"/>
        <w:right w:val="none" w:sz="0" w:space="0" w:color="auto"/>
      </w:divBdr>
    </w:div>
    <w:div w:id="1097599936">
      <w:bodyDiv w:val="1"/>
      <w:marLeft w:val="0"/>
      <w:marRight w:val="0"/>
      <w:marTop w:val="0"/>
      <w:marBottom w:val="0"/>
      <w:divBdr>
        <w:top w:val="none" w:sz="0" w:space="0" w:color="auto"/>
        <w:left w:val="none" w:sz="0" w:space="0" w:color="auto"/>
        <w:bottom w:val="none" w:sz="0" w:space="0" w:color="auto"/>
        <w:right w:val="none" w:sz="0" w:space="0" w:color="auto"/>
      </w:divBdr>
    </w:div>
    <w:div w:id="1097629693">
      <w:bodyDiv w:val="1"/>
      <w:marLeft w:val="0"/>
      <w:marRight w:val="0"/>
      <w:marTop w:val="0"/>
      <w:marBottom w:val="0"/>
      <w:divBdr>
        <w:top w:val="none" w:sz="0" w:space="0" w:color="auto"/>
        <w:left w:val="none" w:sz="0" w:space="0" w:color="auto"/>
        <w:bottom w:val="none" w:sz="0" w:space="0" w:color="auto"/>
        <w:right w:val="none" w:sz="0" w:space="0" w:color="auto"/>
      </w:divBdr>
    </w:div>
    <w:div w:id="1098135200">
      <w:bodyDiv w:val="1"/>
      <w:marLeft w:val="0"/>
      <w:marRight w:val="0"/>
      <w:marTop w:val="0"/>
      <w:marBottom w:val="0"/>
      <w:divBdr>
        <w:top w:val="none" w:sz="0" w:space="0" w:color="auto"/>
        <w:left w:val="none" w:sz="0" w:space="0" w:color="auto"/>
        <w:bottom w:val="none" w:sz="0" w:space="0" w:color="auto"/>
        <w:right w:val="none" w:sz="0" w:space="0" w:color="auto"/>
      </w:divBdr>
    </w:div>
    <w:div w:id="1098671560">
      <w:bodyDiv w:val="1"/>
      <w:marLeft w:val="0"/>
      <w:marRight w:val="0"/>
      <w:marTop w:val="0"/>
      <w:marBottom w:val="0"/>
      <w:divBdr>
        <w:top w:val="none" w:sz="0" w:space="0" w:color="auto"/>
        <w:left w:val="none" w:sz="0" w:space="0" w:color="auto"/>
        <w:bottom w:val="none" w:sz="0" w:space="0" w:color="auto"/>
        <w:right w:val="none" w:sz="0" w:space="0" w:color="auto"/>
      </w:divBdr>
    </w:div>
    <w:div w:id="1100639117">
      <w:bodyDiv w:val="1"/>
      <w:marLeft w:val="0"/>
      <w:marRight w:val="0"/>
      <w:marTop w:val="0"/>
      <w:marBottom w:val="0"/>
      <w:divBdr>
        <w:top w:val="none" w:sz="0" w:space="0" w:color="auto"/>
        <w:left w:val="none" w:sz="0" w:space="0" w:color="auto"/>
        <w:bottom w:val="none" w:sz="0" w:space="0" w:color="auto"/>
        <w:right w:val="none" w:sz="0" w:space="0" w:color="auto"/>
      </w:divBdr>
    </w:div>
    <w:div w:id="1100762848">
      <w:bodyDiv w:val="1"/>
      <w:marLeft w:val="0"/>
      <w:marRight w:val="0"/>
      <w:marTop w:val="0"/>
      <w:marBottom w:val="0"/>
      <w:divBdr>
        <w:top w:val="none" w:sz="0" w:space="0" w:color="auto"/>
        <w:left w:val="none" w:sz="0" w:space="0" w:color="auto"/>
        <w:bottom w:val="none" w:sz="0" w:space="0" w:color="auto"/>
        <w:right w:val="none" w:sz="0" w:space="0" w:color="auto"/>
      </w:divBdr>
    </w:div>
    <w:div w:id="1101142882">
      <w:bodyDiv w:val="1"/>
      <w:marLeft w:val="0"/>
      <w:marRight w:val="0"/>
      <w:marTop w:val="0"/>
      <w:marBottom w:val="0"/>
      <w:divBdr>
        <w:top w:val="none" w:sz="0" w:space="0" w:color="auto"/>
        <w:left w:val="none" w:sz="0" w:space="0" w:color="auto"/>
        <w:bottom w:val="none" w:sz="0" w:space="0" w:color="auto"/>
        <w:right w:val="none" w:sz="0" w:space="0" w:color="auto"/>
      </w:divBdr>
    </w:div>
    <w:div w:id="1102069375">
      <w:bodyDiv w:val="1"/>
      <w:marLeft w:val="0"/>
      <w:marRight w:val="0"/>
      <w:marTop w:val="0"/>
      <w:marBottom w:val="0"/>
      <w:divBdr>
        <w:top w:val="none" w:sz="0" w:space="0" w:color="auto"/>
        <w:left w:val="none" w:sz="0" w:space="0" w:color="auto"/>
        <w:bottom w:val="none" w:sz="0" w:space="0" w:color="auto"/>
        <w:right w:val="none" w:sz="0" w:space="0" w:color="auto"/>
      </w:divBdr>
    </w:div>
    <w:div w:id="1103766832">
      <w:bodyDiv w:val="1"/>
      <w:marLeft w:val="0"/>
      <w:marRight w:val="0"/>
      <w:marTop w:val="0"/>
      <w:marBottom w:val="0"/>
      <w:divBdr>
        <w:top w:val="none" w:sz="0" w:space="0" w:color="auto"/>
        <w:left w:val="none" w:sz="0" w:space="0" w:color="auto"/>
        <w:bottom w:val="none" w:sz="0" w:space="0" w:color="auto"/>
        <w:right w:val="none" w:sz="0" w:space="0" w:color="auto"/>
      </w:divBdr>
    </w:div>
    <w:div w:id="1103838200">
      <w:bodyDiv w:val="1"/>
      <w:marLeft w:val="0"/>
      <w:marRight w:val="0"/>
      <w:marTop w:val="0"/>
      <w:marBottom w:val="0"/>
      <w:divBdr>
        <w:top w:val="none" w:sz="0" w:space="0" w:color="auto"/>
        <w:left w:val="none" w:sz="0" w:space="0" w:color="auto"/>
        <w:bottom w:val="none" w:sz="0" w:space="0" w:color="auto"/>
        <w:right w:val="none" w:sz="0" w:space="0" w:color="auto"/>
      </w:divBdr>
    </w:div>
    <w:div w:id="1103841280">
      <w:bodyDiv w:val="1"/>
      <w:marLeft w:val="0"/>
      <w:marRight w:val="0"/>
      <w:marTop w:val="0"/>
      <w:marBottom w:val="0"/>
      <w:divBdr>
        <w:top w:val="none" w:sz="0" w:space="0" w:color="auto"/>
        <w:left w:val="none" w:sz="0" w:space="0" w:color="auto"/>
        <w:bottom w:val="none" w:sz="0" w:space="0" w:color="auto"/>
        <w:right w:val="none" w:sz="0" w:space="0" w:color="auto"/>
      </w:divBdr>
    </w:div>
    <w:div w:id="1105805221">
      <w:bodyDiv w:val="1"/>
      <w:marLeft w:val="0"/>
      <w:marRight w:val="0"/>
      <w:marTop w:val="0"/>
      <w:marBottom w:val="0"/>
      <w:divBdr>
        <w:top w:val="none" w:sz="0" w:space="0" w:color="auto"/>
        <w:left w:val="none" w:sz="0" w:space="0" w:color="auto"/>
        <w:bottom w:val="none" w:sz="0" w:space="0" w:color="auto"/>
        <w:right w:val="none" w:sz="0" w:space="0" w:color="auto"/>
      </w:divBdr>
    </w:div>
    <w:div w:id="1105805236">
      <w:bodyDiv w:val="1"/>
      <w:marLeft w:val="0"/>
      <w:marRight w:val="0"/>
      <w:marTop w:val="0"/>
      <w:marBottom w:val="0"/>
      <w:divBdr>
        <w:top w:val="none" w:sz="0" w:space="0" w:color="auto"/>
        <w:left w:val="none" w:sz="0" w:space="0" w:color="auto"/>
        <w:bottom w:val="none" w:sz="0" w:space="0" w:color="auto"/>
        <w:right w:val="none" w:sz="0" w:space="0" w:color="auto"/>
      </w:divBdr>
    </w:div>
    <w:div w:id="1106921339">
      <w:bodyDiv w:val="1"/>
      <w:marLeft w:val="0"/>
      <w:marRight w:val="0"/>
      <w:marTop w:val="0"/>
      <w:marBottom w:val="0"/>
      <w:divBdr>
        <w:top w:val="none" w:sz="0" w:space="0" w:color="auto"/>
        <w:left w:val="none" w:sz="0" w:space="0" w:color="auto"/>
        <w:bottom w:val="none" w:sz="0" w:space="0" w:color="auto"/>
        <w:right w:val="none" w:sz="0" w:space="0" w:color="auto"/>
      </w:divBdr>
    </w:div>
    <w:div w:id="1107315851">
      <w:bodyDiv w:val="1"/>
      <w:marLeft w:val="0"/>
      <w:marRight w:val="0"/>
      <w:marTop w:val="0"/>
      <w:marBottom w:val="0"/>
      <w:divBdr>
        <w:top w:val="none" w:sz="0" w:space="0" w:color="auto"/>
        <w:left w:val="none" w:sz="0" w:space="0" w:color="auto"/>
        <w:bottom w:val="none" w:sz="0" w:space="0" w:color="auto"/>
        <w:right w:val="none" w:sz="0" w:space="0" w:color="auto"/>
      </w:divBdr>
    </w:div>
    <w:div w:id="1107652312">
      <w:bodyDiv w:val="1"/>
      <w:marLeft w:val="0"/>
      <w:marRight w:val="0"/>
      <w:marTop w:val="0"/>
      <w:marBottom w:val="0"/>
      <w:divBdr>
        <w:top w:val="none" w:sz="0" w:space="0" w:color="auto"/>
        <w:left w:val="none" w:sz="0" w:space="0" w:color="auto"/>
        <w:bottom w:val="none" w:sz="0" w:space="0" w:color="auto"/>
        <w:right w:val="none" w:sz="0" w:space="0" w:color="auto"/>
      </w:divBdr>
    </w:div>
    <w:div w:id="1107768811">
      <w:bodyDiv w:val="1"/>
      <w:marLeft w:val="0"/>
      <w:marRight w:val="0"/>
      <w:marTop w:val="0"/>
      <w:marBottom w:val="0"/>
      <w:divBdr>
        <w:top w:val="none" w:sz="0" w:space="0" w:color="auto"/>
        <w:left w:val="none" w:sz="0" w:space="0" w:color="auto"/>
        <w:bottom w:val="none" w:sz="0" w:space="0" w:color="auto"/>
        <w:right w:val="none" w:sz="0" w:space="0" w:color="auto"/>
      </w:divBdr>
    </w:div>
    <w:div w:id="1110277024">
      <w:bodyDiv w:val="1"/>
      <w:marLeft w:val="0"/>
      <w:marRight w:val="0"/>
      <w:marTop w:val="0"/>
      <w:marBottom w:val="0"/>
      <w:divBdr>
        <w:top w:val="none" w:sz="0" w:space="0" w:color="auto"/>
        <w:left w:val="none" w:sz="0" w:space="0" w:color="auto"/>
        <w:bottom w:val="none" w:sz="0" w:space="0" w:color="auto"/>
        <w:right w:val="none" w:sz="0" w:space="0" w:color="auto"/>
      </w:divBdr>
    </w:div>
    <w:div w:id="1111782740">
      <w:bodyDiv w:val="1"/>
      <w:marLeft w:val="0"/>
      <w:marRight w:val="0"/>
      <w:marTop w:val="0"/>
      <w:marBottom w:val="0"/>
      <w:divBdr>
        <w:top w:val="none" w:sz="0" w:space="0" w:color="auto"/>
        <w:left w:val="none" w:sz="0" w:space="0" w:color="auto"/>
        <w:bottom w:val="none" w:sz="0" w:space="0" w:color="auto"/>
        <w:right w:val="none" w:sz="0" w:space="0" w:color="auto"/>
      </w:divBdr>
    </w:div>
    <w:div w:id="1113090308">
      <w:bodyDiv w:val="1"/>
      <w:marLeft w:val="0"/>
      <w:marRight w:val="0"/>
      <w:marTop w:val="0"/>
      <w:marBottom w:val="0"/>
      <w:divBdr>
        <w:top w:val="none" w:sz="0" w:space="0" w:color="auto"/>
        <w:left w:val="none" w:sz="0" w:space="0" w:color="auto"/>
        <w:bottom w:val="none" w:sz="0" w:space="0" w:color="auto"/>
        <w:right w:val="none" w:sz="0" w:space="0" w:color="auto"/>
      </w:divBdr>
    </w:div>
    <w:div w:id="1113746366">
      <w:bodyDiv w:val="1"/>
      <w:marLeft w:val="0"/>
      <w:marRight w:val="0"/>
      <w:marTop w:val="0"/>
      <w:marBottom w:val="0"/>
      <w:divBdr>
        <w:top w:val="none" w:sz="0" w:space="0" w:color="auto"/>
        <w:left w:val="none" w:sz="0" w:space="0" w:color="auto"/>
        <w:bottom w:val="none" w:sz="0" w:space="0" w:color="auto"/>
        <w:right w:val="none" w:sz="0" w:space="0" w:color="auto"/>
      </w:divBdr>
    </w:div>
    <w:div w:id="1113865371">
      <w:bodyDiv w:val="1"/>
      <w:marLeft w:val="0"/>
      <w:marRight w:val="0"/>
      <w:marTop w:val="0"/>
      <w:marBottom w:val="0"/>
      <w:divBdr>
        <w:top w:val="none" w:sz="0" w:space="0" w:color="auto"/>
        <w:left w:val="none" w:sz="0" w:space="0" w:color="auto"/>
        <w:bottom w:val="none" w:sz="0" w:space="0" w:color="auto"/>
        <w:right w:val="none" w:sz="0" w:space="0" w:color="auto"/>
      </w:divBdr>
    </w:div>
    <w:div w:id="1115096520">
      <w:bodyDiv w:val="1"/>
      <w:marLeft w:val="0"/>
      <w:marRight w:val="0"/>
      <w:marTop w:val="0"/>
      <w:marBottom w:val="0"/>
      <w:divBdr>
        <w:top w:val="none" w:sz="0" w:space="0" w:color="auto"/>
        <w:left w:val="none" w:sz="0" w:space="0" w:color="auto"/>
        <w:bottom w:val="none" w:sz="0" w:space="0" w:color="auto"/>
        <w:right w:val="none" w:sz="0" w:space="0" w:color="auto"/>
      </w:divBdr>
    </w:div>
    <w:div w:id="1116481525">
      <w:bodyDiv w:val="1"/>
      <w:marLeft w:val="0"/>
      <w:marRight w:val="0"/>
      <w:marTop w:val="0"/>
      <w:marBottom w:val="0"/>
      <w:divBdr>
        <w:top w:val="none" w:sz="0" w:space="0" w:color="auto"/>
        <w:left w:val="none" w:sz="0" w:space="0" w:color="auto"/>
        <w:bottom w:val="none" w:sz="0" w:space="0" w:color="auto"/>
        <w:right w:val="none" w:sz="0" w:space="0" w:color="auto"/>
      </w:divBdr>
    </w:div>
    <w:div w:id="1117984812">
      <w:bodyDiv w:val="1"/>
      <w:marLeft w:val="0"/>
      <w:marRight w:val="0"/>
      <w:marTop w:val="0"/>
      <w:marBottom w:val="0"/>
      <w:divBdr>
        <w:top w:val="none" w:sz="0" w:space="0" w:color="auto"/>
        <w:left w:val="none" w:sz="0" w:space="0" w:color="auto"/>
        <w:bottom w:val="none" w:sz="0" w:space="0" w:color="auto"/>
        <w:right w:val="none" w:sz="0" w:space="0" w:color="auto"/>
      </w:divBdr>
    </w:div>
    <w:div w:id="1118064311">
      <w:bodyDiv w:val="1"/>
      <w:marLeft w:val="0"/>
      <w:marRight w:val="0"/>
      <w:marTop w:val="0"/>
      <w:marBottom w:val="0"/>
      <w:divBdr>
        <w:top w:val="none" w:sz="0" w:space="0" w:color="auto"/>
        <w:left w:val="none" w:sz="0" w:space="0" w:color="auto"/>
        <w:bottom w:val="none" w:sz="0" w:space="0" w:color="auto"/>
        <w:right w:val="none" w:sz="0" w:space="0" w:color="auto"/>
      </w:divBdr>
    </w:div>
    <w:div w:id="1118255813">
      <w:bodyDiv w:val="1"/>
      <w:marLeft w:val="0"/>
      <w:marRight w:val="0"/>
      <w:marTop w:val="0"/>
      <w:marBottom w:val="0"/>
      <w:divBdr>
        <w:top w:val="none" w:sz="0" w:space="0" w:color="auto"/>
        <w:left w:val="none" w:sz="0" w:space="0" w:color="auto"/>
        <w:bottom w:val="none" w:sz="0" w:space="0" w:color="auto"/>
        <w:right w:val="none" w:sz="0" w:space="0" w:color="auto"/>
      </w:divBdr>
    </w:div>
    <w:div w:id="1118833465">
      <w:bodyDiv w:val="1"/>
      <w:marLeft w:val="0"/>
      <w:marRight w:val="0"/>
      <w:marTop w:val="0"/>
      <w:marBottom w:val="0"/>
      <w:divBdr>
        <w:top w:val="none" w:sz="0" w:space="0" w:color="auto"/>
        <w:left w:val="none" w:sz="0" w:space="0" w:color="auto"/>
        <w:bottom w:val="none" w:sz="0" w:space="0" w:color="auto"/>
        <w:right w:val="none" w:sz="0" w:space="0" w:color="auto"/>
      </w:divBdr>
    </w:div>
    <w:div w:id="1119683918">
      <w:bodyDiv w:val="1"/>
      <w:marLeft w:val="0"/>
      <w:marRight w:val="0"/>
      <w:marTop w:val="0"/>
      <w:marBottom w:val="0"/>
      <w:divBdr>
        <w:top w:val="none" w:sz="0" w:space="0" w:color="auto"/>
        <w:left w:val="none" w:sz="0" w:space="0" w:color="auto"/>
        <w:bottom w:val="none" w:sz="0" w:space="0" w:color="auto"/>
        <w:right w:val="none" w:sz="0" w:space="0" w:color="auto"/>
      </w:divBdr>
    </w:div>
    <w:div w:id="1120150853">
      <w:bodyDiv w:val="1"/>
      <w:marLeft w:val="0"/>
      <w:marRight w:val="0"/>
      <w:marTop w:val="0"/>
      <w:marBottom w:val="0"/>
      <w:divBdr>
        <w:top w:val="none" w:sz="0" w:space="0" w:color="auto"/>
        <w:left w:val="none" w:sz="0" w:space="0" w:color="auto"/>
        <w:bottom w:val="none" w:sz="0" w:space="0" w:color="auto"/>
        <w:right w:val="none" w:sz="0" w:space="0" w:color="auto"/>
      </w:divBdr>
    </w:div>
    <w:div w:id="1121071304">
      <w:bodyDiv w:val="1"/>
      <w:marLeft w:val="0"/>
      <w:marRight w:val="0"/>
      <w:marTop w:val="0"/>
      <w:marBottom w:val="0"/>
      <w:divBdr>
        <w:top w:val="none" w:sz="0" w:space="0" w:color="auto"/>
        <w:left w:val="none" w:sz="0" w:space="0" w:color="auto"/>
        <w:bottom w:val="none" w:sz="0" w:space="0" w:color="auto"/>
        <w:right w:val="none" w:sz="0" w:space="0" w:color="auto"/>
      </w:divBdr>
    </w:div>
    <w:div w:id="1121073106">
      <w:bodyDiv w:val="1"/>
      <w:marLeft w:val="0"/>
      <w:marRight w:val="0"/>
      <w:marTop w:val="0"/>
      <w:marBottom w:val="0"/>
      <w:divBdr>
        <w:top w:val="none" w:sz="0" w:space="0" w:color="auto"/>
        <w:left w:val="none" w:sz="0" w:space="0" w:color="auto"/>
        <w:bottom w:val="none" w:sz="0" w:space="0" w:color="auto"/>
        <w:right w:val="none" w:sz="0" w:space="0" w:color="auto"/>
      </w:divBdr>
    </w:div>
    <w:div w:id="1121530468">
      <w:bodyDiv w:val="1"/>
      <w:marLeft w:val="0"/>
      <w:marRight w:val="0"/>
      <w:marTop w:val="0"/>
      <w:marBottom w:val="0"/>
      <w:divBdr>
        <w:top w:val="none" w:sz="0" w:space="0" w:color="auto"/>
        <w:left w:val="none" w:sz="0" w:space="0" w:color="auto"/>
        <w:bottom w:val="none" w:sz="0" w:space="0" w:color="auto"/>
        <w:right w:val="none" w:sz="0" w:space="0" w:color="auto"/>
      </w:divBdr>
    </w:div>
    <w:div w:id="1121650643">
      <w:bodyDiv w:val="1"/>
      <w:marLeft w:val="0"/>
      <w:marRight w:val="0"/>
      <w:marTop w:val="0"/>
      <w:marBottom w:val="0"/>
      <w:divBdr>
        <w:top w:val="none" w:sz="0" w:space="0" w:color="auto"/>
        <w:left w:val="none" w:sz="0" w:space="0" w:color="auto"/>
        <w:bottom w:val="none" w:sz="0" w:space="0" w:color="auto"/>
        <w:right w:val="none" w:sz="0" w:space="0" w:color="auto"/>
      </w:divBdr>
    </w:div>
    <w:div w:id="1122655842">
      <w:bodyDiv w:val="1"/>
      <w:marLeft w:val="0"/>
      <w:marRight w:val="0"/>
      <w:marTop w:val="0"/>
      <w:marBottom w:val="0"/>
      <w:divBdr>
        <w:top w:val="none" w:sz="0" w:space="0" w:color="auto"/>
        <w:left w:val="none" w:sz="0" w:space="0" w:color="auto"/>
        <w:bottom w:val="none" w:sz="0" w:space="0" w:color="auto"/>
        <w:right w:val="none" w:sz="0" w:space="0" w:color="auto"/>
      </w:divBdr>
    </w:div>
    <w:div w:id="1122917028">
      <w:bodyDiv w:val="1"/>
      <w:marLeft w:val="0"/>
      <w:marRight w:val="0"/>
      <w:marTop w:val="0"/>
      <w:marBottom w:val="0"/>
      <w:divBdr>
        <w:top w:val="none" w:sz="0" w:space="0" w:color="auto"/>
        <w:left w:val="none" w:sz="0" w:space="0" w:color="auto"/>
        <w:bottom w:val="none" w:sz="0" w:space="0" w:color="auto"/>
        <w:right w:val="none" w:sz="0" w:space="0" w:color="auto"/>
      </w:divBdr>
    </w:div>
    <w:div w:id="1123227606">
      <w:bodyDiv w:val="1"/>
      <w:marLeft w:val="0"/>
      <w:marRight w:val="0"/>
      <w:marTop w:val="0"/>
      <w:marBottom w:val="0"/>
      <w:divBdr>
        <w:top w:val="none" w:sz="0" w:space="0" w:color="auto"/>
        <w:left w:val="none" w:sz="0" w:space="0" w:color="auto"/>
        <w:bottom w:val="none" w:sz="0" w:space="0" w:color="auto"/>
        <w:right w:val="none" w:sz="0" w:space="0" w:color="auto"/>
      </w:divBdr>
    </w:div>
    <w:div w:id="1123573594">
      <w:bodyDiv w:val="1"/>
      <w:marLeft w:val="0"/>
      <w:marRight w:val="0"/>
      <w:marTop w:val="0"/>
      <w:marBottom w:val="0"/>
      <w:divBdr>
        <w:top w:val="none" w:sz="0" w:space="0" w:color="auto"/>
        <w:left w:val="none" w:sz="0" w:space="0" w:color="auto"/>
        <w:bottom w:val="none" w:sz="0" w:space="0" w:color="auto"/>
        <w:right w:val="none" w:sz="0" w:space="0" w:color="auto"/>
      </w:divBdr>
    </w:div>
    <w:div w:id="1124276026">
      <w:bodyDiv w:val="1"/>
      <w:marLeft w:val="0"/>
      <w:marRight w:val="0"/>
      <w:marTop w:val="0"/>
      <w:marBottom w:val="0"/>
      <w:divBdr>
        <w:top w:val="none" w:sz="0" w:space="0" w:color="auto"/>
        <w:left w:val="none" w:sz="0" w:space="0" w:color="auto"/>
        <w:bottom w:val="none" w:sz="0" w:space="0" w:color="auto"/>
        <w:right w:val="none" w:sz="0" w:space="0" w:color="auto"/>
      </w:divBdr>
    </w:div>
    <w:div w:id="1124538932">
      <w:bodyDiv w:val="1"/>
      <w:marLeft w:val="0"/>
      <w:marRight w:val="0"/>
      <w:marTop w:val="0"/>
      <w:marBottom w:val="0"/>
      <w:divBdr>
        <w:top w:val="none" w:sz="0" w:space="0" w:color="auto"/>
        <w:left w:val="none" w:sz="0" w:space="0" w:color="auto"/>
        <w:bottom w:val="none" w:sz="0" w:space="0" w:color="auto"/>
        <w:right w:val="none" w:sz="0" w:space="0" w:color="auto"/>
      </w:divBdr>
    </w:div>
    <w:div w:id="1124541107">
      <w:bodyDiv w:val="1"/>
      <w:marLeft w:val="0"/>
      <w:marRight w:val="0"/>
      <w:marTop w:val="0"/>
      <w:marBottom w:val="0"/>
      <w:divBdr>
        <w:top w:val="none" w:sz="0" w:space="0" w:color="auto"/>
        <w:left w:val="none" w:sz="0" w:space="0" w:color="auto"/>
        <w:bottom w:val="none" w:sz="0" w:space="0" w:color="auto"/>
        <w:right w:val="none" w:sz="0" w:space="0" w:color="auto"/>
      </w:divBdr>
    </w:div>
    <w:div w:id="1124691293">
      <w:bodyDiv w:val="1"/>
      <w:marLeft w:val="0"/>
      <w:marRight w:val="0"/>
      <w:marTop w:val="0"/>
      <w:marBottom w:val="0"/>
      <w:divBdr>
        <w:top w:val="none" w:sz="0" w:space="0" w:color="auto"/>
        <w:left w:val="none" w:sz="0" w:space="0" w:color="auto"/>
        <w:bottom w:val="none" w:sz="0" w:space="0" w:color="auto"/>
        <w:right w:val="none" w:sz="0" w:space="0" w:color="auto"/>
      </w:divBdr>
    </w:div>
    <w:div w:id="1125851190">
      <w:bodyDiv w:val="1"/>
      <w:marLeft w:val="0"/>
      <w:marRight w:val="0"/>
      <w:marTop w:val="0"/>
      <w:marBottom w:val="0"/>
      <w:divBdr>
        <w:top w:val="none" w:sz="0" w:space="0" w:color="auto"/>
        <w:left w:val="none" w:sz="0" w:space="0" w:color="auto"/>
        <w:bottom w:val="none" w:sz="0" w:space="0" w:color="auto"/>
        <w:right w:val="none" w:sz="0" w:space="0" w:color="auto"/>
      </w:divBdr>
    </w:div>
    <w:div w:id="1126968771">
      <w:bodyDiv w:val="1"/>
      <w:marLeft w:val="0"/>
      <w:marRight w:val="0"/>
      <w:marTop w:val="0"/>
      <w:marBottom w:val="0"/>
      <w:divBdr>
        <w:top w:val="none" w:sz="0" w:space="0" w:color="auto"/>
        <w:left w:val="none" w:sz="0" w:space="0" w:color="auto"/>
        <w:bottom w:val="none" w:sz="0" w:space="0" w:color="auto"/>
        <w:right w:val="none" w:sz="0" w:space="0" w:color="auto"/>
      </w:divBdr>
    </w:div>
    <w:div w:id="1127115686">
      <w:bodyDiv w:val="1"/>
      <w:marLeft w:val="0"/>
      <w:marRight w:val="0"/>
      <w:marTop w:val="0"/>
      <w:marBottom w:val="0"/>
      <w:divBdr>
        <w:top w:val="none" w:sz="0" w:space="0" w:color="auto"/>
        <w:left w:val="none" w:sz="0" w:space="0" w:color="auto"/>
        <w:bottom w:val="none" w:sz="0" w:space="0" w:color="auto"/>
        <w:right w:val="none" w:sz="0" w:space="0" w:color="auto"/>
      </w:divBdr>
    </w:div>
    <w:div w:id="1127431583">
      <w:bodyDiv w:val="1"/>
      <w:marLeft w:val="0"/>
      <w:marRight w:val="0"/>
      <w:marTop w:val="0"/>
      <w:marBottom w:val="0"/>
      <w:divBdr>
        <w:top w:val="none" w:sz="0" w:space="0" w:color="auto"/>
        <w:left w:val="none" w:sz="0" w:space="0" w:color="auto"/>
        <w:bottom w:val="none" w:sz="0" w:space="0" w:color="auto"/>
        <w:right w:val="none" w:sz="0" w:space="0" w:color="auto"/>
      </w:divBdr>
    </w:div>
    <w:div w:id="1128350685">
      <w:bodyDiv w:val="1"/>
      <w:marLeft w:val="0"/>
      <w:marRight w:val="0"/>
      <w:marTop w:val="0"/>
      <w:marBottom w:val="0"/>
      <w:divBdr>
        <w:top w:val="none" w:sz="0" w:space="0" w:color="auto"/>
        <w:left w:val="none" w:sz="0" w:space="0" w:color="auto"/>
        <w:bottom w:val="none" w:sz="0" w:space="0" w:color="auto"/>
        <w:right w:val="none" w:sz="0" w:space="0" w:color="auto"/>
      </w:divBdr>
    </w:div>
    <w:div w:id="1128620473">
      <w:bodyDiv w:val="1"/>
      <w:marLeft w:val="0"/>
      <w:marRight w:val="0"/>
      <w:marTop w:val="0"/>
      <w:marBottom w:val="0"/>
      <w:divBdr>
        <w:top w:val="none" w:sz="0" w:space="0" w:color="auto"/>
        <w:left w:val="none" w:sz="0" w:space="0" w:color="auto"/>
        <w:bottom w:val="none" w:sz="0" w:space="0" w:color="auto"/>
        <w:right w:val="none" w:sz="0" w:space="0" w:color="auto"/>
      </w:divBdr>
    </w:div>
    <w:div w:id="1128813353">
      <w:bodyDiv w:val="1"/>
      <w:marLeft w:val="0"/>
      <w:marRight w:val="0"/>
      <w:marTop w:val="0"/>
      <w:marBottom w:val="0"/>
      <w:divBdr>
        <w:top w:val="none" w:sz="0" w:space="0" w:color="auto"/>
        <w:left w:val="none" w:sz="0" w:space="0" w:color="auto"/>
        <w:bottom w:val="none" w:sz="0" w:space="0" w:color="auto"/>
        <w:right w:val="none" w:sz="0" w:space="0" w:color="auto"/>
      </w:divBdr>
    </w:div>
    <w:div w:id="1129012518">
      <w:bodyDiv w:val="1"/>
      <w:marLeft w:val="0"/>
      <w:marRight w:val="0"/>
      <w:marTop w:val="0"/>
      <w:marBottom w:val="0"/>
      <w:divBdr>
        <w:top w:val="none" w:sz="0" w:space="0" w:color="auto"/>
        <w:left w:val="none" w:sz="0" w:space="0" w:color="auto"/>
        <w:bottom w:val="none" w:sz="0" w:space="0" w:color="auto"/>
        <w:right w:val="none" w:sz="0" w:space="0" w:color="auto"/>
      </w:divBdr>
    </w:div>
    <w:div w:id="1129015522">
      <w:bodyDiv w:val="1"/>
      <w:marLeft w:val="0"/>
      <w:marRight w:val="0"/>
      <w:marTop w:val="0"/>
      <w:marBottom w:val="0"/>
      <w:divBdr>
        <w:top w:val="none" w:sz="0" w:space="0" w:color="auto"/>
        <w:left w:val="none" w:sz="0" w:space="0" w:color="auto"/>
        <w:bottom w:val="none" w:sz="0" w:space="0" w:color="auto"/>
        <w:right w:val="none" w:sz="0" w:space="0" w:color="auto"/>
      </w:divBdr>
    </w:div>
    <w:div w:id="1129132402">
      <w:bodyDiv w:val="1"/>
      <w:marLeft w:val="0"/>
      <w:marRight w:val="0"/>
      <w:marTop w:val="0"/>
      <w:marBottom w:val="0"/>
      <w:divBdr>
        <w:top w:val="none" w:sz="0" w:space="0" w:color="auto"/>
        <w:left w:val="none" w:sz="0" w:space="0" w:color="auto"/>
        <w:bottom w:val="none" w:sz="0" w:space="0" w:color="auto"/>
        <w:right w:val="none" w:sz="0" w:space="0" w:color="auto"/>
      </w:divBdr>
    </w:div>
    <w:div w:id="1129779497">
      <w:bodyDiv w:val="1"/>
      <w:marLeft w:val="0"/>
      <w:marRight w:val="0"/>
      <w:marTop w:val="0"/>
      <w:marBottom w:val="0"/>
      <w:divBdr>
        <w:top w:val="none" w:sz="0" w:space="0" w:color="auto"/>
        <w:left w:val="none" w:sz="0" w:space="0" w:color="auto"/>
        <w:bottom w:val="none" w:sz="0" w:space="0" w:color="auto"/>
        <w:right w:val="none" w:sz="0" w:space="0" w:color="auto"/>
      </w:divBdr>
    </w:div>
    <w:div w:id="1129863106">
      <w:bodyDiv w:val="1"/>
      <w:marLeft w:val="0"/>
      <w:marRight w:val="0"/>
      <w:marTop w:val="0"/>
      <w:marBottom w:val="0"/>
      <w:divBdr>
        <w:top w:val="none" w:sz="0" w:space="0" w:color="auto"/>
        <w:left w:val="none" w:sz="0" w:space="0" w:color="auto"/>
        <w:bottom w:val="none" w:sz="0" w:space="0" w:color="auto"/>
        <w:right w:val="none" w:sz="0" w:space="0" w:color="auto"/>
      </w:divBdr>
    </w:div>
    <w:div w:id="1130514392">
      <w:bodyDiv w:val="1"/>
      <w:marLeft w:val="0"/>
      <w:marRight w:val="0"/>
      <w:marTop w:val="0"/>
      <w:marBottom w:val="0"/>
      <w:divBdr>
        <w:top w:val="none" w:sz="0" w:space="0" w:color="auto"/>
        <w:left w:val="none" w:sz="0" w:space="0" w:color="auto"/>
        <w:bottom w:val="none" w:sz="0" w:space="0" w:color="auto"/>
        <w:right w:val="none" w:sz="0" w:space="0" w:color="auto"/>
      </w:divBdr>
    </w:div>
    <w:div w:id="1130903135">
      <w:bodyDiv w:val="1"/>
      <w:marLeft w:val="0"/>
      <w:marRight w:val="0"/>
      <w:marTop w:val="0"/>
      <w:marBottom w:val="0"/>
      <w:divBdr>
        <w:top w:val="none" w:sz="0" w:space="0" w:color="auto"/>
        <w:left w:val="none" w:sz="0" w:space="0" w:color="auto"/>
        <w:bottom w:val="none" w:sz="0" w:space="0" w:color="auto"/>
        <w:right w:val="none" w:sz="0" w:space="0" w:color="auto"/>
      </w:divBdr>
    </w:div>
    <w:div w:id="1131365554">
      <w:bodyDiv w:val="1"/>
      <w:marLeft w:val="0"/>
      <w:marRight w:val="0"/>
      <w:marTop w:val="0"/>
      <w:marBottom w:val="0"/>
      <w:divBdr>
        <w:top w:val="none" w:sz="0" w:space="0" w:color="auto"/>
        <w:left w:val="none" w:sz="0" w:space="0" w:color="auto"/>
        <w:bottom w:val="none" w:sz="0" w:space="0" w:color="auto"/>
        <w:right w:val="none" w:sz="0" w:space="0" w:color="auto"/>
      </w:divBdr>
    </w:div>
    <w:div w:id="1133057310">
      <w:bodyDiv w:val="1"/>
      <w:marLeft w:val="0"/>
      <w:marRight w:val="0"/>
      <w:marTop w:val="0"/>
      <w:marBottom w:val="0"/>
      <w:divBdr>
        <w:top w:val="none" w:sz="0" w:space="0" w:color="auto"/>
        <w:left w:val="none" w:sz="0" w:space="0" w:color="auto"/>
        <w:bottom w:val="none" w:sz="0" w:space="0" w:color="auto"/>
        <w:right w:val="none" w:sz="0" w:space="0" w:color="auto"/>
      </w:divBdr>
    </w:div>
    <w:div w:id="1133448649">
      <w:bodyDiv w:val="1"/>
      <w:marLeft w:val="0"/>
      <w:marRight w:val="0"/>
      <w:marTop w:val="0"/>
      <w:marBottom w:val="0"/>
      <w:divBdr>
        <w:top w:val="none" w:sz="0" w:space="0" w:color="auto"/>
        <w:left w:val="none" w:sz="0" w:space="0" w:color="auto"/>
        <w:bottom w:val="none" w:sz="0" w:space="0" w:color="auto"/>
        <w:right w:val="none" w:sz="0" w:space="0" w:color="auto"/>
      </w:divBdr>
    </w:div>
    <w:div w:id="1133911865">
      <w:bodyDiv w:val="1"/>
      <w:marLeft w:val="0"/>
      <w:marRight w:val="0"/>
      <w:marTop w:val="0"/>
      <w:marBottom w:val="0"/>
      <w:divBdr>
        <w:top w:val="none" w:sz="0" w:space="0" w:color="auto"/>
        <w:left w:val="none" w:sz="0" w:space="0" w:color="auto"/>
        <w:bottom w:val="none" w:sz="0" w:space="0" w:color="auto"/>
        <w:right w:val="none" w:sz="0" w:space="0" w:color="auto"/>
      </w:divBdr>
    </w:div>
    <w:div w:id="1134519946">
      <w:bodyDiv w:val="1"/>
      <w:marLeft w:val="0"/>
      <w:marRight w:val="0"/>
      <w:marTop w:val="0"/>
      <w:marBottom w:val="0"/>
      <w:divBdr>
        <w:top w:val="none" w:sz="0" w:space="0" w:color="auto"/>
        <w:left w:val="none" w:sz="0" w:space="0" w:color="auto"/>
        <w:bottom w:val="none" w:sz="0" w:space="0" w:color="auto"/>
        <w:right w:val="none" w:sz="0" w:space="0" w:color="auto"/>
      </w:divBdr>
    </w:div>
    <w:div w:id="1134642251">
      <w:bodyDiv w:val="1"/>
      <w:marLeft w:val="0"/>
      <w:marRight w:val="0"/>
      <w:marTop w:val="0"/>
      <w:marBottom w:val="0"/>
      <w:divBdr>
        <w:top w:val="none" w:sz="0" w:space="0" w:color="auto"/>
        <w:left w:val="none" w:sz="0" w:space="0" w:color="auto"/>
        <w:bottom w:val="none" w:sz="0" w:space="0" w:color="auto"/>
        <w:right w:val="none" w:sz="0" w:space="0" w:color="auto"/>
      </w:divBdr>
    </w:div>
    <w:div w:id="1134710525">
      <w:bodyDiv w:val="1"/>
      <w:marLeft w:val="0"/>
      <w:marRight w:val="0"/>
      <w:marTop w:val="0"/>
      <w:marBottom w:val="0"/>
      <w:divBdr>
        <w:top w:val="none" w:sz="0" w:space="0" w:color="auto"/>
        <w:left w:val="none" w:sz="0" w:space="0" w:color="auto"/>
        <w:bottom w:val="none" w:sz="0" w:space="0" w:color="auto"/>
        <w:right w:val="none" w:sz="0" w:space="0" w:color="auto"/>
      </w:divBdr>
    </w:div>
    <w:div w:id="1135030609">
      <w:bodyDiv w:val="1"/>
      <w:marLeft w:val="0"/>
      <w:marRight w:val="0"/>
      <w:marTop w:val="0"/>
      <w:marBottom w:val="0"/>
      <w:divBdr>
        <w:top w:val="none" w:sz="0" w:space="0" w:color="auto"/>
        <w:left w:val="none" w:sz="0" w:space="0" w:color="auto"/>
        <w:bottom w:val="none" w:sz="0" w:space="0" w:color="auto"/>
        <w:right w:val="none" w:sz="0" w:space="0" w:color="auto"/>
      </w:divBdr>
    </w:div>
    <w:div w:id="1135682424">
      <w:bodyDiv w:val="1"/>
      <w:marLeft w:val="0"/>
      <w:marRight w:val="0"/>
      <w:marTop w:val="0"/>
      <w:marBottom w:val="0"/>
      <w:divBdr>
        <w:top w:val="none" w:sz="0" w:space="0" w:color="auto"/>
        <w:left w:val="none" w:sz="0" w:space="0" w:color="auto"/>
        <w:bottom w:val="none" w:sz="0" w:space="0" w:color="auto"/>
        <w:right w:val="none" w:sz="0" w:space="0" w:color="auto"/>
      </w:divBdr>
    </w:div>
    <w:div w:id="1136337642">
      <w:bodyDiv w:val="1"/>
      <w:marLeft w:val="0"/>
      <w:marRight w:val="0"/>
      <w:marTop w:val="0"/>
      <w:marBottom w:val="0"/>
      <w:divBdr>
        <w:top w:val="none" w:sz="0" w:space="0" w:color="auto"/>
        <w:left w:val="none" w:sz="0" w:space="0" w:color="auto"/>
        <w:bottom w:val="none" w:sz="0" w:space="0" w:color="auto"/>
        <w:right w:val="none" w:sz="0" w:space="0" w:color="auto"/>
      </w:divBdr>
    </w:div>
    <w:div w:id="1136525753">
      <w:bodyDiv w:val="1"/>
      <w:marLeft w:val="0"/>
      <w:marRight w:val="0"/>
      <w:marTop w:val="0"/>
      <w:marBottom w:val="0"/>
      <w:divBdr>
        <w:top w:val="none" w:sz="0" w:space="0" w:color="auto"/>
        <w:left w:val="none" w:sz="0" w:space="0" w:color="auto"/>
        <w:bottom w:val="none" w:sz="0" w:space="0" w:color="auto"/>
        <w:right w:val="none" w:sz="0" w:space="0" w:color="auto"/>
      </w:divBdr>
    </w:div>
    <w:div w:id="1137918859">
      <w:bodyDiv w:val="1"/>
      <w:marLeft w:val="0"/>
      <w:marRight w:val="0"/>
      <w:marTop w:val="0"/>
      <w:marBottom w:val="0"/>
      <w:divBdr>
        <w:top w:val="none" w:sz="0" w:space="0" w:color="auto"/>
        <w:left w:val="none" w:sz="0" w:space="0" w:color="auto"/>
        <w:bottom w:val="none" w:sz="0" w:space="0" w:color="auto"/>
        <w:right w:val="none" w:sz="0" w:space="0" w:color="auto"/>
      </w:divBdr>
    </w:div>
    <w:div w:id="1138693698">
      <w:bodyDiv w:val="1"/>
      <w:marLeft w:val="0"/>
      <w:marRight w:val="0"/>
      <w:marTop w:val="0"/>
      <w:marBottom w:val="0"/>
      <w:divBdr>
        <w:top w:val="none" w:sz="0" w:space="0" w:color="auto"/>
        <w:left w:val="none" w:sz="0" w:space="0" w:color="auto"/>
        <w:bottom w:val="none" w:sz="0" w:space="0" w:color="auto"/>
        <w:right w:val="none" w:sz="0" w:space="0" w:color="auto"/>
      </w:divBdr>
    </w:div>
    <w:div w:id="1139153945">
      <w:bodyDiv w:val="1"/>
      <w:marLeft w:val="0"/>
      <w:marRight w:val="0"/>
      <w:marTop w:val="0"/>
      <w:marBottom w:val="0"/>
      <w:divBdr>
        <w:top w:val="none" w:sz="0" w:space="0" w:color="auto"/>
        <w:left w:val="none" w:sz="0" w:space="0" w:color="auto"/>
        <w:bottom w:val="none" w:sz="0" w:space="0" w:color="auto"/>
        <w:right w:val="none" w:sz="0" w:space="0" w:color="auto"/>
      </w:divBdr>
    </w:div>
    <w:div w:id="1139225056">
      <w:bodyDiv w:val="1"/>
      <w:marLeft w:val="0"/>
      <w:marRight w:val="0"/>
      <w:marTop w:val="0"/>
      <w:marBottom w:val="0"/>
      <w:divBdr>
        <w:top w:val="none" w:sz="0" w:space="0" w:color="auto"/>
        <w:left w:val="none" w:sz="0" w:space="0" w:color="auto"/>
        <w:bottom w:val="none" w:sz="0" w:space="0" w:color="auto"/>
        <w:right w:val="none" w:sz="0" w:space="0" w:color="auto"/>
      </w:divBdr>
    </w:div>
    <w:div w:id="1139541581">
      <w:bodyDiv w:val="1"/>
      <w:marLeft w:val="0"/>
      <w:marRight w:val="0"/>
      <w:marTop w:val="0"/>
      <w:marBottom w:val="0"/>
      <w:divBdr>
        <w:top w:val="none" w:sz="0" w:space="0" w:color="auto"/>
        <w:left w:val="none" w:sz="0" w:space="0" w:color="auto"/>
        <w:bottom w:val="none" w:sz="0" w:space="0" w:color="auto"/>
        <w:right w:val="none" w:sz="0" w:space="0" w:color="auto"/>
      </w:divBdr>
    </w:div>
    <w:div w:id="1139880302">
      <w:bodyDiv w:val="1"/>
      <w:marLeft w:val="0"/>
      <w:marRight w:val="0"/>
      <w:marTop w:val="0"/>
      <w:marBottom w:val="0"/>
      <w:divBdr>
        <w:top w:val="none" w:sz="0" w:space="0" w:color="auto"/>
        <w:left w:val="none" w:sz="0" w:space="0" w:color="auto"/>
        <w:bottom w:val="none" w:sz="0" w:space="0" w:color="auto"/>
        <w:right w:val="none" w:sz="0" w:space="0" w:color="auto"/>
      </w:divBdr>
    </w:div>
    <w:div w:id="1140347814">
      <w:bodyDiv w:val="1"/>
      <w:marLeft w:val="0"/>
      <w:marRight w:val="0"/>
      <w:marTop w:val="0"/>
      <w:marBottom w:val="0"/>
      <w:divBdr>
        <w:top w:val="none" w:sz="0" w:space="0" w:color="auto"/>
        <w:left w:val="none" w:sz="0" w:space="0" w:color="auto"/>
        <w:bottom w:val="none" w:sz="0" w:space="0" w:color="auto"/>
        <w:right w:val="none" w:sz="0" w:space="0" w:color="auto"/>
      </w:divBdr>
    </w:div>
    <w:div w:id="1140727340">
      <w:bodyDiv w:val="1"/>
      <w:marLeft w:val="0"/>
      <w:marRight w:val="0"/>
      <w:marTop w:val="0"/>
      <w:marBottom w:val="0"/>
      <w:divBdr>
        <w:top w:val="none" w:sz="0" w:space="0" w:color="auto"/>
        <w:left w:val="none" w:sz="0" w:space="0" w:color="auto"/>
        <w:bottom w:val="none" w:sz="0" w:space="0" w:color="auto"/>
        <w:right w:val="none" w:sz="0" w:space="0" w:color="auto"/>
      </w:divBdr>
    </w:div>
    <w:div w:id="1141188438">
      <w:bodyDiv w:val="1"/>
      <w:marLeft w:val="0"/>
      <w:marRight w:val="0"/>
      <w:marTop w:val="0"/>
      <w:marBottom w:val="0"/>
      <w:divBdr>
        <w:top w:val="none" w:sz="0" w:space="0" w:color="auto"/>
        <w:left w:val="none" w:sz="0" w:space="0" w:color="auto"/>
        <w:bottom w:val="none" w:sz="0" w:space="0" w:color="auto"/>
        <w:right w:val="none" w:sz="0" w:space="0" w:color="auto"/>
      </w:divBdr>
    </w:div>
    <w:div w:id="1141384297">
      <w:bodyDiv w:val="1"/>
      <w:marLeft w:val="0"/>
      <w:marRight w:val="0"/>
      <w:marTop w:val="0"/>
      <w:marBottom w:val="0"/>
      <w:divBdr>
        <w:top w:val="none" w:sz="0" w:space="0" w:color="auto"/>
        <w:left w:val="none" w:sz="0" w:space="0" w:color="auto"/>
        <w:bottom w:val="none" w:sz="0" w:space="0" w:color="auto"/>
        <w:right w:val="none" w:sz="0" w:space="0" w:color="auto"/>
      </w:divBdr>
    </w:div>
    <w:div w:id="1144002343">
      <w:bodyDiv w:val="1"/>
      <w:marLeft w:val="0"/>
      <w:marRight w:val="0"/>
      <w:marTop w:val="0"/>
      <w:marBottom w:val="0"/>
      <w:divBdr>
        <w:top w:val="none" w:sz="0" w:space="0" w:color="auto"/>
        <w:left w:val="none" w:sz="0" w:space="0" w:color="auto"/>
        <w:bottom w:val="none" w:sz="0" w:space="0" w:color="auto"/>
        <w:right w:val="none" w:sz="0" w:space="0" w:color="auto"/>
      </w:divBdr>
    </w:div>
    <w:div w:id="1144931801">
      <w:bodyDiv w:val="1"/>
      <w:marLeft w:val="0"/>
      <w:marRight w:val="0"/>
      <w:marTop w:val="0"/>
      <w:marBottom w:val="0"/>
      <w:divBdr>
        <w:top w:val="none" w:sz="0" w:space="0" w:color="auto"/>
        <w:left w:val="none" w:sz="0" w:space="0" w:color="auto"/>
        <w:bottom w:val="none" w:sz="0" w:space="0" w:color="auto"/>
        <w:right w:val="none" w:sz="0" w:space="0" w:color="auto"/>
      </w:divBdr>
    </w:div>
    <w:div w:id="1146319938">
      <w:bodyDiv w:val="1"/>
      <w:marLeft w:val="0"/>
      <w:marRight w:val="0"/>
      <w:marTop w:val="0"/>
      <w:marBottom w:val="0"/>
      <w:divBdr>
        <w:top w:val="none" w:sz="0" w:space="0" w:color="auto"/>
        <w:left w:val="none" w:sz="0" w:space="0" w:color="auto"/>
        <w:bottom w:val="none" w:sz="0" w:space="0" w:color="auto"/>
        <w:right w:val="none" w:sz="0" w:space="0" w:color="auto"/>
      </w:divBdr>
    </w:div>
    <w:div w:id="1146971591">
      <w:bodyDiv w:val="1"/>
      <w:marLeft w:val="0"/>
      <w:marRight w:val="0"/>
      <w:marTop w:val="0"/>
      <w:marBottom w:val="0"/>
      <w:divBdr>
        <w:top w:val="none" w:sz="0" w:space="0" w:color="auto"/>
        <w:left w:val="none" w:sz="0" w:space="0" w:color="auto"/>
        <w:bottom w:val="none" w:sz="0" w:space="0" w:color="auto"/>
        <w:right w:val="none" w:sz="0" w:space="0" w:color="auto"/>
      </w:divBdr>
    </w:div>
    <w:div w:id="1147405469">
      <w:bodyDiv w:val="1"/>
      <w:marLeft w:val="0"/>
      <w:marRight w:val="0"/>
      <w:marTop w:val="0"/>
      <w:marBottom w:val="0"/>
      <w:divBdr>
        <w:top w:val="none" w:sz="0" w:space="0" w:color="auto"/>
        <w:left w:val="none" w:sz="0" w:space="0" w:color="auto"/>
        <w:bottom w:val="none" w:sz="0" w:space="0" w:color="auto"/>
        <w:right w:val="none" w:sz="0" w:space="0" w:color="auto"/>
      </w:divBdr>
    </w:div>
    <w:div w:id="1148127282">
      <w:bodyDiv w:val="1"/>
      <w:marLeft w:val="0"/>
      <w:marRight w:val="0"/>
      <w:marTop w:val="0"/>
      <w:marBottom w:val="0"/>
      <w:divBdr>
        <w:top w:val="none" w:sz="0" w:space="0" w:color="auto"/>
        <w:left w:val="none" w:sz="0" w:space="0" w:color="auto"/>
        <w:bottom w:val="none" w:sz="0" w:space="0" w:color="auto"/>
        <w:right w:val="none" w:sz="0" w:space="0" w:color="auto"/>
      </w:divBdr>
    </w:div>
    <w:div w:id="1148670085">
      <w:bodyDiv w:val="1"/>
      <w:marLeft w:val="0"/>
      <w:marRight w:val="0"/>
      <w:marTop w:val="0"/>
      <w:marBottom w:val="0"/>
      <w:divBdr>
        <w:top w:val="none" w:sz="0" w:space="0" w:color="auto"/>
        <w:left w:val="none" w:sz="0" w:space="0" w:color="auto"/>
        <w:bottom w:val="none" w:sz="0" w:space="0" w:color="auto"/>
        <w:right w:val="none" w:sz="0" w:space="0" w:color="auto"/>
      </w:divBdr>
    </w:div>
    <w:div w:id="1149050873">
      <w:bodyDiv w:val="1"/>
      <w:marLeft w:val="0"/>
      <w:marRight w:val="0"/>
      <w:marTop w:val="0"/>
      <w:marBottom w:val="0"/>
      <w:divBdr>
        <w:top w:val="none" w:sz="0" w:space="0" w:color="auto"/>
        <w:left w:val="none" w:sz="0" w:space="0" w:color="auto"/>
        <w:bottom w:val="none" w:sz="0" w:space="0" w:color="auto"/>
        <w:right w:val="none" w:sz="0" w:space="0" w:color="auto"/>
      </w:divBdr>
    </w:div>
    <w:div w:id="1149053099">
      <w:bodyDiv w:val="1"/>
      <w:marLeft w:val="0"/>
      <w:marRight w:val="0"/>
      <w:marTop w:val="0"/>
      <w:marBottom w:val="0"/>
      <w:divBdr>
        <w:top w:val="none" w:sz="0" w:space="0" w:color="auto"/>
        <w:left w:val="none" w:sz="0" w:space="0" w:color="auto"/>
        <w:bottom w:val="none" w:sz="0" w:space="0" w:color="auto"/>
        <w:right w:val="none" w:sz="0" w:space="0" w:color="auto"/>
      </w:divBdr>
    </w:div>
    <w:div w:id="1149712448">
      <w:bodyDiv w:val="1"/>
      <w:marLeft w:val="0"/>
      <w:marRight w:val="0"/>
      <w:marTop w:val="0"/>
      <w:marBottom w:val="0"/>
      <w:divBdr>
        <w:top w:val="none" w:sz="0" w:space="0" w:color="auto"/>
        <w:left w:val="none" w:sz="0" w:space="0" w:color="auto"/>
        <w:bottom w:val="none" w:sz="0" w:space="0" w:color="auto"/>
        <w:right w:val="none" w:sz="0" w:space="0" w:color="auto"/>
      </w:divBdr>
    </w:div>
    <w:div w:id="1152335812">
      <w:bodyDiv w:val="1"/>
      <w:marLeft w:val="0"/>
      <w:marRight w:val="0"/>
      <w:marTop w:val="0"/>
      <w:marBottom w:val="0"/>
      <w:divBdr>
        <w:top w:val="none" w:sz="0" w:space="0" w:color="auto"/>
        <w:left w:val="none" w:sz="0" w:space="0" w:color="auto"/>
        <w:bottom w:val="none" w:sz="0" w:space="0" w:color="auto"/>
        <w:right w:val="none" w:sz="0" w:space="0" w:color="auto"/>
      </w:divBdr>
    </w:div>
    <w:div w:id="1152479022">
      <w:bodyDiv w:val="1"/>
      <w:marLeft w:val="0"/>
      <w:marRight w:val="0"/>
      <w:marTop w:val="0"/>
      <w:marBottom w:val="0"/>
      <w:divBdr>
        <w:top w:val="none" w:sz="0" w:space="0" w:color="auto"/>
        <w:left w:val="none" w:sz="0" w:space="0" w:color="auto"/>
        <w:bottom w:val="none" w:sz="0" w:space="0" w:color="auto"/>
        <w:right w:val="none" w:sz="0" w:space="0" w:color="auto"/>
      </w:divBdr>
    </w:div>
    <w:div w:id="1152789814">
      <w:bodyDiv w:val="1"/>
      <w:marLeft w:val="0"/>
      <w:marRight w:val="0"/>
      <w:marTop w:val="0"/>
      <w:marBottom w:val="0"/>
      <w:divBdr>
        <w:top w:val="none" w:sz="0" w:space="0" w:color="auto"/>
        <w:left w:val="none" w:sz="0" w:space="0" w:color="auto"/>
        <w:bottom w:val="none" w:sz="0" w:space="0" w:color="auto"/>
        <w:right w:val="none" w:sz="0" w:space="0" w:color="auto"/>
      </w:divBdr>
    </w:div>
    <w:div w:id="1153641100">
      <w:bodyDiv w:val="1"/>
      <w:marLeft w:val="0"/>
      <w:marRight w:val="0"/>
      <w:marTop w:val="0"/>
      <w:marBottom w:val="0"/>
      <w:divBdr>
        <w:top w:val="none" w:sz="0" w:space="0" w:color="auto"/>
        <w:left w:val="none" w:sz="0" w:space="0" w:color="auto"/>
        <w:bottom w:val="none" w:sz="0" w:space="0" w:color="auto"/>
        <w:right w:val="none" w:sz="0" w:space="0" w:color="auto"/>
      </w:divBdr>
    </w:div>
    <w:div w:id="1153716813">
      <w:bodyDiv w:val="1"/>
      <w:marLeft w:val="0"/>
      <w:marRight w:val="0"/>
      <w:marTop w:val="0"/>
      <w:marBottom w:val="0"/>
      <w:divBdr>
        <w:top w:val="none" w:sz="0" w:space="0" w:color="auto"/>
        <w:left w:val="none" w:sz="0" w:space="0" w:color="auto"/>
        <w:bottom w:val="none" w:sz="0" w:space="0" w:color="auto"/>
        <w:right w:val="none" w:sz="0" w:space="0" w:color="auto"/>
      </w:divBdr>
    </w:div>
    <w:div w:id="1153908305">
      <w:bodyDiv w:val="1"/>
      <w:marLeft w:val="0"/>
      <w:marRight w:val="0"/>
      <w:marTop w:val="0"/>
      <w:marBottom w:val="0"/>
      <w:divBdr>
        <w:top w:val="none" w:sz="0" w:space="0" w:color="auto"/>
        <w:left w:val="none" w:sz="0" w:space="0" w:color="auto"/>
        <w:bottom w:val="none" w:sz="0" w:space="0" w:color="auto"/>
        <w:right w:val="none" w:sz="0" w:space="0" w:color="auto"/>
      </w:divBdr>
    </w:div>
    <w:div w:id="1154491949">
      <w:bodyDiv w:val="1"/>
      <w:marLeft w:val="0"/>
      <w:marRight w:val="0"/>
      <w:marTop w:val="0"/>
      <w:marBottom w:val="0"/>
      <w:divBdr>
        <w:top w:val="none" w:sz="0" w:space="0" w:color="auto"/>
        <w:left w:val="none" w:sz="0" w:space="0" w:color="auto"/>
        <w:bottom w:val="none" w:sz="0" w:space="0" w:color="auto"/>
        <w:right w:val="none" w:sz="0" w:space="0" w:color="auto"/>
      </w:divBdr>
    </w:div>
    <w:div w:id="1154562015">
      <w:bodyDiv w:val="1"/>
      <w:marLeft w:val="0"/>
      <w:marRight w:val="0"/>
      <w:marTop w:val="0"/>
      <w:marBottom w:val="0"/>
      <w:divBdr>
        <w:top w:val="none" w:sz="0" w:space="0" w:color="auto"/>
        <w:left w:val="none" w:sz="0" w:space="0" w:color="auto"/>
        <w:bottom w:val="none" w:sz="0" w:space="0" w:color="auto"/>
        <w:right w:val="none" w:sz="0" w:space="0" w:color="auto"/>
      </w:divBdr>
    </w:div>
    <w:div w:id="1154568632">
      <w:bodyDiv w:val="1"/>
      <w:marLeft w:val="0"/>
      <w:marRight w:val="0"/>
      <w:marTop w:val="0"/>
      <w:marBottom w:val="0"/>
      <w:divBdr>
        <w:top w:val="none" w:sz="0" w:space="0" w:color="auto"/>
        <w:left w:val="none" w:sz="0" w:space="0" w:color="auto"/>
        <w:bottom w:val="none" w:sz="0" w:space="0" w:color="auto"/>
        <w:right w:val="none" w:sz="0" w:space="0" w:color="auto"/>
      </w:divBdr>
    </w:div>
    <w:div w:id="1156337158">
      <w:bodyDiv w:val="1"/>
      <w:marLeft w:val="0"/>
      <w:marRight w:val="0"/>
      <w:marTop w:val="0"/>
      <w:marBottom w:val="0"/>
      <w:divBdr>
        <w:top w:val="none" w:sz="0" w:space="0" w:color="auto"/>
        <w:left w:val="none" w:sz="0" w:space="0" w:color="auto"/>
        <w:bottom w:val="none" w:sz="0" w:space="0" w:color="auto"/>
        <w:right w:val="none" w:sz="0" w:space="0" w:color="auto"/>
      </w:divBdr>
    </w:div>
    <w:div w:id="1156922816">
      <w:bodyDiv w:val="1"/>
      <w:marLeft w:val="0"/>
      <w:marRight w:val="0"/>
      <w:marTop w:val="0"/>
      <w:marBottom w:val="0"/>
      <w:divBdr>
        <w:top w:val="none" w:sz="0" w:space="0" w:color="auto"/>
        <w:left w:val="none" w:sz="0" w:space="0" w:color="auto"/>
        <w:bottom w:val="none" w:sz="0" w:space="0" w:color="auto"/>
        <w:right w:val="none" w:sz="0" w:space="0" w:color="auto"/>
      </w:divBdr>
    </w:div>
    <w:div w:id="1157183640">
      <w:bodyDiv w:val="1"/>
      <w:marLeft w:val="0"/>
      <w:marRight w:val="0"/>
      <w:marTop w:val="0"/>
      <w:marBottom w:val="0"/>
      <w:divBdr>
        <w:top w:val="none" w:sz="0" w:space="0" w:color="auto"/>
        <w:left w:val="none" w:sz="0" w:space="0" w:color="auto"/>
        <w:bottom w:val="none" w:sz="0" w:space="0" w:color="auto"/>
        <w:right w:val="none" w:sz="0" w:space="0" w:color="auto"/>
      </w:divBdr>
    </w:div>
    <w:div w:id="1157569692">
      <w:bodyDiv w:val="1"/>
      <w:marLeft w:val="0"/>
      <w:marRight w:val="0"/>
      <w:marTop w:val="0"/>
      <w:marBottom w:val="0"/>
      <w:divBdr>
        <w:top w:val="none" w:sz="0" w:space="0" w:color="auto"/>
        <w:left w:val="none" w:sz="0" w:space="0" w:color="auto"/>
        <w:bottom w:val="none" w:sz="0" w:space="0" w:color="auto"/>
        <w:right w:val="none" w:sz="0" w:space="0" w:color="auto"/>
      </w:divBdr>
    </w:div>
    <w:div w:id="1157696473">
      <w:bodyDiv w:val="1"/>
      <w:marLeft w:val="0"/>
      <w:marRight w:val="0"/>
      <w:marTop w:val="0"/>
      <w:marBottom w:val="0"/>
      <w:divBdr>
        <w:top w:val="none" w:sz="0" w:space="0" w:color="auto"/>
        <w:left w:val="none" w:sz="0" w:space="0" w:color="auto"/>
        <w:bottom w:val="none" w:sz="0" w:space="0" w:color="auto"/>
        <w:right w:val="none" w:sz="0" w:space="0" w:color="auto"/>
      </w:divBdr>
    </w:div>
    <w:div w:id="1158233585">
      <w:bodyDiv w:val="1"/>
      <w:marLeft w:val="0"/>
      <w:marRight w:val="0"/>
      <w:marTop w:val="0"/>
      <w:marBottom w:val="0"/>
      <w:divBdr>
        <w:top w:val="none" w:sz="0" w:space="0" w:color="auto"/>
        <w:left w:val="none" w:sz="0" w:space="0" w:color="auto"/>
        <w:bottom w:val="none" w:sz="0" w:space="0" w:color="auto"/>
        <w:right w:val="none" w:sz="0" w:space="0" w:color="auto"/>
      </w:divBdr>
    </w:div>
    <w:div w:id="1158765573">
      <w:bodyDiv w:val="1"/>
      <w:marLeft w:val="0"/>
      <w:marRight w:val="0"/>
      <w:marTop w:val="0"/>
      <w:marBottom w:val="0"/>
      <w:divBdr>
        <w:top w:val="none" w:sz="0" w:space="0" w:color="auto"/>
        <w:left w:val="none" w:sz="0" w:space="0" w:color="auto"/>
        <w:bottom w:val="none" w:sz="0" w:space="0" w:color="auto"/>
        <w:right w:val="none" w:sz="0" w:space="0" w:color="auto"/>
      </w:divBdr>
    </w:div>
    <w:div w:id="1159466053">
      <w:bodyDiv w:val="1"/>
      <w:marLeft w:val="0"/>
      <w:marRight w:val="0"/>
      <w:marTop w:val="0"/>
      <w:marBottom w:val="0"/>
      <w:divBdr>
        <w:top w:val="none" w:sz="0" w:space="0" w:color="auto"/>
        <w:left w:val="none" w:sz="0" w:space="0" w:color="auto"/>
        <w:bottom w:val="none" w:sz="0" w:space="0" w:color="auto"/>
        <w:right w:val="none" w:sz="0" w:space="0" w:color="auto"/>
      </w:divBdr>
    </w:div>
    <w:div w:id="1159929375">
      <w:bodyDiv w:val="1"/>
      <w:marLeft w:val="0"/>
      <w:marRight w:val="0"/>
      <w:marTop w:val="0"/>
      <w:marBottom w:val="0"/>
      <w:divBdr>
        <w:top w:val="none" w:sz="0" w:space="0" w:color="auto"/>
        <w:left w:val="none" w:sz="0" w:space="0" w:color="auto"/>
        <w:bottom w:val="none" w:sz="0" w:space="0" w:color="auto"/>
        <w:right w:val="none" w:sz="0" w:space="0" w:color="auto"/>
      </w:divBdr>
    </w:div>
    <w:div w:id="1160657126">
      <w:bodyDiv w:val="1"/>
      <w:marLeft w:val="0"/>
      <w:marRight w:val="0"/>
      <w:marTop w:val="0"/>
      <w:marBottom w:val="0"/>
      <w:divBdr>
        <w:top w:val="none" w:sz="0" w:space="0" w:color="auto"/>
        <w:left w:val="none" w:sz="0" w:space="0" w:color="auto"/>
        <w:bottom w:val="none" w:sz="0" w:space="0" w:color="auto"/>
        <w:right w:val="none" w:sz="0" w:space="0" w:color="auto"/>
      </w:divBdr>
    </w:div>
    <w:div w:id="1160728272">
      <w:bodyDiv w:val="1"/>
      <w:marLeft w:val="0"/>
      <w:marRight w:val="0"/>
      <w:marTop w:val="0"/>
      <w:marBottom w:val="0"/>
      <w:divBdr>
        <w:top w:val="none" w:sz="0" w:space="0" w:color="auto"/>
        <w:left w:val="none" w:sz="0" w:space="0" w:color="auto"/>
        <w:bottom w:val="none" w:sz="0" w:space="0" w:color="auto"/>
        <w:right w:val="none" w:sz="0" w:space="0" w:color="auto"/>
      </w:divBdr>
    </w:div>
    <w:div w:id="1161239490">
      <w:bodyDiv w:val="1"/>
      <w:marLeft w:val="0"/>
      <w:marRight w:val="0"/>
      <w:marTop w:val="0"/>
      <w:marBottom w:val="0"/>
      <w:divBdr>
        <w:top w:val="none" w:sz="0" w:space="0" w:color="auto"/>
        <w:left w:val="none" w:sz="0" w:space="0" w:color="auto"/>
        <w:bottom w:val="none" w:sz="0" w:space="0" w:color="auto"/>
        <w:right w:val="none" w:sz="0" w:space="0" w:color="auto"/>
      </w:divBdr>
    </w:div>
    <w:div w:id="1161585106">
      <w:bodyDiv w:val="1"/>
      <w:marLeft w:val="0"/>
      <w:marRight w:val="0"/>
      <w:marTop w:val="0"/>
      <w:marBottom w:val="0"/>
      <w:divBdr>
        <w:top w:val="none" w:sz="0" w:space="0" w:color="auto"/>
        <w:left w:val="none" w:sz="0" w:space="0" w:color="auto"/>
        <w:bottom w:val="none" w:sz="0" w:space="0" w:color="auto"/>
        <w:right w:val="none" w:sz="0" w:space="0" w:color="auto"/>
      </w:divBdr>
    </w:div>
    <w:div w:id="1161702289">
      <w:bodyDiv w:val="1"/>
      <w:marLeft w:val="0"/>
      <w:marRight w:val="0"/>
      <w:marTop w:val="0"/>
      <w:marBottom w:val="0"/>
      <w:divBdr>
        <w:top w:val="none" w:sz="0" w:space="0" w:color="auto"/>
        <w:left w:val="none" w:sz="0" w:space="0" w:color="auto"/>
        <w:bottom w:val="none" w:sz="0" w:space="0" w:color="auto"/>
        <w:right w:val="none" w:sz="0" w:space="0" w:color="auto"/>
      </w:divBdr>
    </w:div>
    <w:div w:id="1162354738">
      <w:bodyDiv w:val="1"/>
      <w:marLeft w:val="0"/>
      <w:marRight w:val="0"/>
      <w:marTop w:val="0"/>
      <w:marBottom w:val="0"/>
      <w:divBdr>
        <w:top w:val="none" w:sz="0" w:space="0" w:color="auto"/>
        <w:left w:val="none" w:sz="0" w:space="0" w:color="auto"/>
        <w:bottom w:val="none" w:sz="0" w:space="0" w:color="auto"/>
        <w:right w:val="none" w:sz="0" w:space="0" w:color="auto"/>
      </w:divBdr>
    </w:div>
    <w:div w:id="1163204596">
      <w:bodyDiv w:val="1"/>
      <w:marLeft w:val="0"/>
      <w:marRight w:val="0"/>
      <w:marTop w:val="0"/>
      <w:marBottom w:val="0"/>
      <w:divBdr>
        <w:top w:val="none" w:sz="0" w:space="0" w:color="auto"/>
        <w:left w:val="none" w:sz="0" w:space="0" w:color="auto"/>
        <w:bottom w:val="none" w:sz="0" w:space="0" w:color="auto"/>
        <w:right w:val="none" w:sz="0" w:space="0" w:color="auto"/>
      </w:divBdr>
    </w:div>
    <w:div w:id="1163741870">
      <w:bodyDiv w:val="1"/>
      <w:marLeft w:val="0"/>
      <w:marRight w:val="0"/>
      <w:marTop w:val="0"/>
      <w:marBottom w:val="0"/>
      <w:divBdr>
        <w:top w:val="none" w:sz="0" w:space="0" w:color="auto"/>
        <w:left w:val="none" w:sz="0" w:space="0" w:color="auto"/>
        <w:bottom w:val="none" w:sz="0" w:space="0" w:color="auto"/>
        <w:right w:val="none" w:sz="0" w:space="0" w:color="auto"/>
      </w:divBdr>
    </w:div>
    <w:div w:id="1164588084">
      <w:bodyDiv w:val="1"/>
      <w:marLeft w:val="0"/>
      <w:marRight w:val="0"/>
      <w:marTop w:val="0"/>
      <w:marBottom w:val="0"/>
      <w:divBdr>
        <w:top w:val="none" w:sz="0" w:space="0" w:color="auto"/>
        <w:left w:val="none" w:sz="0" w:space="0" w:color="auto"/>
        <w:bottom w:val="none" w:sz="0" w:space="0" w:color="auto"/>
        <w:right w:val="none" w:sz="0" w:space="0" w:color="auto"/>
      </w:divBdr>
    </w:div>
    <w:div w:id="1164781062">
      <w:bodyDiv w:val="1"/>
      <w:marLeft w:val="0"/>
      <w:marRight w:val="0"/>
      <w:marTop w:val="0"/>
      <w:marBottom w:val="0"/>
      <w:divBdr>
        <w:top w:val="none" w:sz="0" w:space="0" w:color="auto"/>
        <w:left w:val="none" w:sz="0" w:space="0" w:color="auto"/>
        <w:bottom w:val="none" w:sz="0" w:space="0" w:color="auto"/>
        <w:right w:val="none" w:sz="0" w:space="0" w:color="auto"/>
      </w:divBdr>
    </w:div>
    <w:div w:id="1165122640">
      <w:bodyDiv w:val="1"/>
      <w:marLeft w:val="0"/>
      <w:marRight w:val="0"/>
      <w:marTop w:val="0"/>
      <w:marBottom w:val="0"/>
      <w:divBdr>
        <w:top w:val="none" w:sz="0" w:space="0" w:color="auto"/>
        <w:left w:val="none" w:sz="0" w:space="0" w:color="auto"/>
        <w:bottom w:val="none" w:sz="0" w:space="0" w:color="auto"/>
        <w:right w:val="none" w:sz="0" w:space="0" w:color="auto"/>
      </w:divBdr>
    </w:div>
    <w:div w:id="1165173254">
      <w:bodyDiv w:val="1"/>
      <w:marLeft w:val="0"/>
      <w:marRight w:val="0"/>
      <w:marTop w:val="0"/>
      <w:marBottom w:val="0"/>
      <w:divBdr>
        <w:top w:val="none" w:sz="0" w:space="0" w:color="auto"/>
        <w:left w:val="none" w:sz="0" w:space="0" w:color="auto"/>
        <w:bottom w:val="none" w:sz="0" w:space="0" w:color="auto"/>
        <w:right w:val="none" w:sz="0" w:space="0" w:color="auto"/>
      </w:divBdr>
    </w:div>
    <w:div w:id="1166094882">
      <w:bodyDiv w:val="1"/>
      <w:marLeft w:val="0"/>
      <w:marRight w:val="0"/>
      <w:marTop w:val="0"/>
      <w:marBottom w:val="0"/>
      <w:divBdr>
        <w:top w:val="none" w:sz="0" w:space="0" w:color="auto"/>
        <w:left w:val="none" w:sz="0" w:space="0" w:color="auto"/>
        <w:bottom w:val="none" w:sz="0" w:space="0" w:color="auto"/>
        <w:right w:val="none" w:sz="0" w:space="0" w:color="auto"/>
      </w:divBdr>
    </w:div>
    <w:div w:id="1166286902">
      <w:bodyDiv w:val="1"/>
      <w:marLeft w:val="0"/>
      <w:marRight w:val="0"/>
      <w:marTop w:val="0"/>
      <w:marBottom w:val="0"/>
      <w:divBdr>
        <w:top w:val="none" w:sz="0" w:space="0" w:color="auto"/>
        <w:left w:val="none" w:sz="0" w:space="0" w:color="auto"/>
        <w:bottom w:val="none" w:sz="0" w:space="0" w:color="auto"/>
        <w:right w:val="none" w:sz="0" w:space="0" w:color="auto"/>
      </w:divBdr>
    </w:div>
    <w:div w:id="1166357298">
      <w:bodyDiv w:val="1"/>
      <w:marLeft w:val="0"/>
      <w:marRight w:val="0"/>
      <w:marTop w:val="0"/>
      <w:marBottom w:val="0"/>
      <w:divBdr>
        <w:top w:val="none" w:sz="0" w:space="0" w:color="auto"/>
        <w:left w:val="none" w:sz="0" w:space="0" w:color="auto"/>
        <w:bottom w:val="none" w:sz="0" w:space="0" w:color="auto"/>
        <w:right w:val="none" w:sz="0" w:space="0" w:color="auto"/>
      </w:divBdr>
    </w:div>
    <w:div w:id="1168712330">
      <w:bodyDiv w:val="1"/>
      <w:marLeft w:val="0"/>
      <w:marRight w:val="0"/>
      <w:marTop w:val="0"/>
      <w:marBottom w:val="0"/>
      <w:divBdr>
        <w:top w:val="none" w:sz="0" w:space="0" w:color="auto"/>
        <w:left w:val="none" w:sz="0" w:space="0" w:color="auto"/>
        <w:bottom w:val="none" w:sz="0" w:space="0" w:color="auto"/>
        <w:right w:val="none" w:sz="0" w:space="0" w:color="auto"/>
      </w:divBdr>
    </w:div>
    <w:div w:id="1168980470">
      <w:bodyDiv w:val="1"/>
      <w:marLeft w:val="0"/>
      <w:marRight w:val="0"/>
      <w:marTop w:val="0"/>
      <w:marBottom w:val="0"/>
      <w:divBdr>
        <w:top w:val="none" w:sz="0" w:space="0" w:color="auto"/>
        <w:left w:val="none" w:sz="0" w:space="0" w:color="auto"/>
        <w:bottom w:val="none" w:sz="0" w:space="0" w:color="auto"/>
        <w:right w:val="none" w:sz="0" w:space="0" w:color="auto"/>
      </w:divBdr>
    </w:div>
    <w:div w:id="1169247332">
      <w:bodyDiv w:val="1"/>
      <w:marLeft w:val="0"/>
      <w:marRight w:val="0"/>
      <w:marTop w:val="0"/>
      <w:marBottom w:val="0"/>
      <w:divBdr>
        <w:top w:val="none" w:sz="0" w:space="0" w:color="auto"/>
        <w:left w:val="none" w:sz="0" w:space="0" w:color="auto"/>
        <w:bottom w:val="none" w:sz="0" w:space="0" w:color="auto"/>
        <w:right w:val="none" w:sz="0" w:space="0" w:color="auto"/>
      </w:divBdr>
    </w:div>
    <w:div w:id="1169757326">
      <w:bodyDiv w:val="1"/>
      <w:marLeft w:val="0"/>
      <w:marRight w:val="0"/>
      <w:marTop w:val="0"/>
      <w:marBottom w:val="0"/>
      <w:divBdr>
        <w:top w:val="none" w:sz="0" w:space="0" w:color="auto"/>
        <w:left w:val="none" w:sz="0" w:space="0" w:color="auto"/>
        <w:bottom w:val="none" w:sz="0" w:space="0" w:color="auto"/>
        <w:right w:val="none" w:sz="0" w:space="0" w:color="auto"/>
      </w:divBdr>
    </w:div>
    <w:div w:id="1169760289">
      <w:bodyDiv w:val="1"/>
      <w:marLeft w:val="0"/>
      <w:marRight w:val="0"/>
      <w:marTop w:val="0"/>
      <w:marBottom w:val="0"/>
      <w:divBdr>
        <w:top w:val="none" w:sz="0" w:space="0" w:color="auto"/>
        <w:left w:val="none" w:sz="0" w:space="0" w:color="auto"/>
        <w:bottom w:val="none" w:sz="0" w:space="0" w:color="auto"/>
        <w:right w:val="none" w:sz="0" w:space="0" w:color="auto"/>
      </w:divBdr>
    </w:div>
    <w:div w:id="1169784213">
      <w:bodyDiv w:val="1"/>
      <w:marLeft w:val="0"/>
      <w:marRight w:val="0"/>
      <w:marTop w:val="0"/>
      <w:marBottom w:val="0"/>
      <w:divBdr>
        <w:top w:val="none" w:sz="0" w:space="0" w:color="auto"/>
        <w:left w:val="none" w:sz="0" w:space="0" w:color="auto"/>
        <w:bottom w:val="none" w:sz="0" w:space="0" w:color="auto"/>
        <w:right w:val="none" w:sz="0" w:space="0" w:color="auto"/>
      </w:divBdr>
    </w:div>
    <w:div w:id="1170366060">
      <w:bodyDiv w:val="1"/>
      <w:marLeft w:val="0"/>
      <w:marRight w:val="0"/>
      <w:marTop w:val="0"/>
      <w:marBottom w:val="0"/>
      <w:divBdr>
        <w:top w:val="none" w:sz="0" w:space="0" w:color="auto"/>
        <w:left w:val="none" w:sz="0" w:space="0" w:color="auto"/>
        <w:bottom w:val="none" w:sz="0" w:space="0" w:color="auto"/>
        <w:right w:val="none" w:sz="0" w:space="0" w:color="auto"/>
      </w:divBdr>
    </w:div>
    <w:div w:id="1170675548">
      <w:bodyDiv w:val="1"/>
      <w:marLeft w:val="0"/>
      <w:marRight w:val="0"/>
      <w:marTop w:val="0"/>
      <w:marBottom w:val="0"/>
      <w:divBdr>
        <w:top w:val="none" w:sz="0" w:space="0" w:color="auto"/>
        <w:left w:val="none" w:sz="0" w:space="0" w:color="auto"/>
        <w:bottom w:val="none" w:sz="0" w:space="0" w:color="auto"/>
        <w:right w:val="none" w:sz="0" w:space="0" w:color="auto"/>
      </w:divBdr>
    </w:div>
    <w:div w:id="1170682789">
      <w:bodyDiv w:val="1"/>
      <w:marLeft w:val="0"/>
      <w:marRight w:val="0"/>
      <w:marTop w:val="0"/>
      <w:marBottom w:val="0"/>
      <w:divBdr>
        <w:top w:val="none" w:sz="0" w:space="0" w:color="auto"/>
        <w:left w:val="none" w:sz="0" w:space="0" w:color="auto"/>
        <w:bottom w:val="none" w:sz="0" w:space="0" w:color="auto"/>
        <w:right w:val="none" w:sz="0" w:space="0" w:color="auto"/>
      </w:divBdr>
    </w:div>
    <w:div w:id="1170873649">
      <w:bodyDiv w:val="1"/>
      <w:marLeft w:val="0"/>
      <w:marRight w:val="0"/>
      <w:marTop w:val="0"/>
      <w:marBottom w:val="0"/>
      <w:divBdr>
        <w:top w:val="none" w:sz="0" w:space="0" w:color="auto"/>
        <w:left w:val="none" w:sz="0" w:space="0" w:color="auto"/>
        <w:bottom w:val="none" w:sz="0" w:space="0" w:color="auto"/>
        <w:right w:val="none" w:sz="0" w:space="0" w:color="auto"/>
      </w:divBdr>
    </w:div>
    <w:div w:id="1171141585">
      <w:bodyDiv w:val="1"/>
      <w:marLeft w:val="0"/>
      <w:marRight w:val="0"/>
      <w:marTop w:val="0"/>
      <w:marBottom w:val="0"/>
      <w:divBdr>
        <w:top w:val="none" w:sz="0" w:space="0" w:color="auto"/>
        <w:left w:val="none" w:sz="0" w:space="0" w:color="auto"/>
        <w:bottom w:val="none" w:sz="0" w:space="0" w:color="auto"/>
        <w:right w:val="none" w:sz="0" w:space="0" w:color="auto"/>
      </w:divBdr>
    </w:div>
    <w:div w:id="1171288082">
      <w:bodyDiv w:val="1"/>
      <w:marLeft w:val="0"/>
      <w:marRight w:val="0"/>
      <w:marTop w:val="0"/>
      <w:marBottom w:val="0"/>
      <w:divBdr>
        <w:top w:val="none" w:sz="0" w:space="0" w:color="auto"/>
        <w:left w:val="none" w:sz="0" w:space="0" w:color="auto"/>
        <w:bottom w:val="none" w:sz="0" w:space="0" w:color="auto"/>
        <w:right w:val="none" w:sz="0" w:space="0" w:color="auto"/>
      </w:divBdr>
    </w:div>
    <w:div w:id="1172140241">
      <w:bodyDiv w:val="1"/>
      <w:marLeft w:val="0"/>
      <w:marRight w:val="0"/>
      <w:marTop w:val="0"/>
      <w:marBottom w:val="0"/>
      <w:divBdr>
        <w:top w:val="none" w:sz="0" w:space="0" w:color="auto"/>
        <w:left w:val="none" w:sz="0" w:space="0" w:color="auto"/>
        <w:bottom w:val="none" w:sz="0" w:space="0" w:color="auto"/>
        <w:right w:val="none" w:sz="0" w:space="0" w:color="auto"/>
      </w:divBdr>
    </w:div>
    <w:div w:id="1173186100">
      <w:bodyDiv w:val="1"/>
      <w:marLeft w:val="0"/>
      <w:marRight w:val="0"/>
      <w:marTop w:val="0"/>
      <w:marBottom w:val="0"/>
      <w:divBdr>
        <w:top w:val="none" w:sz="0" w:space="0" w:color="auto"/>
        <w:left w:val="none" w:sz="0" w:space="0" w:color="auto"/>
        <w:bottom w:val="none" w:sz="0" w:space="0" w:color="auto"/>
        <w:right w:val="none" w:sz="0" w:space="0" w:color="auto"/>
      </w:divBdr>
    </w:div>
    <w:div w:id="1174567541">
      <w:bodyDiv w:val="1"/>
      <w:marLeft w:val="0"/>
      <w:marRight w:val="0"/>
      <w:marTop w:val="0"/>
      <w:marBottom w:val="0"/>
      <w:divBdr>
        <w:top w:val="none" w:sz="0" w:space="0" w:color="auto"/>
        <w:left w:val="none" w:sz="0" w:space="0" w:color="auto"/>
        <w:bottom w:val="none" w:sz="0" w:space="0" w:color="auto"/>
        <w:right w:val="none" w:sz="0" w:space="0" w:color="auto"/>
      </w:divBdr>
    </w:div>
    <w:div w:id="1175025812">
      <w:bodyDiv w:val="1"/>
      <w:marLeft w:val="0"/>
      <w:marRight w:val="0"/>
      <w:marTop w:val="0"/>
      <w:marBottom w:val="0"/>
      <w:divBdr>
        <w:top w:val="none" w:sz="0" w:space="0" w:color="auto"/>
        <w:left w:val="none" w:sz="0" w:space="0" w:color="auto"/>
        <w:bottom w:val="none" w:sz="0" w:space="0" w:color="auto"/>
        <w:right w:val="none" w:sz="0" w:space="0" w:color="auto"/>
      </w:divBdr>
    </w:div>
    <w:div w:id="1175606273">
      <w:bodyDiv w:val="1"/>
      <w:marLeft w:val="0"/>
      <w:marRight w:val="0"/>
      <w:marTop w:val="0"/>
      <w:marBottom w:val="0"/>
      <w:divBdr>
        <w:top w:val="none" w:sz="0" w:space="0" w:color="auto"/>
        <w:left w:val="none" w:sz="0" w:space="0" w:color="auto"/>
        <w:bottom w:val="none" w:sz="0" w:space="0" w:color="auto"/>
        <w:right w:val="none" w:sz="0" w:space="0" w:color="auto"/>
      </w:divBdr>
    </w:div>
    <w:div w:id="1175613556">
      <w:bodyDiv w:val="1"/>
      <w:marLeft w:val="0"/>
      <w:marRight w:val="0"/>
      <w:marTop w:val="0"/>
      <w:marBottom w:val="0"/>
      <w:divBdr>
        <w:top w:val="none" w:sz="0" w:space="0" w:color="auto"/>
        <w:left w:val="none" w:sz="0" w:space="0" w:color="auto"/>
        <w:bottom w:val="none" w:sz="0" w:space="0" w:color="auto"/>
        <w:right w:val="none" w:sz="0" w:space="0" w:color="auto"/>
      </w:divBdr>
    </w:div>
    <w:div w:id="1176574473">
      <w:bodyDiv w:val="1"/>
      <w:marLeft w:val="0"/>
      <w:marRight w:val="0"/>
      <w:marTop w:val="0"/>
      <w:marBottom w:val="0"/>
      <w:divBdr>
        <w:top w:val="none" w:sz="0" w:space="0" w:color="auto"/>
        <w:left w:val="none" w:sz="0" w:space="0" w:color="auto"/>
        <w:bottom w:val="none" w:sz="0" w:space="0" w:color="auto"/>
        <w:right w:val="none" w:sz="0" w:space="0" w:color="auto"/>
      </w:divBdr>
    </w:div>
    <w:div w:id="1176581325">
      <w:bodyDiv w:val="1"/>
      <w:marLeft w:val="0"/>
      <w:marRight w:val="0"/>
      <w:marTop w:val="0"/>
      <w:marBottom w:val="0"/>
      <w:divBdr>
        <w:top w:val="none" w:sz="0" w:space="0" w:color="auto"/>
        <w:left w:val="none" w:sz="0" w:space="0" w:color="auto"/>
        <w:bottom w:val="none" w:sz="0" w:space="0" w:color="auto"/>
        <w:right w:val="none" w:sz="0" w:space="0" w:color="auto"/>
      </w:divBdr>
    </w:div>
    <w:div w:id="1179659326">
      <w:bodyDiv w:val="1"/>
      <w:marLeft w:val="0"/>
      <w:marRight w:val="0"/>
      <w:marTop w:val="0"/>
      <w:marBottom w:val="0"/>
      <w:divBdr>
        <w:top w:val="none" w:sz="0" w:space="0" w:color="auto"/>
        <w:left w:val="none" w:sz="0" w:space="0" w:color="auto"/>
        <w:bottom w:val="none" w:sz="0" w:space="0" w:color="auto"/>
        <w:right w:val="none" w:sz="0" w:space="0" w:color="auto"/>
      </w:divBdr>
    </w:div>
    <w:div w:id="1180463852">
      <w:bodyDiv w:val="1"/>
      <w:marLeft w:val="0"/>
      <w:marRight w:val="0"/>
      <w:marTop w:val="0"/>
      <w:marBottom w:val="0"/>
      <w:divBdr>
        <w:top w:val="none" w:sz="0" w:space="0" w:color="auto"/>
        <w:left w:val="none" w:sz="0" w:space="0" w:color="auto"/>
        <w:bottom w:val="none" w:sz="0" w:space="0" w:color="auto"/>
        <w:right w:val="none" w:sz="0" w:space="0" w:color="auto"/>
      </w:divBdr>
    </w:div>
    <w:div w:id="1180706113">
      <w:bodyDiv w:val="1"/>
      <w:marLeft w:val="0"/>
      <w:marRight w:val="0"/>
      <w:marTop w:val="0"/>
      <w:marBottom w:val="0"/>
      <w:divBdr>
        <w:top w:val="none" w:sz="0" w:space="0" w:color="auto"/>
        <w:left w:val="none" w:sz="0" w:space="0" w:color="auto"/>
        <w:bottom w:val="none" w:sz="0" w:space="0" w:color="auto"/>
        <w:right w:val="none" w:sz="0" w:space="0" w:color="auto"/>
      </w:divBdr>
    </w:div>
    <w:div w:id="1180774300">
      <w:bodyDiv w:val="1"/>
      <w:marLeft w:val="0"/>
      <w:marRight w:val="0"/>
      <w:marTop w:val="0"/>
      <w:marBottom w:val="0"/>
      <w:divBdr>
        <w:top w:val="none" w:sz="0" w:space="0" w:color="auto"/>
        <w:left w:val="none" w:sz="0" w:space="0" w:color="auto"/>
        <w:bottom w:val="none" w:sz="0" w:space="0" w:color="auto"/>
        <w:right w:val="none" w:sz="0" w:space="0" w:color="auto"/>
      </w:divBdr>
    </w:div>
    <w:div w:id="1180848027">
      <w:bodyDiv w:val="1"/>
      <w:marLeft w:val="0"/>
      <w:marRight w:val="0"/>
      <w:marTop w:val="0"/>
      <w:marBottom w:val="0"/>
      <w:divBdr>
        <w:top w:val="none" w:sz="0" w:space="0" w:color="auto"/>
        <w:left w:val="none" w:sz="0" w:space="0" w:color="auto"/>
        <w:bottom w:val="none" w:sz="0" w:space="0" w:color="auto"/>
        <w:right w:val="none" w:sz="0" w:space="0" w:color="auto"/>
      </w:divBdr>
    </w:div>
    <w:div w:id="1181624035">
      <w:bodyDiv w:val="1"/>
      <w:marLeft w:val="0"/>
      <w:marRight w:val="0"/>
      <w:marTop w:val="0"/>
      <w:marBottom w:val="0"/>
      <w:divBdr>
        <w:top w:val="none" w:sz="0" w:space="0" w:color="auto"/>
        <w:left w:val="none" w:sz="0" w:space="0" w:color="auto"/>
        <w:bottom w:val="none" w:sz="0" w:space="0" w:color="auto"/>
        <w:right w:val="none" w:sz="0" w:space="0" w:color="auto"/>
      </w:divBdr>
    </w:div>
    <w:div w:id="1182283007">
      <w:bodyDiv w:val="1"/>
      <w:marLeft w:val="0"/>
      <w:marRight w:val="0"/>
      <w:marTop w:val="0"/>
      <w:marBottom w:val="0"/>
      <w:divBdr>
        <w:top w:val="none" w:sz="0" w:space="0" w:color="auto"/>
        <w:left w:val="none" w:sz="0" w:space="0" w:color="auto"/>
        <w:bottom w:val="none" w:sz="0" w:space="0" w:color="auto"/>
        <w:right w:val="none" w:sz="0" w:space="0" w:color="auto"/>
      </w:divBdr>
    </w:div>
    <w:div w:id="1182622180">
      <w:bodyDiv w:val="1"/>
      <w:marLeft w:val="0"/>
      <w:marRight w:val="0"/>
      <w:marTop w:val="0"/>
      <w:marBottom w:val="0"/>
      <w:divBdr>
        <w:top w:val="none" w:sz="0" w:space="0" w:color="auto"/>
        <w:left w:val="none" w:sz="0" w:space="0" w:color="auto"/>
        <w:bottom w:val="none" w:sz="0" w:space="0" w:color="auto"/>
        <w:right w:val="none" w:sz="0" w:space="0" w:color="auto"/>
      </w:divBdr>
    </w:div>
    <w:div w:id="1185363124">
      <w:bodyDiv w:val="1"/>
      <w:marLeft w:val="0"/>
      <w:marRight w:val="0"/>
      <w:marTop w:val="0"/>
      <w:marBottom w:val="0"/>
      <w:divBdr>
        <w:top w:val="none" w:sz="0" w:space="0" w:color="auto"/>
        <w:left w:val="none" w:sz="0" w:space="0" w:color="auto"/>
        <w:bottom w:val="none" w:sz="0" w:space="0" w:color="auto"/>
        <w:right w:val="none" w:sz="0" w:space="0" w:color="auto"/>
      </w:divBdr>
    </w:div>
    <w:div w:id="1185947810">
      <w:bodyDiv w:val="1"/>
      <w:marLeft w:val="0"/>
      <w:marRight w:val="0"/>
      <w:marTop w:val="0"/>
      <w:marBottom w:val="0"/>
      <w:divBdr>
        <w:top w:val="none" w:sz="0" w:space="0" w:color="auto"/>
        <w:left w:val="none" w:sz="0" w:space="0" w:color="auto"/>
        <w:bottom w:val="none" w:sz="0" w:space="0" w:color="auto"/>
        <w:right w:val="none" w:sz="0" w:space="0" w:color="auto"/>
      </w:divBdr>
    </w:div>
    <w:div w:id="1187523612">
      <w:bodyDiv w:val="1"/>
      <w:marLeft w:val="0"/>
      <w:marRight w:val="0"/>
      <w:marTop w:val="0"/>
      <w:marBottom w:val="0"/>
      <w:divBdr>
        <w:top w:val="none" w:sz="0" w:space="0" w:color="auto"/>
        <w:left w:val="none" w:sz="0" w:space="0" w:color="auto"/>
        <w:bottom w:val="none" w:sz="0" w:space="0" w:color="auto"/>
        <w:right w:val="none" w:sz="0" w:space="0" w:color="auto"/>
      </w:divBdr>
    </w:div>
    <w:div w:id="1187980747">
      <w:bodyDiv w:val="1"/>
      <w:marLeft w:val="0"/>
      <w:marRight w:val="0"/>
      <w:marTop w:val="0"/>
      <w:marBottom w:val="0"/>
      <w:divBdr>
        <w:top w:val="none" w:sz="0" w:space="0" w:color="auto"/>
        <w:left w:val="none" w:sz="0" w:space="0" w:color="auto"/>
        <w:bottom w:val="none" w:sz="0" w:space="0" w:color="auto"/>
        <w:right w:val="none" w:sz="0" w:space="0" w:color="auto"/>
      </w:divBdr>
    </w:div>
    <w:div w:id="1188636000">
      <w:bodyDiv w:val="1"/>
      <w:marLeft w:val="0"/>
      <w:marRight w:val="0"/>
      <w:marTop w:val="0"/>
      <w:marBottom w:val="0"/>
      <w:divBdr>
        <w:top w:val="none" w:sz="0" w:space="0" w:color="auto"/>
        <w:left w:val="none" w:sz="0" w:space="0" w:color="auto"/>
        <w:bottom w:val="none" w:sz="0" w:space="0" w:color="auto"/>
        <w:right w:val="none" w:sz="0" w:space="0" w:color="auto"/>
      </w:divBdr>
    </w:div>
    <w:div w:id="1188638867">
      <w:bodyDiv w:val="1"/>
      <w:marLeft w:val="0"/>
      <w:marRight w:val="0"/>
      <w:marTop w:val="0"/>
      <w:marBottom w:val="0"/>
      <w:divBdr>
        <w:top w:val="none" w:sz="0" w:space="0" w:color="auto"/>
        <w:left w:val="none" w:sz="0" w:space="0" w:color="auto"/>
        <w:bottom w:val="none" w:sz="0" w:space="0" w:color="auto"/>
        <w:right w:val="none" w:sz="0" w:space="0" w:color="auto"/>
      </w:divBdr>
    </w:div>
    <w:div w:id="1188984001">
      <w:bodyDiv w:val="1"/>
      <w:marLeft w:val="0"/>
      <w:marRight w:val="0"/>
      <w:marTop w:val="0"/>
      <w:marBottom w:val="0"/>
      <w:divBdr>
        <w:top w:val="none" w:sz="0" w:space="0" w:color="auto"/>
        <w:left w:val="none" w:sz="0" w:space="0" w:color="auto"/>
        <w:bottom w:val="none" w:sz="0" w:space="0" w:color="auto"/>
        <w:right w:val="none" w:sz="0" w:space="0" w:color="auto"/>
      </w:divBdr>
    </w:div>
    <w:div w:id="1189636033">
      <w:bodyDiv w:val="1"/>
      <w:marLeft w:val="0"/>
      <w:marRight w:val="0"/>
      <w:marTop w:val="0"/>
      <w:marBottom w:val="0"/>
      <w:divBdr>
        <w:top w:val="none" w:sz="0" w:space="0" w:color="auto"/>
        <w:left w:val="none" w:sz="0" w:space="0" w:color="auto"/>
        <w:bottom w:val="none" w:sz="0" w:space="0" w:color="auto"/>
        <w:right w:val="none" w:sz="0" w:space="0" w:color="auto"/>
      </w:divBdr>
    </w:div>
    <w:div w:id="1189949931">
      <w:bodyDiv w:val="1"/>
      <w:marLeft w:val="0"/>
      <w:marRight w:val="0"/>
      <w:marTop w:val="0"/>
      <w:marBottom w:val="0"/>
      <w:divBdr>
        <w:top w:val="none" w:sz="0" w:space="0" w:color="auto"/>
        <w:left w:val="none" w:sz="0" w:space="0" w:color="auto"/>
        <w:bottom w:val="none" w:sz="0" w:space="0" w:color="auto"/>
        <w:right w:val="none" w:sz="0" w:space="0" w:color="auto"/>
      </w:divBdr>
    </w:div>
    <w:div w:id="1192377191">
      <w:bodyDiv w:val="1"/>
      <w:marLeft w:val="0"/>
      <w:marRight w:val="0"/>
      <w:marTop w:val="0"/>
      <w:marBottom w:val="0"/>
      <w:divBdr>
        <w:top w:val="none" w:sz="0" w:space="0" w:color="auto"/>
        <w:left w:val="none" w:sz="0" w:space="0" w:color="auto"/>
        <w:bottom w:val="none" w:sz="0" w:space="0" w:color="auto"/>
        <w:right w:val="none" w:sz="0" w:space="0" w:color="auto"/>
      </w:divBdr>
    </w:div>
    <w:div w:id="1192572912">
      <w:bodyDiv w:val="1"/>
      <w:marLeft w:val="0"/>
      <w:marRight w:val="0"/>
      <w:marTop w:val="0"/>
      <w:marBottom w:val="0"/>
      <w:divBdr>
        <w:top w:val="none" w:sz="0" w:space="0" w:color="auto"/>
        <w:left w:val="none" w:sz="0" w:space="0" w:color="auto"/>
        <w:bottom w:val="none" w:sz="0" w:space="0" w:color="auto"/>
        <w:right w:val="none" w:sz="0" w:space="0" w:color="auto"/>
      </w:divBdr>
    </w:div>
    <w:div w:id="1192962972">
      <w:bodyDiv w:val="1"/>
      <w:marLeft w:val="0"/>
      <w:marRight w:val="0"/>
      <w:marTop w:val="0"/>
      <w:marBottom w:val="0"/>
      <w:divBdr>
        <w:top w:val="none" w:sz="0" w:space="0" w:color="auto"/>
        <w:left w:val="none" w:sz="0" w:space="0" w:color="auto"/>
        <w:bottom w:val="none" w:sz="0" w:space="0" w:color="auto"/>
        <w:right w:val="none" w:sz="0" w:space="0" w:color="auto"/>
      </w:divBdr>
    </w:div>
    <w:div w:id="1193691505">
      <w:bodyDiv w:val="1"/>
      <w:marLeft w:val="0"/>
      <w:marRight w:val="0"/>
      <w:marTop w:val="0"/>
      <w:marBottom w:val="0"/>
      <w:divBdr>
        <w:top w:val="none" w:sz="0" w:space="0" w:color="auto"/>
        <w:left w:val="none" w:sz="0" w:space="0" w:color="auto"/>
        <w:bottom w:val="none" w:sz="0" w:space="0" w:color="auto"/>
        <w:right w:val="none" w:sz="0" w:space="0" w:color="auto"/>
      </w:divBdr>
    </w:div>
    <w:div w:id="1194271965">
      <w:bodyDiv w:val="1"/>
      <w:marLeft w:val="0"/>
      <w:marRight w:val="0"/>
      <w:marTop w:val="0"/>
      <w:marBottom w:val="0"/>
      <w:divBdr>
        <w:top w:val="none" w:sz="0" w:space="0" w:color="auto"/>
        <w:left w:val="none" w:sz="0" w:space="0" w:color="auto"/>
        <w:bottom w:val="none" w:sz="0" w:space="0" w:color="auto"/>
        <w:right w:val="none" w:sz="0" w:space="0" w:color="auto"/>
      </w:divBdr>
    </w:div>
    <w:div w:id="1194273043">
      <w:bodyDiv w:val="1"/>
      <w:marLeft w:val="0"/>
      <w:marRight w:val="0"/>
      <w:marTop w:val="0"/>
      <w:marBottom w:val="0"/>
      <w:divBdr>
        <w:top w:val="none" w:sz="0" w:space="0" w:color="auto"/>
        <w:left w:val="none" w:sz="0" w:space="0" w:color="auto"/>
        <w:bottom w:val="none" w:sz="0" w:space="0" w:color="auto"/>
        <w:right w:val="none" w:sz="0" w:space="0" w:color="auto"/>
      </w:divBdr>
    </w:div>
    <w:div w:id="1195508322">
      <w:bodyDiv w:val="1"/>
      <w:marLeft w:val="0"/>
      <w:marRight w:val="0"/>
      <w:marTop w:val="0"/>
      <w:marBottom w:val="0"/>
      <w:divBdr>
        <w:top w:val="none" w:sz="0" w:space="0" w:color="auto"/>
        <w:left w:val="none" w:sz="0" w:space="0" w:color="auto"/>
        <w:bottom w:val="none" w:sz="0" w:space="0" w:color="auto"/>
        <w:right w:val="none" w:sz="0" w:space="0" w:color="auto"/>
      </w:divBdr>
    </w:div>
    <w:div w:id="1196456780">
      <w:bodyDiv w:val="1"/>
      <w:marLeft w:val="0"/>
      <w:marRight w:val="0"/>
      <w:marTop w:val="0"/>
      <w:marBottom w:val="0"/>
      <w:divBdr>
        <w:top w:val="none" w:sz="0" w:space="0" w:color="auto"/>
        <w:left w:val="none" w:sz="0" w:space="0" w:color="auto"/>
        <w:bottom w:val="none" w:sz="0" w:space="0" w:color="auto"/>
        <w:right w:val="none" w:sz="0" w:space="0" w:color="auto"/>
      </w:divBdr>
    </w:div>
    <w:div w:id="1196626163">
      <w:bodyDiv w:val="1"/>
      <w:marLeft w:val="0"/>
      <w:marRight w:val="0"/>
      <w:marTop w:val="0"/>
      <w:marBottom w:val="0"/>
      <w:divBdr>
        <w:top w:val="none" w:sz="0" w:space="0" w:color="auto"/>
        <w:left w:val="none" w:sz="0" w:space="0" w:color="auto"/>
        <w:bottom w:val="none" w:sz="0" w:space="0" w:color="auto"/>
        <w:right w:val="none" w:sz="0" w:space="0" w:color="auto"/>
      </w:divBdr>
    </w:div>
    <w:div w:id="1198084166">
      <w:bodyDiv w:val="1"/>
      <w:marLeft w:val="0"/>
      <w:marRight w:val="0"/>
      <w:marTop w:val="0"/>
      <w:marBottom w:val="0"/>
      <w:divBdr>
        <w:top w:val="none" w:sz="0" w:space="0" w:color="auto"/>
        <w:left w:val="none" w:sz="0" w:space="0" w:color="auto"/>
        <w:bottom w:val="none" w:sz="0" w:space="0" w:color="auto"/>
        <w:right w:val="none" w:sz="0" w:space="0" w:color="auto"/>
      </w:divBdr>
    </w:div>
    <w:div w:id="1198085403">
      <w:bodyDiv w:val="1"/>
      <w:marLeft w:val="0"/>
      <w:marRight w:val="0"/>
      <w:marTop w:val="0"/>
      <w:marBottom w:val="0"/>
      <w:divBdr>
        <w:top w:val="none" w:sz="0" w:space="0" w:color="auto"/>
        <w:left w:val="none" w:sz="0" w:space="0" w:color="auto"/>
        <w:bottom w:val="none" w:sz="0" w:space="0" w:color="auto"/>
        <w:right w:val="none" w:sz="0" w:space="0" w:color="auto"/>
      </w:divBdr>
    </w:div>
    <w:div w:id="1198198916">
      <w:bodyDiv w:val="1"/>
      <w:marLeft w:val="0"/>
      <w:marRight w:val="0"/>
      <w:marTop w:val="0"/>
      <w:marBottom w:val="0"/>
      <w:divBdr>
        <w:top w:val="none" w:sz="0" w:space="0" w:color="auto"/>
        <w:left w:val="none" w:sz="0" w:space="0" w:color="auto"/>
        <w:bottom w:val="none" w:sz="0" w:space="0" w:color="auto"/>
        <w:right w:val="none" w:sz="0" w:space="0" w:color="auto"/>
      </w:divBdr>
    </w:div>
    <w:div w:id="1199315290">
      <w:bodyDiv w:val="1"/>
      <w:marLeft w:val="0"/>
      <w:marRight w:val="0"/>
      <w:marTop w:val="0"/>
      <w:marBottom w:val="0"/>
      <w:divBdr>
        <w:top w:val="none" w:sz="0" w:space="0" w:color="auto"/>
        <w:left w:val="none" w:sz="0" w:space="0" w:color="auto"/>
        <w:bottom w:val="none" w:sz="0" w:space="0" w:color="auto"/>
        <w:right w:val="none" w:sz="0" w:space="0" w:color="auto"/>
      </w:divBdr>
    </w:div>
    <w:div w:id="1199466312">
      <w:bodyDiv w:val="1"/>
      <w:marLeft w:val="0"/>
      <w:marRight w:val="0"/>
      <w:marTop w:val="0"/>
      <w:marBottom w:val="0"/>
      <w:divBdr>
        <w:top w:val="none" w:sz="0" w:space="0" w:color="auto"/>
        <w:left w:val="none" w:sz="0" w:space="0" w:color="auto"/>
        <w:bottom w:val="none" w:sz="0" w:space="0" w:color="auto"/>
        <w:right w:val="none" w:sz="0" w:space="0" w:color="auto"/>
      </w:divBdr>
    </w:div>
    <w:div w:id="1200045136">
      <w:bodyDiv w:val="1"/>
      <w:marLeft w:val="0"/>
      <w:marRight w:val="0"/>
      <w:marTop w:val="0"/>
      <w:marBottom w:val="0"/>
      <w:divBdr>
        <w:top w:val="none" w:sz="0" w:space="0" w:color="auto"/>
        <w:left w:val="none" w:sz="0" w:space="0" w:color="auto"/>
        <w:bottom w:val="none" w:sz="0" w:space="0" w:color="auto"/>
        <w:right w:val="none" w:sz="0" w:space="0" w:color="auto"/>
      </w:divBdr>
    </w:div>
    <w:div w:id="1200701546">
      <w:bodyDiv w:val="1"/>
      <w:marLeft w:val="0"/>
      <w:marRight w:val="0"/>
      <w:marTop w:val="0"/>
      <w:marBottom w:val="0"/>
      <w:divBdr>
        <w:top w:val="none" w:sz="0" w:space="0" w:color="auto"/>
        <w:left w:val="none" w:sz="0" w:space="0" w:color="auto"/>
        <w:bottom w:val="none" w:sz="0" w:space="0" w:color="auto"/>
        <w:right w:val="none" w:sz="0" w:space="0" w:color="auto"/>
      </w:divBdr>
    </w:div>
    <w:div w:id="1200972387">
      <w:bodyDiv w:val="1"/>
      <w:marLeft w:val="0"/>
      <w:marRight w:val="0"/>
      <w:marTop w:val="0"/>
      <w:marBottom w:val="0"/>
      <w:divBdr>
        <w:top w:val="none" w:sz="0" w:space="0" w:color="auto"/>
        <w:left w:val="none" w:sz="0" w:space="0" w:color="auto"/>
        <w:bottom w:val="none" w:sz="0" w:space="0" w:color="auto"/>
        <w:right w:val="none" w:sz="0" w:space="0" w:color="auto"/>
      </w:divBdr>
    </w:div>
    <w:div w:id="1201163274">
      <w:bodyDiv w:val="1"/>
      <w:marLeft w:val="0"/>
      <w:marRight w:val="0"/>
      <w:marTop w:val="0"/>
      <w:marBottom w:val="0"/>
      <w:divBdr>
        <w:top w:val="none" w:sz="0" w:space="0" w:color="auto"/>
        <w:left w:val="none" w:sz="0" w:space="0" w:color="auto"/>
        <w:bottom w:val="none" w:sz="0" w:space="0" w:color="auto"/>
        <w:right w:val="none" w:sz="0" w:space="0" w:color="auto"/>
      </w:divBdr>
    </w:div>
    <w:div w:id="1201430165">
      <w:bodyDiv w:val="1"/>
      <w:marLeft w:val="0"/>
      <w:marRight w:val="0"/>
      <w:marTop w:val="0"/>
      <w:marBottom w:val="0"/>
      <w:divBdr>
        <w:top w:val="none" w:sz="0" w:space="0" w:color="auto"/>
        <w:left w:val="none" w:sz="0" w:space="0" w:color="auto"/>
        <w:bottom w:val="none" w:sz="0" w:space="0" w:color="auto"/>
        <w:right w:val="none" w:sz="0" w:space="0" w:color="auto"/>
      </w:divBdr>
    </w:div>
    <w:div w:id="1202132865">
      <w:bodyDiv w:val="1"/>
      <w:marLeft w:val="0"/>
      <w:marRight w:val="0"/>
      <w:marTop w:val="0"/>
      <w:marBottom w:val="0"/>
      <w:divBdr>
        <w:top w:val="none" w:sz="0" w:space="0" w:color="auto"/>
        <w:left w:val="none" w:sz="0" w:space="0" w:color="auto"/>
        <w:bottom w:val="none" w:sz="0" w:space="0" w:color="auto"/>
        <w:right w:val="none" w:sz="0" w:space="0" w:color="auto"/>
      </w:divBdr>
    </w:div>
    <w:div w:id="1204095870">
      <w:bodyDiv w:val="1"/>
      <w:marLeft w:val="0"/>
      <w:marRight w:val="0"/>
      <w:marTop w:val="0"/>
      <w:marBottom w:val="0"/>
      <w:divBdr>
        <w:top w:val="none" w:sz="0" w:space="0" w:color="auto"/>
        <w:left w:val="none" w:sz="0" w:space="0" w:color="auto"/>
        <w:bottom w:val="none" w:sz="0" w:space="0" w:color="auto"/>
        <w:right w:val="none" w:sz="0" w:space="0" w:color="auto"/>
      </w:divBdr>
    </w:div>
    <w:div w:id="1204366112">
      <w:bodyDiv w:val="1"/>
      <w:marLeft w:val="0"/>
      <w:marRight w:val="0"/>
      <w:marTop w:val="0"/>
      <w:marBottom w:val="0"/>
      <w:divBdr>
        <w:top w:val="none" w:sz="0" w:space="0" w:color="auto"/>
        <w:left w:val="none" w:sz="0" w:space="0" w:color="auto"/>
        <w:bottom w:val="none" w:sz="0" w:space="0" w:color="auto"/>
        <w:right w:val="none" w:sz="0" w:space="0" w:color="auto"/>
      </w:divBdr>
    </w:div>
    <w:div w:id="1204518192">
      <w:bodyDiv w:val="1"/>
      <w:marLeft w:val="0"/>
      <w:marRight w:val="0"/>
      <w:marTop w:val="0"/>
      <w:marBottom w:val="0"/>
      <w:divBdr>
        <w:top w:val="none" w:sz="0" w:space="0" w:color="auto"/>
        <w:left w:val="none" w:sz="0" w:space="0" w:color="auto"/>
        <w:bottom w:val="none" w:sz="0" w:space="0" w:color="auto"/>
        <w:right w:val="none" w:sz="0" w:space="0" w:color="auto"/>
      </w:divBdr>
    </w:div>
    <w:div w:id="1204633954">
      <w:bodyDiv w:val="1"/>
      <w:marLeft w:val="0"/>
      <w:marRight w:val="0"/>
      <w:marTop w:val="0"/>
      <w:marBottom w:val="0"/>
      <w:divBdr>
        <w:top w:val="none" w:sz="0" w:space="0" w:color="auto"/>
        <w:left w:val="none" w:sz="0" w:space="0" w:color="auto"/>
        <w:bottom w:val="none" w:sz="0" w:space="0" w:color="auto"/>
        <w:right w:val="none" w:sz="0" w:space="0" w:color="auto"/>
      </w:divBdr>
    </w:div>
    <w:div w:id="1204636792">
      <w:bodyDiv w:val="1"/>
      <w:marLeft w:val="0"/>
      <w:marRight w:val="0"/>
      <w:marTop w:val="0"/>
      <w:marBottom w:val="0"/>
      <w:divBdr>
        <w:top w:val="none" w:sz="0" w:space="0" w:color="auto"/>
        <w:left w:val="none" w:sz="0" w:space="0" w:color="auto"/>
        <w:bottom w:val="none" w:sz="0" w:space="0" w:color="auto"/>
        <w:right w:val="none" w:sz="0" w:space="0" w:color="auto"/>
      </w:divBdr>
    </w:div>
    <w:div w:id="1204828200">
      <w:bodyDiv w:val="1"/>
      <w:marLeft w:val="0"/>
      <w:marRight w:val="0"/>
      <w:marTop w:val="0"/>
      <w:marBottom w:val="0"/>
      <w:divBdr>
        <w:top w:val="none" w:sz="0" w:space="0" w:color="auto"/>
        <w:left w:val="none" w:sz="0" w:space="0" w:color="auto"/>
        <w:bottom w:val="none" w:sz="0" w:space="0" w:color="auto"/>
        <w:right w:val="none" w:sz="0" w:space="0" w:color="auto"/>
      </w:divBdr>
    </w:div>
    <w:div w:id="1205022038">
      <w:bodyDiv w:val="1"/>
      <w:marLeft w:val="0"/>
      <w:marRight w:val="0"/>
      <w:marTop w:val="0"/>
      <w:marBottom w:val="0"/>
      <w:divBdr>
        <w:top w:val="none" w:sz="0" w:space="0" w:color="auto"/>
        <w:left w:val="none" w:sz="0" w:space="0" w:color="auto"/>
        <w:bottom w:val="none" w:sz="0" w:space="0" w:color="auto"/>
        <w:right w:val="none" w:sz="0" w:space="0" w:color="auto"/>
      </w:divBdr>
    </w:div>
    <w:div w:id="1205405014">
      <w:bodyDiv w:val="1"/>
      <w:marLeft w:val="0"/>
      <w:marRight w:val="0"/>
      <w:marTop w:val="0"/>
      <w:marBottom w:val="0"/>
      <w:divBdr>
        <w:top w:val="none" w:sz="0" w:space="0" w:color="auto"/>
        <w:left w:val="none" w:sz="0" w:space="0" w:color="auto"/>
        <w:bottom w:val="none" w:sz="0" w:space="0" w:color="auto"/>
        <w:right w:val="none" w:sz="0" w:space="0" w:color="auto"/>
      </w:divBdr>
    </w:div>
    <w:div w:id="1205410192">
      <w:bodyDiv w:val="1"/>
      <w:marLeft w:val="0"/>
      <w:marRight w:val="0"/>
      <w:marTop w:val="0"/>
      <w:marBottom w:val="0"/>
      <w:divBdr>
        <w:top w:val="none" w:sz="0" w:space="0" w:color="auto"/>
        <w:left w:val="none" w:sz="0" w:space="0" w:color="auto"/>
        <w:bottom w:val="none" w:sz="0" w:space="0" w:color="auto"/>
        <w:right w:val="none" w:sz="0" w:space="0" w:color="auto"/>
      </w:divBdr>
    </w:div>
    <w:div w:id="1205754461">
      <w:bodyDiv w:val="1"/>
      <w:marLeft w:val="0"/>
      <w:marRight w:val="0"/>
      <w:marTop w:val="0"/>
      <w:marBottom w:val="0"/>
      <w:divBdr>
        <w:top w:val="none" w:sz="0" w:space="0" w:color="auto"/>
        <w:left w:val="none" w:sz="0" w:space="0" w:color="auto"/>
        <w:bottom w:val="none" w:sz="0" w:space="0" w:color="auto"/>
        <w:right w:val="none" w:sz="0" w:space="0" w:color="auto"/>
      </w:divBdr>
    </w:div>
    <w:div w:id="1206213267">
      <w:bodyDiv w:val="1"/>
      <w:marLeft w:val="0"/>
      <w:marRight w:val="0"/>
      <w:marTop w:val="0"/>
      <w:marBottom w:val="0"/>
      <w:divBdr>
        <w:top w:val="none" w:sz="0" w:space="0" w:color="auto"/>
        <w:left w:val="none" w:sz="0" w:space="0" w:color="auto"/>
        <w:bottom w:val="none" w:sz="0" w:space="0" w:color="auto"/>
        <w:right w:val="none" w:sz="0" w:space="0" w:color="auto"/>
      </w:divBdr>
    </w:div>
    <w:div w:id="1207060277">
      <w:bodyDiv w:val="1"/>
      <w:marLeft w:val="0"/>
      <w:marRight w:val="0"/>
      <w:marTop w:val="0"/>
      <w:marBottom w:val="0"/>
      <w:divBdr>
        <w:top w:val="none" w:sz="0" w:space="0" w:color="auto"/>
        <w:left w:val="none" w:sz="0" w:space="0" w:color="auto"/>
        <w:bottom w:val="none" w:sz="0" w:space="0" w:color="auto"/>
        <w:right w:val="none" w:sz="0" w:space="0" w:color="auto"/>
      </w:divBdr>
    </w:div>
    <w:div w:id="1208184621">
      <w:bodyDiv w:val="1"/>
      <w:marLeft w:val="0"/>
      <w:marRight w:val="0"/>
      <w:marTop w:val="0"/>
      <w:marBottom w:val="0"/>
      <w:divBdr>
        <w:top w:val="none" w:sz="0" w:space="0" w:color="auto"/>
        <w:left w:val="none" w:sz="0" w:space="0" w:color="auto"/>
        <w:bottom w:val="none" w:sz="0" w:space="0" w:color="auto"/>
        <w:right w:val="none" w:sz="0" w:space="0" w:color="auto"/>
      </w:divBdr>
    </w:div>
    <w:div w:id="1208184841">
      <w:bodyDiv w:val="1"/>
      <w:marLeft w:val="0"/>
      <w:marRight w:val="0"/>
      <w:marTop w:val="0"/>
      <w:marBottom w:val="0"/>
      <w:divBdr>
        <w:top w:val="none" w:sz="0" w:space="0" w:color="auto"/>
        <w:left w:val="none" w:sz="0" w:space="0" w:color="auto"/>
        <w:bottom w:val="none" w:sz="0" w:space="0" w:color="auto"/>
        <w:right w:val="none" w:sz="0" w:space="0" w:color="auto"/>
      </w:divBdr>
    </w:div>
    <w:div w:id="1208489688">
      <w:bodyDiv w:val="1"/>
      <w:marLeft w:val="0"/>
      <w:marRight w:val="0"/>
      <w:marTop w:val="0"/>
      <w:marBottom w:val="0"/>
      <w:divBdr>
        <w:top w:val="none" w:sz="0" w:space="0" w:color="auto"/>
        <w:left w:val="none" w:sz="0" w:space="0" w:color="auto"/>
        <w:bottom w:val="none" w:sz="0" w:space="0" w:color="auto"/>
        <w:right w:val="none" w:sz="0" w:space="0" w:color="auto"/>
      </w:divBdr>
    </w:div>
    <w:div w:id="1209223311">
      <w:bodyDiv w:val="1"/>
      <w:marLeft w:val="0"/>
      <w:marRight w:val="0"/>
      <w:marTop w:val="0"/>
      <w:marBottom w:val="0"/>
      <w:divBdr>
        <w:top w:val="none" w:sz="0" w:space="0" w:color="auto"/>
        <w:left w:val="none" w:sz="0" w:space="0" w:color="auto"/>
        <w:bottom w:val="none" w:sz="0" w:space="0" w:color="auto"/>
        <w:right w:val="none" w:sz="0" w:space="0" w:color="auto"/>
      </w:divBdr>
    </w:div>
    <w:div w:id="1209953022">
      <w:bodyDiv w:val="1"/>
      <w:marLeft w:val="0"/>
      <w:marRight w:val="0"/>
      <w:marTop w:val="0"/>
      <w:marBottom w:val="0"/>
      <w:divBdr>
        <w:top w:val="none" w:sz="0" w:space="0" w:color="auto"/>
        <w:left w:val="none" w:sz="0" w:space="0" w:color="auto"/>
        <w:bottom w:val="none" w:sz="0" w:space="0" w:color="auto"/>
        <w:right w:val="none" w:sz="0" w:space="0" w:color="auto"/>
      </w:divBdr>
    </w:div>
    <w:div w:id="1211186290">
      <w:bodyDiv w:val="1"/>
      <w:marLeft w:val="0"/>
      <w:marRight w:val="0"/>
      <w:marTop w:val="0"/>
      <w:marBottom w:val="0"/>
      <w:divBdr>
        <w:top w:val="none" w:sz="0" w:space="0" w:color="auto"/>
        <w:left w:val="none" w:sz="0" w:space="0" w:color="auto"/>
        <w:bottom w:val="none" w:sz="0" w:space="0" w:color="auto"/>
        <w:right w:val="none" w:sz="0" w:space="0" w:color="auto"/>
      </w:divBdr>
    </w:div>
    <w:div w:id="1211461103">
      <w:bodyDiv w:val="1"/>
      <w:marLeft w:val="0"/>
      <w:marRight w:val="0"/>
      <w:marTop w:val="0"/>
      <w:marBottom w:val="0"/>
      <w:divBdr>
        <w:top w:val="none" w:sz="0" w:space="0" w:color="auto"/>
        <w:left w:val="none" w:sz="0" w:space="0" w:color="auto"/>
        <w:bottom w:val="none" w:sz="0" w:space="0" w:color="auto"/>
        <w:right w:val="none" w:sz="0" w:space="0" w:color="auto"/>
      </w:divBdr>
    </w:div>
    <w:div w:id="1211840133">
      <w:bodyDiv w:val="1"/>
      <w:marLeft w:val="0"/>
      <w:marRight w:val="0"/>
      <w:marTop w:val="0"/>
      <w:marBottom w:val="0"/>
      <w:divBdr>
        <w:top w:val="none" w:sz="0" w:space="0" w:color="auto"/>
        <w:left w:val="none" w:sz="0" w:space="0" w:color="auto"/>
        <w:bottom w:val="none" w:sz="0" w:space="0" w:color="auto"/>
        <w:right w:val="none" w:sz="0" w:space="0" w:color="auto"/>
      </w:divBdr>
    </w:div>
    <w:div w:id="1211989542">
      <w:bodyDiv w:val="1"/>
      <w:marLeft w:val="0"/>
      <w:marRight w:val="0"/>
      <w:marTop w:val="0"/>
      <w:marBottom w:val="0"/>
      <w:divBdr>
        <w:top w:val="none" w:sz="0" w:space="0" w:color="auto"/>
        <w:left w:val="none" w:sz="0" w:space="0" w:color="auto"/>
        <w:bottom w:val="none" w:sz="0" w:space="0" w:color="auto"/>
        <w:right w:val="none" w:sz="0" w:space="0" w:color="auto"/>
      </w:divBdr>
    </w:div>
    <w:div w:id="1212500269">
      <w:bodyDiv w:val="1"/>
      <w:marLeft w:val="0"/>
      <w:marRight w:val="0"/>
      <w:marTop w:val="0"/>
      <w:marBottom w:val="0"/>
      <w:divBdr>
        <w:top w:val="none" w:sz="0" w:space="0" w:color="auto"/>
        <w:left w:val="none" w:sz="0" w:space="0" w:color="auto"/>
        <w:bottom w:val="none" w:sz="0" w:space="0" w:color="auto"/>
        <w:right w:val="none" w:sz="0" w:space="0" w:color="auto"/>
      </w:divBdr>
    </w:div>
    <w:div w:id="1213537460">
      <w:bodyDiv w:val="1"/>
      <w:marLeft w:val="0"/>
      <w:marRight w:val="0"/>
      <w:marTop w:val="0"/>
      <w:marBottom w:val="0"/>
      <w:divBdr>
        <w:top w:val="none" w:sz="0" w:space="0" w:color="auto"/>
        <w:left w:val="none" w:sz="0" w:space="0" w:color="auto"/>
        <w:bottom w:val="none" w:sz="0" w:space="0" w:color="auto"/>
        <w:right w:val="none" w:sz="0" w:space="0" w:color="auto"/>
      </w:divBdr>
    </w:div>
    <w:div w:id="1213810852">
      <w:bodyDiv w:val="1"/>
      <w:marLeft w:val="0"/>
      <w:marRight w:val="0"/>
      <w:marTop w:val="0"/>
      <w:marBottom w:val="0"/>
      <w:divBdr>
        <w:top w:val="none" w:sz="0" w:space="0" w:color="auto"/>
        <w:left w:val="none" w:sz="0" w:space="0" w:color="auto"/>
        <w:bottom w:val="none" w:sz="0" w:space="0" w:color="auto"/>
        <w:right w:val="none" w:sz="0" w:space="0" w:color="auto"/>
      </w:divBdr>
    </w:div>
    <w:div w:id="1213955497">
      <w:bodyDiv w:val="1"/>
      <w:marLeft w:val="0"/>
      <w:marRight w:val="0"/>
      <w:marTop w:val="0"/>
      <w:marBottom w:val="0"/>
      <w:divBdr>
        <w:top w:val="none" w:sz="0" w:space="0" w:color="auto"/>
        <w:left w:val="none" w:sz="0" w:space="0" w:color="auto"/>
        <w:bottom w:val="none" w:sz="0" w:space="0" w:color="auto"/>
        <w:right w:val="none" w:sz="0" w:space="0" w:color="auto"/>
      </w:divBdr>
    </w:div>
    <w:div w:id="1215653072">
      <w:bodyDiv w:val="1"/>
      <w:marLeft w:val="0"/>
      <w:marRight w:val="0"/>
      <w:marTop w:val="0"/>
      <w:marBottom w:val="0"/>
      <w:divBdr>
        <w:top w:val="none" w:sz="0" w:space="0" w:color="auto"/>
        <w:left w:val="none" w:sz="0" w:space="0" w:color="auto"/>
        <w:bottom w:val="none" w:sz="0" w:space="0" w:color="auto"/>
        <w:right w:val="none" w:sz="0" w:space="0" w:color="auto"/>
      </w:divBdr>
    </w:div>
    <w:div w:id="1217929837">
      <w:bodyDiv w:val="1"/>
      <w:marLeft w:val="0"/>
      <w:marRight w:val="0"/>
      <w:marTop w:val="0"/>
      <w:marBottom w:val="0"/>
      <w:divBdr>
        <w:top w:val="none" w:sz="0" w:space="0" w:color="auto"/>
        <w:left w:val="none" w:sz="0" w:space="0" w:color="auto"/>
        <w:bottom w:val="none" w:sz="0" w:space="0" w:color="auto"/>
        <w:right w:val="none" w:sz="0" w:space="0" w:color="auto"/>
      </w:divBdr>
    </w:div>
    <w:div w:id="1219171773">
      <w:bodyDiv w:val="1"/>
      <w:marLeft w:val="0"/>
      <w:marRight w:val="0"/>
      <w:marTop w:val="0"/>
      <w:marBottom w:val="0"/>
      <w:divBdr>
        <w:top w:val="none" w:sz="0" w:space="0" w:color="auto"/>
        <w:left w:val="none" w:sz="0" w:space="0" w:color="auto"/>
        <w:bottom w:val="none" w:sz="0" w:space="0" w:color="auto"/>
        <w:right w:val="none" w:sz="0" w:space="0" w:color="auto"/>
      </w:divBdr>
    </w:div>
    <w:div w:id="1219508528">
      <w:bodyDiv w:val="1"/>
      <w:marLeft w:val="0"/>
      <w:marRight w:val="0"/>
      <w:marTop w:val="0"/>
      <w:marBottom w:val="0"/>
      <w:divBdr>
        <w:top w:val="none" w:sz="0" w:space="0" w:color="auto"/>
        <w:left w:val="none" w:sz="0" w:space="0" w:color="auto"/>
        <w:bottom w:val="none" w:sz="0" w:space="0" w:color="auto"/>
        <w:right w:val="none" w:sz="0" w:space="0" w:color="auto"/>
      </w:divBdr>
    </w:div>
    <w:div w:id="1219777951">
      <w:bodyDiv w:val="1"/>
      <w:marLeft w:val="0"/>
      <w:marRight w:val="0"/>
      <w:marTop w:val="0"/>
      <w:marBottom w:val="0"/>
      <w:divBdr>
        <w:top w:val="none" w:sz="0" w:space="0" w:color="auto"/>
        <w:left w:val="none" w:sz="0" w:space="0" w:color="auto"/>
        <w:bottom w:val="none" w:sz="0" w:space="0" w:color="auto"/>
        <w:right w:val="none" w:sz="0" w:space="0" w:color="auto"/>
      </w:divBdr>
    </w:div>
    <w:div w:id="1219780262">
      <w:bodyDiv w:val="1"/>
      <w:marLeft w:val="0"/>
      <w:marRight w:val="0"/>
      <w:marTop w:val="0"/>
      <w:marBottom w:val="0"/>
      <w:divBdr>
        <w:top w:val="none" w:sz="0" w:space="0" w:color="auto"/>
        <w:left w:val="none" w:sz="0" w:space="0" w:color="auto"/>
        <w:bottom w:val="none" w:sz="0" w:space="0" w:color="auto"/>
        <w:right w:val="none" w:sz="0" w:space="0" w:color="auto"/>
      </w:divBdr>
    </w:div>
    <w:div w:id="1220239420">
      <w:bodyDiv w:val="1"/>
      <w:marLeft w:val="0"/>
      <w:marRight w:val="0"/>
      <w:marTop w:val="0"/>
      <w:marBottom w:val="0"/>
      <w:divBdr>
        <w:top w:val="none" w:sz="0" w:space="0" w:color="auto"/>
        <w:left w:val="none" w:sz="0" w:space="0" w:color="auto"/>
        <w:bottom w:val="none" w:sz="0" w:space="0" w:color="auto"/>
        <w:right w:val="none" w:sz="0" w:space="0" w:color="auto"/>
      </w:divBdr>
    </w:div>
    <w:div w:id="1220554465">
      <w:bodyDiv w:val="1"/>
      <w:marLeft w:val="0"/>
      <w:marRight w:val="0"/>
      <w:marTop w:val="0"/>
      <w:marBottom w:val="0"/>
      <w:divBdr>
        <w:top w:val="none" w:sz="0" w:space="0" w:color="auto"/>
        <w:left w:val="none" w:sz="0" w:space="0" w:color="auto"/>
        <w:bottom w:val="none" w:sz="0" w:space="0" w:color="auto"/>
        <w:right w:val="none" w:sz="0" w:space="0" w:color="auto"/>
      </w:divBdr>
    </w:div>
    <w:div w:id="1222255337">
      <w:bodyDiv w:val="1"/>
      <w:marLeft w:val="0"/>
      <w:marRight w:val="0"/>
      <w:marTop w:val="0"/>
      <w:marBottom w:val="0"/>
      <w:divBdr>
        <w:top w:val="none" w:sz="0" w:space="0" w:color="auto"/>
        <w:left w:val="none" w:sz="0" w:space="0" w:color="auto"/>
        <w:bottom w:val="none" w:sz="0" w:space="0" w:color="auto"/>
        <w:right w:val="none" w:sz="0" w:space="0" w:color="auto"/>
      </w:divBdr>
    </w:div>
    <w:div w:id="1223372641">
      <w:bodyDiv w:val="1"/>
      <w:marLeft w:val="0"/>
      <w:marRight w:val="0"/>
      <w:marTop w:val="0"/>
      <w:marBottom w:val="0"/>
      <w:divBdr>
        <w:top w:val="none" w:sz="0" w:space="0" w:color="auto"/>
        <w:left w:val="none" w:sz="0" w:space="0" w:color="auto"/>
        <w:bottom w:val="none" w:sz="0" w:space="0" w:color="auto"/>
        <w:right w:val="none" w:sz="0" w:space="0" w:color="auto"/>
      </w:divBdr>
    </w:div>
    <w:div w:id="1223785954">
      <w:bodyDiv w:val="1"/>
      <w:marLeft w:val="0"/>
      <w:marRight w:val="0"/>
      <w:marTop w:val="0"/>
      <w:marBottom w:val="0"/>
      <w:divBdr>
        <w:top w:val="none" w:sz="0" w:space="0" w:color="auto"/>
        <w:left w:val="none" w:sz="0" w:space="0" w:color="auto"/>
        <w:bottom w:val="none" w:sz="0" w:space="0" w:color="auto"/>
        <w:right w:val="none" w:sz="0" w:space="0" w:color="auto"/>
      </w:divBdr>
    </w:div>
    <w:div w:id="1223835765">
      <w:bodyDiv w:val="1"/>
      <w:marLeft w:val="0"/>
      <w:marRight w:val="0"/>
      <w:marTop w:val="0"/>
      <w:marBottom w:val="0"/>
      <w:divBdr>
        <w:top w:val="none" w:sz="0" w:space="0" w:color="auto"/>
        <w:left w:val="none" w:sz="0" w:space="0" w:color="auto"/>
        <w:bottom w:val="none" w:sz="0" w:space="0" w:color="auto"/>
        <w:right w:val="none" w:sz="0" w:space="0" w:color="auto"/>
      </w:divBdr>
    </w:div>
    <w:div w:id="1223952561">
      <w:bodyDiv w:val="1"/>
      <w:marLeft w:val="0"/>
      <w:marRight w:val="0"/>
      <w:marTop w:val="0"/>
      <w:marBottom w:val="0"/>
      <w:divBdr>
        <w:top w:val="none" w:sz="0" w:space="0" w:color="auto"/>
        <w:left w:val="none" w:sz="0" w:space="0" w:color="auto"/>
        <w:bottom w:val="none" w:sz="0" w:space="0" w:color="auto"/>
        <w:right w:val="none" w:sz="0" w:space="0" w:color="auto"/>
      </w:divBdr>
    </w:div>
    <w:div w:id="1226448414">
      <w:bodyDiv w:val="1"/>
      <w:marLeft w:val="0"/>
      <w:marRight w:val="0"/>
      <w:marTop w:val="0"/>
      <w:marBottom w:val="0"/>
      <w:divBdr>
        <w:top w:val="none" w:sz="0" w:space="0" w:color="auto"/>
        <w:left w:val="none" w:sz="0" w:space="0" w:color="auto"/>
        <w:bottom w:val="none" w:sz="0" w:space="0" w:color="auto"/>
        <w:right w:val="none" w:sz="0" w:space="0" w:color="auto"/>
      </w:divBdr>
    </w:div>
    <w:div w:id="1226722859">
      <w:bodyDiv w:val="1"/>
      <w:marLeft w:val="0"/>
      <w:marRight w:val="0"/>
      <w:marTop w:val="0"/>
      <w:marBottom w:val="0"/>
      <w:divBdr>
        <w:top w:val="none" w:sz="0" w:space="0" w:color="auto"/>
        <w:left w:val="none" w:sz="0" w:space="0" w:color="auto"/>
        <w:bottom w:val="none" w:sz="0" w:space="0" w:color="auto"/>
        <w:right w:val="none" w:sz="0" w:space="0" w:color="auto"/>
      </w:divBdr>
    </w:div>
    <w:div w:id="1227178815">
      <w:bodyDiv w:val="1"/>
      <w:marLeft w:val="0"/>
      <w:marRight w:val="0"/>
      <w:marTop w:val="0"/>
      <w:marBottom w:val="0"/>
      <w:divBdr>
        <w:top w:val="none" w:sz="0" w:space="0" w:color="auto"/>
        <w:left w:val="none" w:sz="0" w:space="0" w:color="auto"/>
        <w:bottom w:val="none" w:sz="0" w:space="0" w:color="auto"/>
        <w:right w:val="none" w:sz="0" w:space="0" w:color="auto"/>
      </w:divBdr>
    </w:div>
    <w:div w:id="1227181216">
      <w:bodyDiv w:val="1"/>
      <w:marLeft w:val="0"/>
      <w:marRight w:val="0"/>
      <w:marTop w:val="0"/>
      <w:marBottom w:val="0"/>
      <w:divBdr>
        <w:top w:val="none" w:sz="0" w:space="0" w:color="auto"/>
        <w:left w:val="none" w:sz="0" w:space="0" w:color="auto"/>
        <w:bottom w:val="none" w:sz="0" w:space="0" w:color="auto"/>
        <w:right w:val="none" w:sz="0" w:space="0" w:color="auto"/>
      </w:divBdr>
    </w:div>
    <w:div w:id="1227643777">
      <w:bodyDiv w:val="1"/>
      <w:marLeft w:val="0"/>
      <w:marRight w:val="0"/>
      <w:marTop w:val="0"/>
      <w:marBottom w:val="0"/>
      <w:divBdr>
        <w:top w:val="none" w:sz="0" w:space="0" w:color="auto"/>
        <w:left w:val="none" w:sz="0" w:space="0" w:color="auto"/>
        <w:bottom w:val="none" w:sz="0" w:space="0" w:color="auto"/>
        <w:right w:val="none" w:sz="0" w:space="0" w:color="auto"/>
      </w:divBdr>
    </w:div>
    <w:div w:id="1227760531">
      <w:bodyDiv w:val="1"/>
      <w:marLeft w:val="0"/>
      <w:marRight w:val="0"/>
      <w:marTop w:val="0"/>
      <w:marBottom w:val="0"/>
      <w:divBdr>
        <w:top w:val="none" w:sz="0" w:space="0" w:color="auto"/>
        <w:left w:val="none" w:sz="0" w:space="0" w:color="auto"/>
        <w:bottom w:val="none" w:sz="0" w:space="0" w:color="auto"/>
        <w:right w:val="none" w:sz="0" w:space="0" w:color="auto"/>
      </w:divBdr>
    </w:div>
    <w:div w:id="1227957780">
      <w:bodyDiv w:val="1"/>
      <w:marLeft w:val="0"/>
      <w:marRight w:val="0"/>
      <w:marTop w:val="0"/>
      <w:marBottom w:val="0"/>
      <w:divBdr>
        <w:top w:val="none" w:sz="0" w:space="0" w:color="auto"/>
        <w:left w:val="none" w:sz="0" w:space="0" w:color="auto"/>
        <w:bottom w:val="none" w:sz="0" w:space="0" w:color="auto"/>
        <w:right w:val="none" w:sz="0" w:space="0" w:color="auto"/>
      </w:divBdr>
    </w:div>
    <w:div w:id="1228111843">
      <w:bodyDiv w:val="1"/>
      <w:marLeft w:val="0"/>
      <w:marRight w:val="0"/>
      <w:marTop w:val="0"/>
      <w:marBottom w:val="0"/>
      <w:divBdr>
        <w:top w:val="none" w:sz="0" w:space="0" w:color="auto"/>
        <w:left w:val="none" w:sz="0" w:space="0" w:color="auto"/>
        <w:bottom w:val="none" w:sz="0" w:space="0" w:color="auto"/>
        <w:right w:val="none" w:sz="0" w:space="0" w:color="auto"/>
      </w:divBdr>
    </w:div>
    <w:div w:id="1229144603">
      <w:bodyDiv w:val="1"/>
      <w:marLeft w:val="0"/>
      <w:marRight w:val="0"/>
      <w:marTop w:val="0"/>
      <w:marBottom w:val="0"/>
      <w:divBdr>
        <w:top w:val="none" w:sz="0" w:space="0" w:color="auto"/>
        <w:left w:val="none" w:sz="0" w:space="0" w:color="auto"/>
        <w:bottom w:val="none" w:sz="0" w:space="0" w:color="auto"/>
        <w:right w:val="none" w:sz="0" w:space="0" w:color="auto"/>
      </w:divBdr>
    </w:div>
    <w:div w:id="1230652353">
      <w:bodyDiv w:val="1"/>
      <w:marLeft w:val="0"/>
      <w:marRight w:val="0"/>
      <w:marTop w:val="0"/>
      <w:marBottom w:val="0"/>
      <w:divBdr>
        <w:top w:val="none" w:sz="0" w:space="0" w:color="auto"/>
        <w:left w:val="none" w:sz="0" w:space="0" w:color="auto"/>
        <w:bottom w:val="none" w:sz="0" w:space="0" w:color="auto"/>
        <w:right w:val="none" w:sz="0" w:space="0" w:color="auto"/>
      </w:divBdr>
    </w:div>
    <w:div w:id="1230964931">
      <w:bodyDiv w:val="1"/>
      <w:marLeft w:val="0"/>
      <w:marRight w:val="0"/>
      <w:marTop w:val="0"/>
      <w:marBottom w:val="0"/>
      <w:divBdr>
        <w:top w:val="none" w:sz="0" w:space="0" w:color="auto"/>
        <w:left w:val="none" w:sz="0" w:space="0" w:color="auto"/>
        <w:bottom w:val="none" w:sz="0" w:space="0" w:color="auto"/>
        <w:right w:val="none" w:sz="0" w:space="0" w:color="auto"/>
      </w:divBdr>
    </w:div>
    <w:div w:id="1231769238">
      <w:bodyDiv w:val="1"/>
      <w:marLeft w:val="0"/>
      <w:marRight w:val="0"/>
      <w:marTop w:val="0"/>
      <w:marBottom w:val="0"/>
      <w:divBdr>
        <w:top w:val="none" w:sz="0" w:space="0" w:color="auto"/>
        <w:left w:val="none" w:sz="0" w:space="0" w:color="auto"/>
        <w:bottom w:val="none" w:sz="0" w:space="0" w:color="auto"/>
        <w:right w:val="none" w:sz="0" w:space="0" w:color="auto"/>
      </w:divBdr>
    </w:div>
    <w:div w:id="1232154788">
      <w:bodyDiv w:val="1"/>
      <w:marLeft w:val="0"/>
      <w:marRight w:val="0"/>
      <w:marTop w:val="0"/>
      <w:marBottom w:val="0"/>
      <w:divBdr>
        <w:top w:val="none" w:sz="0" w:space="0" w:color="auto"/>
        <w:left w:val="none" w:sz="0" w:space="0" w:color="auto"/>
        <w:bottom w:val="none" w:sz="0" w:space="0" w:color="auto"/>
        <w:right w:val="none" w:sz="0" w:space="0" w:color="auto"/>
      </w:divBdr>
    </w:div>
    <w:div w:id="1233469991">
      <w:bodyDiv w:val="1"/>
      <w:marLeft w:val="0"/>
      <w:marRight w:val="0"/>
      <w:marTop w:val="0"/>
      <w:marBottom w:val="0"/>
      <w:divBdr>
        <w:top w:val="none" w:sz="0" w:space="0" w:color="auto"/>
        <w:left w:val="none" w:sz="0" w:space="0" w:color="auto"/>
        <w:bottom w:val="none" w:sz="0" w:space="0" w:color="auto"/>
        <w:right w:val="none" w:sz="0" w:space="0" w:color="auto"/>
      </w:divBdr>
    </w:div>
    <w:div w:id="1233542592">
      <w:bodyDiv w:val="1"/>
      <w:marLeft w:val="0"/>
      <w:marRight w:val="0"/>
      <w:marTop w:val="0"/>
      <w:marBottom w:val="0"/>
      <w:divBdr>
        <w:top w:val="none" w:sz="0" w:space="0" w:color="auto"/>
        <w:left w:val="none" w:sz="0" w:space="0" w:color="auto"/>
        <w:bottom w:val="none" w:sz="0" w:space="0" w:color="auto"/>
        <w:right w:val="none" w:sz="0" w:space="0" w:color="auto"/>
      </w:divBdr>
    </w:div>
    <w:div w:id="1235050217">
      <w:bodyDiv w:val="1"/>
      <w:marLeft w:val="0"/>
      <w:marRight w:val="0"/>
      <w:marTop w:val="0"/>
      <w:marBottom w:val="0"/>
      <w:divBdr>
        <w:top w:val="none" w:sz="0" w:space="0" w:color="auto"/>
        <w:left w:val="none" w:sz="0" w:space="0" w:color="auto"/>
        <w:bottom w:val="none" w:sz="0" w:space="0" w:color="auto"/>
        <w:right w:val="none" w:sz="0" w:space="0" w:color="auto"/>
      </w:divBdr>
    </w:div>
    <w:div w:id="1236011872">
      <w:bodyDiv w:val="1"/>
      <w:marLeft w:val="0"/>
      <w:marRight w:val="0"/>
      <w:marTop w:val="0"/>
      <w:marBottom w:val="0"/>
      <w:divBdr>
        <w:top w:val="none" w:sz="0" w:space="0" w:color="auto"/>
        <w:left w:val="none" w:sz="0" w:space="0" w:color="auto"/>
        <w:bottom w:val="none" w:sz="0" w:space="0" w:color="auto"/>
        <w:right w:val="none" w:sz="0" w:space="0" w:color="auto"/>
      </w:divBdr>
    </w:div>
    <w:div w:id="1236160997">
      <w:bodyDiv w:val="1"/>
      <w:marLeft w:val="0"/>
      <w:marRight w:val="0"/>
      <w:marTop w:val="0"/>
      <w:marBottom w:val="0"/>
      <w:divBdr>
        <w:top w:val="none" w:sz="0" w:space="0" w:color="auto"/>
        <w:left w:val="none" w:sz="0" w:space="0" w:color="auto"/>
        <w:bottom w:val="none" w:sz="0" w:space="0" w:color="auto"/>
        <w:right w:val="none" w:sz="0" w:space="0" w:color="auto"/>
      </w:divBdr>
    </w:div>
    <w:div w:id="1236352397">
      <w:bodyDiv w:val="1"/>
      <w:marLeft w:val="0"/>
      <w:marRight w:val="0"/>
      <w:marTop w:val="0"/>
      <w:marBottom w:val="0"/>
      <w:divBdr>
        <w:top w:val="none" w:sz="0" w:space="0" w:color="auto"/>
        <w:left w:val="none" w:sz="0" w:space="0" w:color="auto"/>
        <w:bottom w:val="none" w:sz="0" w:space="0" w:color="auto"/>
        <w:right w:val="none" w:sz="0" w:space="0" w:color="auto"/>
      </w:divBdr>
    </w:div>
    <w:div w:id="1237130282">
      <w:bodyDiv w:val="1"/>
      <w:marLeft w:val="0"/>
      <w:marRight w:val="0"/>
      <w:marTop w:val="0"/>
      <w:marBottom w:val="0"/>
      <w:divBdr>
        <w:top w:val="none" w:sz="0" w:space="0" w:color="auto"/>
        <w:left w:val="none" w:sz="0" w:space="0" w:color="auto"/>
        <w:bottom w:val="none" w:sz="0" w:space="0" w:color="auto"/>
        <w:right w:val="none" w:sz="0" w:space="0" w:color="auto"/>
      </w:divBdr>
    </w:div>
    <w:div w:id="1237470691">
      <w:bodyDiv w:val="1"/>
      <w:marLeft w:val="0"/>
      <w:marRight w:val="0"/>
      <w:marTop w:val="0"/>
      <w:marBottom w:val="0"/>
      <w:divBdr>
        <w:top w:val="none" w:sz="0" w:space="0" w:color="auto"/>
        <w:left w:val="none" w:sz="0" w:space="0" w:color="auto"/>
        <w:bottom w:val="none" w:sz="0" w:space="0" w:color="auto"/>
        <w:right w:val="none" w:sz="0" w:space="0" w:color="auto"/>
      </w:divBdr>
    </w:div>
    <w:div w:id="1237857028">
      <w:bodyDiv w:val="1"/>
      <w:marLeft w:val="0"/>
      <w:marRight w:val="0"/>
      <w:marTop w:val="0"/>
      <w:marBottom w:val="0"/>
      <w:divBdr>
        <w:top w:val="none" w:sz="0" w:space="0" w:color="auto"/>
        <w:left w:val="none" w:sz="0" w:space="0" w:color="auto"/>
        <w:bottom w:val="none" w:sz="0" w:space="0" w:color="auto"/>
        <w:right w:val="none" w:sz="0" w:space="0" w:color="auto"/>
      </w:divBdr>
    </w:div>
    <w:div w:id="1239290446">
      <w:bodyDiv w:val="1"/>
      <w:marLeft w:val="0"/>
      <w:marRight w:val="0"/>
      <w:marTop w:val="0"/>
      <w:marBottom w:val="0"/>
      <w:divBdr>
        <w:top w:val="none" w:sz="0" w:space="0" w:color="auto"/>
        <w:left w:val="none" w:sz="0" w:space="0" w:color="auto"/>
        <w:bottom w:val="none" w:sz="0" w:space="0" w:color="auto"/>
        <w:right w:val="none" w:sz="0" w:space="0" w:color="auto"/>
      </w:divBdr>
    </w:div>
    <w:div w:id="1240484826">
      <w:bodyDiv w:val="1"/>
      <w:marLeft w:val="0"/>
      <w:marRight w:val="0"/>
      <w:marTop w:val="0"/>
      <w:marBottom w:val="0"/>
      <w:divBdr>
        <w:top w:val="none" w:sz="0" w:space="0" w:color="auto"/>
        <w:left w:val="none" w:sz="0" w:space="0" w:color="auto"/>
        <w:bottom w:val="none" w:sz="0" w:space="0" w:color="auto"/>
        <w:right w:val="none" w:sz="0" w:space="0" w:color="auto"/>
      </w:divBdr>
    </w:div>
    <w:div w:id="1241015169">
      <w:bodyDiv w:val="1"/>
      <w:marLeft w:val="0"/>
      <w:marRight w:val="0"/>
      <w:marTop w:val="0"/>
      <w:marBottom w:val="0"/>
      <w:divBdr>
        <w:top w:val="none" w:sz="0" w:space="0" w:color="auto"/>
        <w:left w:val="none" w:sz="0" w:space="0" w:color="auto"/>
        <w:bottom w:val="none" w:sz="0" w:space="0" w:color="auto"/>
        <w:right w:val="none" w:sz="0" w:space="0" w:color="auto"/>
      </w:divBdr>
    </w:div>
    <w:div w:id="1241405605">
      <w:bodyDiv w:val="1"/>
      <w:marLeft w:val="0"/>
      <w:marRight w:val="0"/>
      <w:marTop w:val="0"/>
      <w:marBottom w:val="0"/>
      <w:divBdr>
        <w:top w:val="none" w:sz="0" w:space="0" w:color="auto"/>
        <w:left w:val="none" w:sz="0" w:space="0" w:color="auto"/>
        <w:bottom w:val="none" w:sz="0" w:space="0" w:color="auto"/>
        <w:right w:val="none" w:sz="0" w:space="0" w:color="auto"/>
      </w:divBdr>
    </w:div>
    <w:div w:id="1241645962">
      <w:bodyDiv w:val="1"/>
      <w:marLeft w:val="0"/>
      <w:marRight w:val="0"/>
      <w:marTop w:val="0"/>
      <w:marBottom w:val="0"/>
      <w:divBdr>
        <w:top w:val="none" w:sz="0" w:space="0" w:color="auto"/>
        <w:left w:val="none" w:sz="0" w:space="0" w:color="auto"/>
        <w:bottom w:val="none" w:sz="0" w:space="0" w:color="auto"/>
        <w:right w:val="none" w:sz="0" w:space="0" w:color="auto"/>
      </w:divBdr>
    </w:div>
    <w:div w:id="1241865155">
      <w:bodyDiv w:val="1"/>
      <w:marLeft w:val="0"/>
      <w:marRight w:val="0"/>
      <w:marTop w:val="0"/>
      <w:marBottom w:val="0"/>
      <w:divBdr>
        <w:top w:val="none" w:sz="0" w:space="0" w:color="auto"/>
        <w:left w:val="none" w:sz="0" w:space="0" w:color="auto"/>
        <w:bottom w:val="none" w:sz="0" w:space="0" w:color="auto"/>
        <w:right w:val="none" w:sz="0" w:space="0" w:color="auto"/>
      </w:divBdr>
    </w:div>
    <w:div w:id="1241911556">
      <w:bodyDiv w:val="1"/>
      <w:marLeft w:val="0"/>
      <w:marRight w:val="0"/>
      <w:marTop w:val="0"/>
      <w:marBottom w:val="0"/>
      <w:divBdr>
        <w:top w:val="none" w:sz="0" w:space="0" w:color="auto"/>
        <w:left w:val="none" w:sz="0" w:space="0" w:color="auto"/>
        <w:bottom w:val="none" w:sz="0" w:space="0" w:color="auto"/>
        <w:right w:val="none" w:sz="0" w:space="0" w:color="auto"/>
      </w:divBdr>
    </w:div>
    <w:div w:id="1241985818">
      <w:bodyDiv w:val="1"/>
      <w:marLeft w:val="0"/>
      <w:marRight w:val="0"/>
      <w:marTop w:val="0"/>
      <w:marBottom w:val="0"/>
      <w:divBdr>
        <w:top w:val="none" w:sz="0" w:space="0" w:color="auto"/>
        <w:left w:val="none" w:sz="0" w:space="0" w:color="auto"/>
        <w:bottom w:val="none" w:sz="0" w:space="0" w:color="auto"/>
        <w:right w:val="none" w:sz="0" w:space="0" w:color="auto"/>
      </w:divBdr>
    </w:div>
    <w:div w:id="1242527442">
      <w:bodyDiv w:val="1"/>
      <w:marLeft w:val="0"/>
      <w:marRight w:val="0"/>
      <w:marTop w:val="0"/>
      <w:marBottom w:val="0"/>
      <w:divBdr>
        <w:top w:val="none" w:sz="0" w:space="0" w:color="auto"/>
        <w:left w:val="none" w:sz="0" w:space="0" w:color="auto"/>
        <w:bottom w:val="none" w:sz="0" w:space="0" w:color="auto"/>
        <w:right w:val="none" w:sz="0" w:space="0" w:color="auto"/>
      </w:divBdr>
    </w:div>
    <w:div w:id="1243178550">
      <w:bodyDiv w:val="1"/>
      <w:marLeft w:val="0"/>
      <w:marRight w:val="0"/>
      <w:marTop w:val="0"/>
      <w:marBottom w:val="0"/>
      <w:divBdr>
        <w:top w:val="none" w:sz="0" w:space="0" w:color="auto"/>
        <w:left w:val="none" w:sz="0" w:space="0" w:color="auto"/>
        <w:bottom w:val="none" w:sz="0" w:space="0" w:color="auto"/>
        <w:right w:val="none" w:sz="0" w:space="0" w:color="auto"/>
      </w:divBdr>
    </w:div>
    <w:div w:id="1243761621">
      <w:bodyDiv w:val="1"/>
      <w:marLeft w:val="0"/>
      <w:marRight w:val="0"/>
      <w:marTop w:val="0"/>
      <w:marBottom w:val="0"/>
      <w:divBdr>
        <w:top w:val="none" w:sz="0" w:space="0" w:color="auto"/>
        <w:left w:val="none" w:sz="0" w:space="0" w:color="auto"/>
        <w:bottom w:val="none" w:sz="0" w:space="0" w:color="auto"/>
        <w:right w:val="none" w:sz="0" w:space="0" w:color="auto"/>
      </w:divBdr>
    </w:div>
    <w:div w:id="1244602212">
      <w:bodyDiv w:val="1"/>
      <w:marLeft w:val="0"/>
      <w:marRight w:val="0"/>
      <w:marTop w:val="0"/>
      <w:marBottom w:val="0"/>
      <w:divBdr>
        <w:top w:val="none" w:sz="0" w:space="0" w:color="auto"/>
        <w:left w:val="none" w:sz="0" w:space="0" w:color="auto"/>
        <w:bottom w:val="none" w:sz="0" w:space="0" w:color="auto"/>
        <w:right w:val="none" w:sz="0" w:space="0" w:color="auto"/>
      </w:divBdr>
    </w:div>
    <w:div w:id="1245071629">
      <w:bodyDiv w:val="1"/>
      <w:marLeft w:val="0"/>
      <w:marRight w:val="0"/>
      <w:marTop w:val="0"/>
      <w:marBottom w:val="0"/>
      <w:divBdr>
        <w:top w:val="none" w:sz="0" w:space="0" w:color="auto"/>
        <w:left w:val="none" w:sz="0" w:space="0" w:color="auto"/>
        <w:bottom w:val="none" w:sz="0" w:space="0" w:color="auto"/>
        <w:right w:val="none" w:sz="0" w:space="0" w:color="auto"/>
      </w:divBdr>
    </w:div>
    <w:div w:id="1245997203">
      <w:bodyDiv w:val="1"/>
      <w:marLeft w:val="0"/>
      <w:marRight w:val="0"/>
      <w:marTop w:val="0"/>
      <w:marBottom w:val="0"/>
      <w:divBdr>
        <w:top w:val="none" w:sz="0" w:space="0" w:color="auto"/>
        <w:left w:val="none" w:sz="0" w:space="0" w:color="auto"/>
        <w:bottom w:val="none" w:sz="0" w:space="0" w:color="auto"/>
        <w:right w:val="none" w:sz="0" w:space="0" w:color="auto"/>
      </w:divBdr>
    </w:div>
    <w:div w:id="1247111298">
      <w:bodyDiv w:val="1"/>
      <w:marLeft w:val="0"/>
      <w:marRight w:val="0"/>
      <w:marTop w:val="0"/>
      <w:marBottom w:val="0"/>
      <w:divBdr>
        <w:top w:val="none" w:sz="0" w:space="0" w:color="auto"/>
        <w:left w:val="none" w:sz="0" w:space="0" w:color="auto"/>
        <w:bottom w:val="none" w:sz="0" w:space="0" w:color="auto"/>
        <w:right w:val="none" w:sz="0" w:space="0" w:color="auto"/>
      </w:divBdr>
    </w:div>
    <w:div w:id="1247838103">
      <w:bodyDiv w:val="1"/>
      <w:marLeft w:val="0"/>
      <w:marRight w:val="0"/>
      <w:marTop w:val="0"/>
      <w:marBottom w:val="0"/>
      <w:divBdr>
        <w:top w:val="none" w:sz="0" w:space="0" w:color="auto"/>
        <w:left w:val="none" w:sz="0" w:space="0" w:color="auto"/>
        <w:bottom w:val="none" w:sz="0" w:space="0" w:color="auto"/>
        <w:right w:val="none" w:sz="0" w:space="0" w:color="auto"/>
      </w:divBdr>
    </w:div>
    <w:div w:id="1248079689">
      <w:bodyDiv w:val="1"/>
      <w:marLeft w:val="0"/>
      <w:marRight w:val="0"/>
      <w:marTop w:val="0"/>
      <w:marBottom w:val="0"/>
      <w:divBdr>
        <w:top w:val="none" w:sz="0" w:space="0" w:color="auto"/>
        <w:left w:val="none" w:sz="0" w:space="0" w:color="auto"/>
        <w:bottom w:val="none" w:sz="0" w:space="0" w:color="auto"/>
        <w:right w:val="none" w:sz="0" w:space="0" w:color="auto"/>
      </w:divBdr>
    </w:div>
    <w:div w:id="1248802598">
      <w:bodyDiv w:val="1"/>
      <w:marLeft w:val="0"/>
      <w:marRight w:val="0"/>
      <w:marTop w:val="0"/>
      <w:marBottom w:val="0"/>
      <w:divBdr>
        <w:top w:val="none" w:sz="0" w:space="0" w:color="auto"/>
        <w:left w:val="none" w:sz="0" w:space="0" w:color="auto"/>
        <w:bottom w:val="none" w:sz="0" w:space="0" w:color="auto"/>
        <w:right w:val="none" w:sz="0" w:space="0" w:color="auto"/>
      </w:divBdr>
    </w:div>
    <w:div w:id="1249074488">
      <w:bodyDiv w:val="1"/>
      <w:marLeft w:val="0"/>
      <w:marRight w:val="0"/>
      <w:marTop w:val="0"/>
      <w:marBottom w:val="0"/>
      <w:divBdr>
        <w:top w:val="none" w:sz="0" w:space="0" w:color="auto"/>
        <w:left w:val="none" w:sz="0" w:space="0" w:color="auto"/>
        <w:bottom w:val="none" w:sz="0" w:space="0" w:color="auto"/>
        <w:right w:val="none" w:sz="0" w:space="0" w:color="auto"/>
      </w:divBdr>
    </w:div>
    <w:div w:id="1249386733">
      <w:bodyDiv w:val="1"/>
      <w:marLeft w:val="0"/>
      <w:marRight w:val="0"/>
      <w:marTop w:val="0"/>
      <w:marBottom w:val="0"/>
      <w:divBdr>
        <w:top w:val="none" w:sz="0" w:space="0" w:color="auto"/>
        <w:left w:val="none" w:sz="0" w:space="0" w:color="auto"/>
        <w:bottom w:val="none" w:sz="0" w:space="0" w:color="auto"/>
        <w:right w:val="none" w:sz="0" w:space="0" w:color="auto"/>
      </w:divBdr>
    </w:div>
    <w:div w:id="1250117334">
      <w:bodyDiv w:val="1"/>
      <w:marLeft w:val="0"/>
      <w:marRight w:val="0"/>
      <w:marTop w:val="0"/>
      <w:marBottom w:val="0"/>
      <w:divBdr>
        <w:top w:val="none" w:sz="0" w:space="0" w:color="auto"/>
        <w:left w:val="none" w:sz="0" w:space="0" w:color="auto"/>
        <w:bottom w:val="none" w:sz="0" w:space="0" w:color="auto"/>
        <w:right w:val="none" w:sz="0" w:space="0" w:color="auto"/>
      </w:divBdr>
    </w:div>
    <w:div w:id="1251156368">
      <w:bodyDiv w:val="1"/>
      <w:marLeft w:val="0"/>
      <w:marRight w:val="0"/>
      <w:marTop w:val="0"/>
      <w:marBottom w:val="0"/>
      <w:divBdr>
        <w:top w:val="none" w:sz="0" w:space="0" w:color="auto"/>
        <w:left w:val="none" w:sz="0" w:space="0" w:color="auto"/>
        <w:bottom w:val="none" w:sz="0" w:space="0" w:color="auto"/>
        <w:right w:val="none" w:sz="0" w:space="0" w:color="auto"/>
      </w:divBdr>
    </w:div>
    <w:div w:id="1252399538">
      <w:bodyDiv w:val="1"/>
      <w:marLeft w:val="0"/>
      <w:marRight w:val="0"/>
      <w:marTop w:val="0"/>
      <w:marBottom w:val="0"/>
      <w:divBdr>
        <w:top w:val="none" w:sz="0" w:space="0" w:color="auto"/>
        <w:left w:val="none" w:sz="0" w:space="0" w:color="auto"/>
        <w:bottom w:val="none" w:sz="0" w:space="0" w:color="auto"/>
        <w:right w:val="none" w:sz="0" w:space="0" w:color="auto"/>
      </w:divBdr>
    </w:div>
    <w:div w:id="1253050117">
      <w:bodyDiv w:val="1"/>
      <w:marLeft w:val="0"/>
      <w:marRight w:val="0"/>
      <w:marTop w:val="0"/>
      <w:marBottom w:val="0"/>
      <w:divBdr>
        <w:top w:val="none" w:sz="0" w:space="0" w:color="auto"/>
        <w:left w:val="none" w:sz="0" w:space="0" w:color="auto"/>
        <w:bottom w:val="none" w:sz="0" w:space="0" w:color="auto"/>
        <w:right w:val="none" w:sz="0" w:space="0" w:color="auto"/>
      </w:divBdr>
    </w:div>
    <w:div w:id="1253852778">
      <w:bodyDiv w:val="1"/>
      <w:marLeft w:val="0"/>
      <w:marRight w:val="0"/>
      <w:marTop w:val="0"/>
      <w:marBottom w:val="0"/>
      <w:divBdr>
        <w:top w:val="none" w:sz="0" w:space="0" w:color="auto"/>
        <w:left w:val="none" w:sz="0" w:space="0" w:color="auto"/>
        <w:bottom w:val="none" w:sz="0" w:space="0" w:color="auto"/>
        <w:right w:val="none" w:sz="0" w:space="0" w:color="auto"/>
      </w:divBdr>
    </w:div>
    <w:div w:id="1254316749">
      <w:bodyDiv w:val="1"/>
      <w:marLeft w:val="0"/>
      <w:marRight w:val="0"/>
      <w:marTop w:val="0"/>
      <w:marBottom w:val="0"/>
      <w:divBdr>
        <w:top w:val="none" w:sz="0" w:space="0" w:color="auto"/>
        <w:left w:val="none" w:sz="0" w:space="0" w:color="auto"/>
        <w:bottom w:val="none" w:sz="0" w:space="0" w:color="auto"/>
        <w:right w:val="none" w:sz="0" w:space="0" w:color="auto"/>
      </w:divBdr>
    </w:div>
    <w:div w:id="1254316917">
      <w:bodyDiv w:val="1"/>
      <w:marLeft w:val="0"/>
      <w:marRight w:val="0"/>
      <w:marTop w:val="0"/>
      <w:marBottom w:val="0"/>
      <w:divBdr>
        <w:top w:val="none" w:sz="0" w:space="0" w:color="auto"/>
        <w:left w:val="none" w:sz="0" w:space="0" w:color="auto"/>
        <w:bottom w:val="none" w:sz="0" w:space="0" w:color="auto"/>
        <w:right w:val="none" w:sz="0" w:space="0" w:color="auto"/>
      </w:divBdr>
    </w:div>
    <w:div w:id="1254633015">
      <w:bodyDiv w:val="1"/>
      <w:marLeft w:val="0"/>
      <w:marRight w:val="0"/>
      <w:marTop w:val="0"/>
      <w:marBottom w:val="0"/>
      <w:divBdr>
        <w:top w:val="none" w:sz="0" w:space="0" w:color="auto"/>
        <w:left w:val="none" w:sz="0" w:space="0" w:color="auto"/>
        <w:bottom w:val="none" w:sz="0" w:space="0" w:color="auto"/>
        <w:right w:val="none" w:sz="0" w:space="0" w:color="auto"/>
      </w:divBdr>
    </w:div>
    <w:div w:id="1255162931">
      <w:bodyDiv w:val="1"/>
      <w:marLeft w:val="0"/>
      <w:marRight w:val="0"/>
      <w:marTop w:val="0"/>
      <w:marBottom w:val="0"/>
      <w:divBdr>
        <w:top w:val="none" w:sz="0" w:space="0" w:color="auto"/>
        <w:left w:val="none" w:sz="0" w:space="0" w:color="auto"/>
        <w:bottom w:val="none" w:sz="0" w:space="0" w:color="auto"/>
        <w:right w:val="none" w:sz="0" w:space="0" w:color="auto"/>
      </w:divBdr>
    </w:div>
    <w:div w:id="1257130950">
      <w:bodyDiv w:val="1"/>
      <w:marLeft w:val="0"/>
      <w:marRight w:val="0"/>
      <w:marTop w:val="0"/>
      <w:marBottom w:val="0"/>
      <w:divBdr>
        <w:top w:val="none" w:sz="0" w:space="0" w:color="auto"/>
        <w:left w:val="none" w:sz="0" w:space="0" w:color="auto"/>
        <w:bottom w:val="none" w:sz="0" w:space="0" w:color="auto"/>
        <w:right w:val="none" w:sz="0" w:space="0" w:color="auto"/>
      </w:divBdr>
    </w:div>
    <w:div w:id="1257254063">
      <w:bodyDiv w:val="1"/>
      <w:marLeft w:val="0"/>
      <w:marRight w:val="0"/>
      <w:marTop w:val="0"/>
      <w:marBottom w:val="0"/>
      <w:divBdr>
        <w:top w:val="none" w:sz="0" w:space="0" w:color="auto"/>
        <w:left w:val="none" w:sz="0" w:space="0" w:color="auto"/>
        <w:bottom w:val="none" w:sz="0" w:space="0" w:color="auto"/>
        <w:right w:val="none" w:sz="0" w:space="0" w:color="auto"/>
      </w:divBdr>
    </w:div>
    <w:div w:id="1257666188">
      <w:bodyDiv w:val="1"/>
      <w:marLeft w:val="0"/>
      <w:marRight w:val="0"/>
      <w:marTop w:val="0"/>
      <w:marBottom w:val="0"/>
      <w:divBdr>
        <w:top w:val="none" w:sz="0" w:space="0" w:color="auto"/>
        <w:left w:val="none" w:sz="0" w:space="0" w:color="auto"/>
        <w:bottom w:val="none" w:sz="0" w:space="0" w:color="auto"/>
        <w:right w:val="none" w:sz="0" w:space="0" w:color="auto"/>
      </w:divBdr>
    </w:div>
    <w:div w:id="1257713235">
      <w:bodyDiv w:val="1"/>
      <w:marLeft w:val="0"/>
      <w:marRight w:val="0"/>
      <w:marTop w:val="0"/>
      <w:marBottom w:val="0"/>
      <w:divBdr>
        <w:top w:val="none" w:sz="0" w:space="0" w:color="auto"/>
        <w:left w:val="none" w:sz="0" w:space="0" w:color="auto"/>
        <w:bottom w:val="none" w:sz="0" w:space="0" w:color="auto"/>
        <w:right w:val="none" w:sz="0" w:space="0" w:color="auto"/>
      </w:divBdr>
    </w:div>
    <w:div w:id="1260678242">
      <w:bodyDiv w:val="1"/>
      <w:marLeft w:val="0"/>
      <w:marRight w:val="0"/>
      <w:marTop w:val="0"/>
      <w:marBottom w:val="0"/>
      <w:divBdr>
        <w:top w:val="none" w:sz="0" w:space="0" w:color="auto"/>
        <w:left w:val="none" w:sz="0" w:space="0" w:color="auto"/>
        <w:bottom w:val="none" w:sz="0" w:space="0" w:color="auto"/>
        <w:right w:val="none" w:sz="0" w:space="0" w:color="auto"/>
      </w:divBdr>
    </w:div>
    <w:div w:id="1262028975">
      <w:bodyDiv w:val="1"/>
      <w:marLeft w:val="0"/>
      <w:marRight w:val="0"/>
      <w:marTop w:val="0"/>
      <w:marBottom w:val="0"/>
      <w:divBdr>
        <w:top w:val="none" w:sz="0" w:space="0" w:color="auto"/>
        <w:left w:val="none" w:sz="0" w:space="0" w:color="auto"/>
        <w:bottom w:val="none" w:sz="0" w:space="0" w:color="auto"/>
        <w:right w:val="none" w:sz="0" w:space="0" w:color="auto"/>
      </w:divBdr>
    </w:div>
    <w:div w:id="1262371934">
      <w:bodyDiv w:val="1"/>
      <w:marLeft w:val="0"/>
      <w:marRight w:val="0"/>
      <w:marTop w:val="0"/>
      <w:marBottom w:val="0"/>
      <w:divBdr>
        <w:top w:val="none" w:sz="0" w:space="0" w:color="auto"/>
        <w:left w:val="none" w:sz="0" w:space="0" w:color="auto"/>
        <w:bottom w:val="none" w:sz="0" w:space="0" w:color="auto"/>
        <w:right w:val="none" w:sz="0" w:space="0" w:color="auto"/>
      </w:divBdr>
    </w:div>
    <w:div w:id="1262489193">
      <w:bodyDiv w:val="1"/>
      <w:marLeft w:val="0"/>
      <w:marRight w:val="0"/>
      <w:marTop w:val="0"/>
      <w:marBottom w:val="0"/>
      <w:divBdr>
        <w:top w:val="none" w:sz="0" w:space="0" w:color="auto"/>
        <w:left w:val="none" w:sz="0" w:space="0" w:color="auto"/>
        <w:bottom w:val="none" w:sz="0" w:space="0" w:color="auto"/>
        <w:right w:val="none" w:sz="0" w:space="0" w:color="auto"/>
      </w:divBdr>
    </w:div>
    <w:div w:id="1264269584">
      <w:bodyDiv w:val="1"/>
      <w:marLeft w:val="0"/>
      <w:marRight w:val="0"/>
      <w:marTop w:val="0"/>
      <w:marBottom w:val="0"/>
      <w:divBdr>
        <w:top w:val="none" w:sz="0" w:space="0" w:color="auto"/>
        <w:left w:val="none" w:sz="0" w:space="0" w:color="auto"/>
        <w:bottom w:val="none" w:sz="0" w:space="0" w:color="auto"/>
        <w:right w:val="none" w:sz="0" w:space="0" w:color="auto"/>
      </w:divBdr>
    </w:div>
    <w:div w:id="1264337905">
      <w:bodyDiv w:val="1"/>
      <w:marLeft w:val="0"/>
      <w:marRight w:val="0"/>
      <w:marTop w:val="0"/>
      <w:marBottom w:val="0"/>
      <w:divBdr>
        <w:top w:val="none" w:sz="0" w:space="0" w:color="auto"/>
        <w:left w:val="none" w:sz="0" w:space="0" w:color="auto"/>
        <w:bottom w:val="none" w:sz="0" w:space="0" w:color="auto"/>
        <w:right w:val="none" w:sz="0" w:space="0" w:color="auto"/>
      </w:divBdr>
    </w:div>
    <w:div w:id="1264649555">
      <w:bodyDiv w:val="1"/>
      <w:marLeft w:val="0"/>
      <w:marRight w:val="0"/>
      <w:marTop w:val="0"/>
      <w:marBottom w:val="0"/>
      <w:divBdr>
        <w:top w:val="none" w:sz="0" w:space="0" w:color="auto"/>
        <w:left w:val="none" w:sz="0" w:space="0" w:color="auto"/>
        <w:bottom w:val="none" w:sz="0" w:space="0" w:color="auto"/>
        <w:right w:val="none" w:sz="0" w:space="0" w:color="auto"/>
      </w:divBdr>
    </w:div>
    <w:div w:id="1264652212">
      <w:bodyDiv w:val="1"/>
      <w:marLeft w:val="0"/>
      <w:marRight w:val="0"/>
      <w:marTop w:val="0"/>
      <w:marBottom w:val="0"/>
      <w:divBdr>
        <w:top w:val="none" w:sz="0" w:space="0" w:color="auto"/>
        <w:left w:val="none" w:sz="0" w:space="0" w:color="auto"/>
        <w:bottom w:val="none" w:sz="0" w:space="0" w:color="auto"/>
        <w:right w:val="none" w:sz="0" w:space="0" w:color="auto"/>
      </w:divBdr>
    </w:div>
    <w:div w:id="1265386092">
      <w:bodyDiv w:val="1"/>
      <w:marLeft w:val="0"/>
      <w:marRight w:val="0"/>
      <w:marTop w:val="0"/>
      <w:marBottom w:val="0"/>
      <w:divBdr>
        <w:top w:val="none" w:sz="0" w:space="0" w:color="auto"/>
        <w:left w:val="none" w:sz="0" w:space="0" w:color="auto"/>
        <w:bottom w:val="none" w:sz="0" w:space="0" w:color="auto"/>
        <w:right w:val="none" w:sz="0" w:space="0" w:color="auto"/>
      </w:divBdr>
    </w:div>
    <w:div w:id="1267351953">
      <w:bodyDiv w:val="1"/>
      <w:marLeft w:val="0"/>
      <w:marRight w:val="0"/>
      <w:marTop w:val="0"/>
      <w:marBottom w:val="0"/>
      <w:divBdr>
        <w:top w:val="none" w:sz="0" w:space="0" w:color="auto"/>
        <w:left w:val="none" w:sz="0" w:space="0" w:color="auto"/>
        <w:bottom w:val="none" w:sz="0" w:space="0" w:color="auto"/>
        <w:right w:val="none" w:sz="0" w:space="0" w:color="auto"/>
      </w:divBdr>
    </w:div>
    <w:div w:id="1268081704">
      <w:bodyDiv w:val="1"/>
      <w:marLeft w:val="0"/>
      <w:marRight w:val="0"/>
      <w:marTop w:val="0"/>
      <w:marBottom w:val="0"/>
      <w:divBdr>
        <w:top w:val="none" w:sz="0" w:space="0" w:color="auto"/>
        <w:left w:val="none" w:sz="0" w:space="0" w:color="auto"/>
        <w:bottom w:val="none" w:sz="0" w:space="0" w:color="auto"/>
        <w:right w:val="none" w:sz="0" w:space="0" w:color="auto"/>
      </w:divBdr>
    </w:div>
    <w:div w:id="1268194115">
      <w:bodyDiv w:val="1"/>
      <w:marLeft w:val="0"/>
      <w:marRight w:val="0"/>
      <w:marTop w:val="0"/>
      <w:marBottom w:val="0"/>
      <w:divBdr>
        <w:top w:val="none" w:sz="0" w:space="0" w:color="auto"/>
        <w:left w:val="none" w:sz="0" w:space="0" w:color="auto"/>
        <w:bottom w:val="none" w:sz="0" w:space="0" w:color="auto"/>
        <w:right w:val="none" w:sz="0" w:space="0" w:color="auto"/>
      </w:divBdr>
    </w:div>
    <w:div w:id="1268656351">
      <w:bodyDiv w:val="1"/>
      <w:marLeft w:val="0"/>
      <w:marRight w:val="0"/>
      <w:marTop w:val="0"/>
      <w:marBottom w:val="0"/>
      <w:divBdr>
        <w:top w:val="none" w:sz="0" w:space="0" w:color="auto"/>
        <w:left w:val="none" w:sz="0" w:space="0" w:color="auto"/>
        <w:bottom w:val="none" w:sz="0" w:space="0" w:color="auto"/>
        <w:right w:val="none" w:sz="0" w:space="0" w:color="auto"/>
      </w:divBdr>
    </w:div>
    <w:div w:id="1268924054">
      <w:bodyDiv w:val="1"/>
      <w:marLeft w:val="0"/>
      <w:marRight w:val="0"/>
      <w:marTop w:val="0"/>
      <w:marBottom w:val="0"/>
      <w:divBdr>
        <w:top w:val="none" w:sz="0" w:space="0" w:color="auto"/>
        <w:left w:val="none" w:sz="0" w:space="0" w:color="auto"/>
        <w:bottom w:val="none" w:sz="0" w:space="0" w:color="auto"/>
        <w:right w:val="none" w:sz="0" w:space="0" w:color="auto"/>
      </w:divBdr>
    </w:div>
    <w:div w:id="1269239425">
      <w:bodyDiv w:val="1"/>
      <w:marLeft w:val="0"/>
      <w:marRight w:val="0"/>
      <w:marTop w:val="0"/>
      <w:marBottom w:val="0"/>
      <w:divBdr>
        <w:top w:val="none" w:sz="0" w:space="0" w:color="auto"/>
        <w:left w:val="none" w:sz="0" w:space="0" w:color="auto"/>
        <w:bottom w:val="none" w:sz="0" w:space="0" w:color="auto"/>
        <w:right w:val="none" w:sz="0" w:space="0" w:color="auto"/>
      </w:divBdr>
    </w:div>
    <w:div w:id="1269436471">
      <w:bodyDiv w:val="1"/>
      <w:marLeft w:val="0"/>
      <w:marRight w:val="0"/>
      <w:marTop w:val="0"/>
      <w:marBottom w:val="0"/>
      <w:divBdr>
        <w:top w:val="none" w:sz="0" w:space="0" w:color="auto"/>
        <w:left w:val="none" w:sz="0" w:space="0" w:color="auto"/>
        <w:bottom w:val="none" w:sz="0" w:space="0" w:color="auto"/>
        <w:right w:val="none" w:sz="0" w:space="0" w:color="auto"/>
      </w:divBdr>
    </w:div>
    <w:div w:id="1270241412">
      <w:bodyDiv w:val="1"/>
      <w:marLeft w:val="0"/>
      <w:marRight w:val="0"/>
      <w:marTop w:val="0"/>
      <w:marBottom w:val="0"/>
      <w:divBdr>
        <w:top w:val="none" w:sz="0" w:space="0" w:color="auto"/>
        <w:left w:val="none" w:sz="0" w:space="0" w:color="auto"/>
        <w:bottom w:val="none" w:sz="0" w:space="0" w:color="auto"/>
        <w:right w:val="none" w:sz="0" w:space="0" w:color="auto"/>
      </w:divBdr>
    </w:div>
    <w:div w:id="1270503932">
      <w:bodyDiv w:val="1"/>
      <w:marLeft w:val="0"/>
      <w:marRight w:val="0"/>
      <w:marTop w:val="0"/>
      <w:marBottom w:val="0"/>
      <w:divBdr>
        <w:top w:val="none" w:sz="0" w:space="0" w:color="auto"/>
        <w:left w:val="none" w:sz="0" w:space="0" w:color="auto"/>
        <w:bottom w:val="none" w:sz="0" w:space="0" w:color="auto"/>
        <w:right w:val="none" w:sz="0" w:space="0" w:color="auto"/>
      </w:divBdr>
    </w:div>
    <w:div w:id="1271475483">
      <w:bodyDiv w:val="1"/>
      <w:marLeft w:val="0"/>
      <w:marRight w:val="0"/>
      <w:marTop w:val="0"/>
      <w:marBottom w:val="0"/>
      <w:divBdr>
        <w:top w:val="none" w:sz="0" w:space="0" w:color="auto"/>
        <w:left w:val="none" w:sz="0" w:space="0" w:color="auto"/>
        <w:bottom w:val="none" w:sz="0" w:space="0" w:color="auto"/>
        <w:right w:val="none" w:sz="0" w:space="0" w:color="auto"/>
      </w:divBdr>
    </w:div>
    <w:div w:id="1272590748">
      <w:bodyDiv w:val="1"/>
      <w:marLeft w:val="0"/>
      <w:marRight w:val="0"/>
      <w:marTop w:val="0"/>
      <w:marBottom w:val="0"/>
      <w:divBdr>
        <w:top w:val="none" w:sz="0" w:space="0" w:color="auto"/>
        <w:left w:val="none" w:sz="0" w:space="0" w:color="auto"/>
        <w:bottom w:val="none" w:sz="0" w:space="0" w:color="auto"/>
        <w:right w:val="none" w:sz="0" w:space="0" w:color="auto"/>
      </w:divBdr>
    </w:div>
    <w:div w:id="1272663136">
      <w:bodyDiv w:val="1"/>
      <w:marLeft w:val="0"/>
      <w:marRight w:val="0"/>
      <w:marTop w:val="0"/>
      <w:marBottom w:val="0"/>
      <w:divBdr>
        <w:top w:val="none" w:sz="0" w:space="0" w:color="auto"/>
        <w:left w:val="none" w:sz="0" w:space="0" w:color="auto"/>
        <w:bottom w:val="none" w:sz="0" w:space="0" w:color="auto"/>
        <w:right w:val="none" w:sz="0" w:space="0" w:color="auto"/>
      </w:divBdr>
    </w:div>
    <w:div w:id="1272786805">
      <w:bodyDiv w:val="1"/>
      <w:marLeft w:val="0"/>
      <w:marRight w:val="0"/>
      <w:marTop w:val="0"/>
      <w:marBottom w:val="0"/>
      <w:divBdr>
        <w:top w:val="none" w:sz="0" w:space="0" w:color="auto"/>
        <w:left w:val="none" w:sz="0" w:space="0" w:color="auto"/>
        <w:bottom w:val="none" w:sz="0" w:space="0" w:color="auto"/>
        <w:right w:val="none" w:sz="0" w:space="0" w:color="auto"/>
      </w:divBdr>
    </w:div>
    <w:div w:id="1272937692">
      <w:bodyDiv w:val="1"/>
      <w:marLeft w:val="0"/>
      <w:marRight w:val="0"/>
      <w:marTop w:val="0"/>
      <w:marBottom w:val="0"/>
      <w:divBdr>
        <w:top w:val="none" w:sz="0" w:space="0" w:color="auto"/>
        <w:left w:val="none" w:sz="0" w:space="0" w:color="auto"/>
        <w:bottom w:val="none" w:sz="0" w:space="0" w:color="auto"/>
        <w:right w:val="none" w:sz="0" w:space="0" w:color="auto"/>
      </w:divBdr>
    </w:div>
    <w:div w:id="1275091123">
      <w:bodyDiv w:val="1"/>
      <w:marLeft w:val="0"/>
      <w:marRight w:val="0"/>
      <w:marTop w:val="0"/>
      <w:marBottom w:val="0"/>
      <w:divBdr>
        <w:top w:val="none" w:sz="0" w:space="0" w:color="auto"/>
        <w:left w:val="none" w:sz="0" w:space="0" w:color="auto"/>
        <w:bottom w:val="none" w:sz="0" w:space="0" w:color="auto"/>
        <w:right w:val="none" w:sz="0" w:space="0" w:color="auto"/>
      </w:divBdr>
    </w:div>
    <w:div w:id="1276522818">
      <w:bodyDiv w:val="1"/>
      <w:marLeft w:val="0"/>
      <w:marRight w:val="0"/>
      <w:marTop w:val="0"/>
      <w:marBottom w:val="0"/>
      <w:divBdr>
        <w:top w:val="none" w:sz="0" w:space="0" w:color="auto"/>
        <w:left w:val="none" w:sz="0" w:space="0" w:color="auto"/>
        <w:bottom w:val="none" w:sz="0" w:space="0" w:color="auto"/>
        <w:right w:val="none" w:sz="0" w:space="0" w:color="auto"/>
      </w:divBdr>
    </w:div>
    <w:div w:id="1277367815">
      <w:bodyDiv w:val="1"/>
      <w:marLeft w:val="0"/>
      <w:marRight w:val="0"/>
      <w:marTop w:val="0"/>
      <w:marBottom w:val="0"/>
      <w:divBdr>
        <w:top w:val="none" w:sz="0" w:space="0" w:color="auto"/>
        <w:left w:val="none" w:sz="0" w:space="0" w:color="auto"/>
        <w:bottom w:val="none" w:sz="0" w:space="0" w:color="auto"/>
        <w:right w:val="none" w:sz="0" w:space="0" w:color="auto"/>
      </w:divBdr>
    </w:div>
    <w:div w:id="1278027467">
      <w:bodyDiv w:val="1"/>
      <w:marLeft w:val="0"/>
      <w:marRight w:val="0"/>
      <w:marTop w:val="0"/>
      <w:marBottom w:val="0"/>
      <w:divBdr>
        <w:top w:val="none" w:sz="0" w:space="0" w:color="auto"/>
        <w:left w:val="none" w:sz="0" w:space="0" w:color="auto"/>
        <w:bottom w:val="none" w:sz="0" w:space="0" w:color="auto"/>
        <w:right w:val="none" w:sz="0" w:space="0" w:color="auto"/>
      </w:divBdr>
    </w:div>
    <w:div w:id="1278104127">
      <w:bodyDiv w:val="1"/>
      <w:marLeft w:val="0"/>
      <w:marRight w:val="0"/>
      <w:marTop w:val="0"/>
      <w:marBottom w:val="0"/>
      <w:divBdr>
        <w:top w:val="none" w:sz="0" w:space="0" w:color="auto"/>
        <w:left w:val="none" w:sz="0" w:space="0" w:color="auto"/>
        <w:bottom w:val="none" w:sz="0" w:space="0" w:color="auto"/>
        <w:right w:val="none" w:sz="0" w:space="0" w:color="auto"/>
      </w:divBdr>
    </w:div>
    <w:div w:id="1278411361">
      <w:bodyDiv w:val="1"/>
      <w:marLeft w:val="0"/>
      <w:marRight w:val="0"/>
      <w:marTop w:val="0"/>
      <w:marBottom w:val="0"/>
      <w:divBdr>
        <w:top w:val="none" w:sz="0" w:space="0" w:color="auto"/>
        <w:left w:val="none" w:sz="0" w:space="0" w:color="auto"/>
        <w:bottom w:val="none" w:sz="0" w:space="0" w:color="auto"/>
        <w:right w:val="none" w:sz="0" w:space="0" w:color="auto"/>
      </w:divBdr>
    </w:div>
    <w:div w:id="1279869436">
      <w:bodyDiv w:val="1"/>
      <w:marLeft w:val="0"/>
      <w:marRight w:val="0"/>
      <w:marTop w:val="0"/>
      <w:marBottom w:val="0"/>
      <w:divBdr>
        <w:top w:val="none" w:sz="0" w:space="0" w:color="auto"/>
        <w:left w:val="none" w:sz="0" w:space="0" w:color="auto"/>
        <w:bottom w:val="none" w:sz="0" w:space="0" w:color="auto"/>
        <w:right w:val="none" w:sz="0" w:space="0" w:color="auto"/>
      </w:divBdr>
    </w:div>
    <w:div w:id="1280451046">
      <w:bodyDiv w:val="1"/>
      <w:marLeft w:val="0"/>
      <w:marRight w:val="0"/>
      <w:marTop w:val="0"/>
      <w:marBottom w:val="0"/>
      <w:divBdr>
        <w:top w:val="none" w:sz="0" w:space="0" w:color="auto"/>
        <w:left w:val="none" w:sz="0" w:space="0" w:color="auto"/>
        <w:bottom w:val="none" w:sz="0" w:space="0" w:color="auto"/>
        <w:right w:val="none" w:sz="0" w:space="0" w:color="auto"/>
      </w:divBdr>
    </w:div>
    <w:div w:id="1280456426">
      <w:bodyDiv w:val="1"/>
      <w:marLeft w:val="0"/>
      <w:marRight w:val="0"/>
      <w:marTop w:val="0"/>
      <w:marBottom w:val="0"/>
      <w:divBdr>
        <w:top w:val="none" w:sz="0" w:space="0" w:color="auto"/>
        <w:left w:val="none" w:sz="0" w:space="0" w:color="auto"/>
        <w:bottom w:val="none" w:sz="0" w:space="0" w:color="auto"/>
        <w:right w:val="none" w:sz="0" w:space="0" w:color="auto"/>
      </w:divBdr>
    </w:div>
    <w:div w:id="1281254754">
      <w:bodyDiv w:val="1"/>
      <w:marLeft w:val="0"/>
      <w:marRight w:val="0"/>
      <w:marTop w:val="0"/>
      <w:marBottom w:val="0"/>
      <w:divBdr>
        <w:top w:val="none" w:sz="0" w:space="0" w:color="auto"/>
        <w:left w:val="none" w:sz="0" w:space="0" w:color="auto"/>
        <w:bottom w:val="none" w:sz="0" w:space="0" w:color="auto"/>
        <w:right w:val="none" w:sz="0" w:space="0" w:color="auto"/>
      </w:divBdr>
    </w:div>
    <w:div w:id="1283003471">
      <w:bodyDiv w:val="1"/>
      <w:marLeft w:val="0"/>
      <w:marRight w:val="0"/>
      <w:marTop w:val="0"/>
      <w:marBottom w:val="0"/>
      <w:divBdr>
        <w:top w:val="none" w:sz="0" w:space="0" w:color="auto"/>
        <w:left w:val="none" w:sz="0" w:space="0" w:color="auto"/>
        <w:bottom w:val="none" w:sz="0" w:space="0" w:color="auto"/>
        <w:right w:val="none" w:sz="0" w:space="0" w:color="auto"/>
      </w:divBdr>
    </w:div>
    <w:div w:id="1283726673">
      <w:bodyDiv w:val="1"/>
      <w:marLeft w:val="0"/>
      <w:marRight w:val="0"/>
      <w:marTop w:val="0"/>
      <w:marBottom w:val="0"/>
      <w:divBdr>
        <w:top w:val="none" w:sz="0" w:space="0" w:color="auto"/>
        <w:left w:val="none" w:sz="0" w:space="0" w:color="auto"/>
        <w:bottom w:val="none" w:sz="0" w:space="0" w:color="auto"/>
        <w:right w:val="none" w:sz="0" w:space="0" w:color="auto"/>
      </w:divBdr>
    </w:div>
    <w:div w:id="1284576878">
      <w:bodyDiv w:val="1"/>
      <w:marLeft w:val="0"/>
      <w:marRight w:val="0"/>
      <w:marTop w:val="0"/>
      <w:marBottom w:val="0"/>
      <w:divBdr>
        <w:top w:val="none" w:sz="0" w:space="0" w:color="auto"/>
        <w:left w:val="none" w:sz="0" w:space="0" w:color="auto"/>
        <w:bottom w:val="none" w:sz="0" w:space="0" w:color="auto"/>
        <w:right w:val="none" w:sz="0" w:space="0" w:color="auto"/>
      </w:divBdr>
    </w:div>
    <w:div w:id="1285380032">
      <w:bodyDiv w:val="1"/>
      <w:marLeft w:val="0"/>
      <w:marRight w:val="0"/>
      <w:marTop w:val="0"/>
      <w:marBottom w:val="0"/>
      <w:divBdr>
        <w:top w:val="none" w:sz="0" w:space="0" w:color="auto"/>
        <w:left w:val="none" w:sz="0" w:space="0" w:color="auto"/>
        <w:bottom w:val="none" w:sz="0" w:space="0" w:color="auto"/>
        <w:right w:val="none" w:sz="0" w:space="0" w:color="auto"/>
      </w:divBdr>
    </w:div>
    <w:div w:id="1285696561">
      <w:bodyDiv w:val="1"/>
      <w:marLeft w:val="0"/>
      <w:marRight w:val="0"/>
      <w:marTop w:val="0"/>
      <w:marBottom w:val="0"/>
      <w:divBdr>
        <w:top w:val="none" w:sz="0" w:space="0" w:color="auto"/>
        <w:left w:val="none" w:sz="0" w:space="0" w:color="auto"/>
        <w:bottom w:val="none" w:sz="0" w:space="0" w:color="auto"/>
        <w:right w:val="none" w:sz="0" w:space="0" w:color="auto"/>
      </w:divBdr>
    </w:div>
    <w:div w:id="1285771498">
      <w:bodyDiv w:val="1"/>
      <w:marLeft w:val="0"/>
      <w:marRight w:val="0"/>
      <w:marTop w:val="0"/>
      <w:marBottom w:val="0"/>
      <w:divBdr>
        <w:top w:val="none" w:sz="0" w:space="0" w:color="auto"/>
        <w:left w:val="none" w:sz="0" w:space="0" w:color="auto"/>
        <w:bottom w:val="none" w:sz="0" w:space="0" w:color="auto"/>
        <w:right w:val="none" w:sz="0" w:space="0" w:color="auto"/>
      </w:divBdr>
    </w:div>
    <w:div w:id="1286228168">
      <w:bodyDiv w:val="1"/>
      <w:marLeft w:val="0"/>
      <w:marRight w:val="0"/>
      <w:marTop w:val="0"/>
      <w:marBottom w:val="0"/>
      <w:divBdr>
        <w:top w:val="none" w:sz="0" w:space="0" w:color="auto"/>
        <w:left w:val="none" w:sz="0" w:space="0" w:color="auto"/>
        <w:bottom w:val="none" w:sz="0" w:space="0" w:color="auto"/>
        <w:right w:val="none" w:sz="0" w:space="0" w:color="auto"/>
      </w:divBdr>
    </w:div>
    <w:div w:id="1286430710">
      <w:bodyDiv w:val="1"/>
      <w:marLeft w:val="0"/>
      <w:marRight w:val="0"/>
      <w:marTop w:val="0"/>
      <w:marBottom w:val="0"/>
      <w:divBdr>
        <w:top w:val="none" w:sz="0" w:space="0" w:color="auto"/>
        <w:left w:val="none" w:sz="0" w:space="0" w:color="auto"/>
        <w:bottom w:val="none" w:sz="0" w:space="0" w:color="auto"/>
        <w:right w:val="none" w:sz="0" w:space="0" w:color="auto"/>
      </w:divBdr>
    </w:div>
    <w:div w:id="1287421240">
      <w:bodyDiv w:val="1"/>
      <w:marLeft w:val="0"/>
      <w:marRight w:val="0"/>
      <w:marTop w:val="0"/>
      <w:marBottom w:val="0"/>
      <w:divBdr>
        <w:top w:val="none" w:sz="0" w:space="0" w:color="auto"/>
        <w:left w:val="none" w:sz="0" w:space="0" w:color="auto"/>
        <w:bottom w:val="none" w:sz="0" w:space="0" w:color="auto"/>
        <w:right w:val="none" w:sz="0" w:space="0" w:color="auto"/>
      </w:divBdr>
    </w:div>
    <w:div w:id="1287807177">
      <w:bodyDiv w:val="1"/>
      <w:marLeft w:val="0"/>
      <w:marRight w:val="0"/>
      <w:marTop w:val="0"/>
      <w:marBottom w:val="0"/>
      <w:divBdr>
        <w:top w:val="none" w:sz="0" w:space="0" w:color="auto"/>
        <w:left w:val="none" w:sz="0" w:space="0" w:color="auto"/>
        <w:bottom w:val="none" w:sz="0" w:space="0" w:color="auto"/>
        <w:right w:val="none" w:sz="0" w:space="0" w:color="auto"/>
      </w:divBdr>
    </w:div>
    <w:div w:id="1288318516">
      <w:bodyDiv w:val="1"/>
      <w:marLeft w:val="0"/>
      <w:marRight w:val="0"/>
      <w:marTop w:val="0"/>
      <w:marBottom w:val="0"/>
      <w:divBdr>
        <w:top w:val="none" w:sz="0" w:space="0" w:color="auto"/>
        <w:left w:val="none" w:sz="0" w:space="0" w:color="auto"/>
        <w:bottom w:val="none" w:sz="0" w:space="0" w:color="auto"/>
        <w:right w:val="none" w:sz="0" w:space="0" w:color="auto"/>
      </w:divBdr>
    </w:div>
    <w:div w:id="1288778922">
      <w:bodyDiv w:val="1"/>
      <w:marLeft w:val="0"/>
      <w:marRight w:val="0"/>
      <w:marTop w:val="0"/>
      <w:marBottom w:val="0"/>
      <w:divBdr>
        <w:top w:val="none" w:sz="0" w:space="0" w:color="auto"/>
        <w:left w:val="none" w:sz="0" w:space="0" w:color="auto"/>
        <w:bottom w:val="none" w:sz="0" w:space="0" w:color="auto"/>
        <w:right w:val="none" w:sz="0" w:space="0" w:color="auto"/>
      </w:divBdr>
    </w:div>
    <w:div w:id="1288852116">
      <w:bodyDiv w:val="1"/>
      <w:marLeft w:val="0"/>
      <w:marRight w:val="0"/>
      <w:marTop w:val="0"/>
      <w:marBottom w:val="0"/>
      <w:divBdr>
        <w:top w:val="none" w:sz="0" w:space="0" w:color="auto"/>
        <w:left w:val="none" w:sz="0" w:space="0" w:color="auto"/>
        <w:bottom w:val="none" w:sz="0" w:space="0" w:color="auto"/>
        <w:right w:val="none" w:sz="0" w:space="0" w:color="auto"/>
      </w:divBdr>
    </w:div>
    <w:div w:id="1288855672">
      <w:bodyDiv w:val="1"/>
      <w:marLeft w:val="0"/>
      <w:marRight w:val="0"/>
      <w:marTop w:val="0"/>
      <w:marBottom w:val="0"/>
      <w:divBdr>
        <w:top w:val="none" w:sz="0" w:space="0" w:color="auto"/>
        <w:left w:val="none" w:sz="0" w:space="0" w:color="auto"/>
        <w:bottom w:val="none" w:sz="0" w:space="0" w:color="auto"/>
        <w:right w:val="none" w:sz="0" w:space="0" w:color="auto"/>
      </w:divBdr>
    </w:div>
    <w:div w:id="1289435074">
      <w:bodyDiv w:val="1"/>
      <w:marLeft w:val="0"/>
      <w:marRight w:val="0"/>
      <w:marTop w:val="0"/>
      <w:marBottom w:val="0"/>
      <w:divBdr>
        <w:top w:val="none" w:sz="0" w:space="0" w:color="auto"/>
        <w:left w:val="none" w:sz="0" w:space="0" w:color="auto"/>
        <w:bottom w:val="none" w:sz="0" w:space="0" w:color="auto"/>
        <w:right w:val="none" w:sz="0" w:space="0" w:color="auto"/>
      </w:divBdr>
    </w:div>
    <w:div w:id="1289504290">
      <w:bodyDiv w:val="1"/>
      <w:marLeft w:val="0"/>
      <w:marRight w:val="0"/>
      <w:marTop w:val="0"/>
      <w:marBottom w:val="0"/>
      <w:divBdr>
        <w:top w:val="none" w:sz="0" w:space="0" w:color="auto"/>
        <w:left w:val="none" w:sz="0" w:space="0" w:color="auto"/>
        <w:bottom w:val="none" w:sz="0" w:space="0" w:color="auto"/>
        <w:right w:val="none" w:sz="0" w:space="0" w:color="auto"/>
      </w:divBdr>
    </w:div>
    <w:div w:id="1289821049">
      <w:bodyDiv w:val="1"/>
      <w:marLeft w:val="0"/>
      <w:marRight w:val="0"/>
      <w:marTop w:val="0"/>
      <w:marBottom w:val="0"/>
      <w:divBdr>
        <w:top w:val="none" w:sz="0" w:space="0" w:color="auto"/>
        <w:left w:val="none" w:sz="0" w:space="0" w:color="auto"/>
        <w:bottom w:val="none" w:sz="0" w:space="0" w:color="auto"/>
        <w:right w:val="none" w:sz="0" w:space="0" w:color="auto"/>
      </w:divBdr>
    </w:div>
    <w:div w:id="1290739626">
      <w:bodyDiv w:val="1"/>
      <w:marLeft w:val="0"/>
      <w:marRight w:val="0"/>
      <w:marTop w:val="0"/>
      <w:marBottom w:val="0"/>
      <w:divBdr>
        <w:top w:val="none" w:sz="0" w:space="0" w:color="auto"/>
        <w:left w:val="none" w:sz="0" w:space="0" w:color="auto"/>
        <w:bottom w:val="none" w:sz="0" w:space="0" w:color="auto"/>
        <w:right w:val="none" w:sz="0" w:space="0" w:color="auto"/>
      </w:divBdr>
    </w:div>
    <w:div w:id="1291203980">
      <w:bodyDiv w:val="1"/>
      <w:marLeft w:val="0"/>
      <w:marRight w:val="0"/>
      <w:marTop w:val="0"/>
      <w:marBottom w:val="0"/>
      <w:divBdr>
        <w:top w:val="none" w:sz="0" w:space="0" w:color="auto"/>
        <w:left w:val="none" w:sz="0" w:space="0" w:color="auto"/>
        <w:bottom w:val="none" w:sz="0" w:space="0" w:color="auto"/>
        <w:right w:val="none" w:sz="0" w:space="0" w:color="auto"/>
      </w:divBdr>
    </w:div>
    <w:div w:id="1291669365">
      <w:bodyDiv w:val="1"/>
      <w:marLeft w:val="0"/>
      <w:marRight w:val="0"/>
      <w:marTop w:val="0"/>
      <w:marBottom w:val="0"/>
      <w:divBdr>
        <w:top w:val="none" w:sz="0" w:space="0" w:color="auto"/>
        <w:left w:val="none" w:sz="0" w:space="0" w:color="auto"/>
        <w:bottom w:val="none" w:sz="0" w:space="0" w:color="auto"/>
        <w:right w:val="none" w:sz="0" w:space="0" w:color="auto"/>
      </w:divBdr>
    </w:div>
    <w:div w:id="1291785116">
      <w:bodyDiv w:val="1"/>
      <w:marLeft w:val="0"/>
      <w:marRight w:val="0"/>
      <w:marTop w:val="0"/>
      <w:marBottom w:val="0"/>
      <w:divBdr>
        <w:top w:val="none" w:sz="0" w:space="0" w:color="auto"/>
        <w:left w:val="none" w:sz="0" w:space="0" w:color="auto"/>
        <w:bottom w:val="none" w:sz="0" w:space="0" w:color="auto"/>
        <w:right w:val="none" w:sz="0" w:space="0" w:color="auto"/>
      </w:divBdr>
    </w:div>
    <w:div w:id="1291936704">
      <w:bodyDiv w:val="1"/>
      <w:marLeft w:val="0"/>
      <w:marRight w:val="0"/>
      <w:marTop w:val="0"/>
      <w:marBottom w:val="0"/>
      <w:divBdr>
        <w:top w:val="none" w:sz="0" w:space="0" w:color="auto"/>
        <w:left w:val="none" w:sz="0" w:space="0" w:color="auto"/>
        <w:bottom w:val="none" w:sz="0" w:space="0" w:color="auto"/>
        <w:right w:val="none" w:sz="0" w:space="0" w:color="auto"/>
      </w:divBdr>
    </w:div>
    <w:div w:id="1292514249">
      <w:bodyDiv w:val="1"/>
      <w:marLeft w:val="0"/>
      <w:marRight w:val="0"/>
      <w:marTop w:val="0"/>
      <w:marBottom w:val="0"/>
      <w:divBdr>
        <w:top w:val="none" w:sz="0" w:space="0" w:color="auto"/>
        <w:left w:val="none" w:sz="0" w:space="0" w:color="auto"/>
        <w:bottom w:val="none" w:sz="0" w:space="0" w:color="auto"/>
        <w:right w:val="none" w:sz="0" w:space="0" w:color="auto"/>
      </w:divBdr>
    </w:div>
    <w:div w:id="1295600716">
      <w:bodyDiv w:val="1"/>
      <w:marLeft w:val="0"/>
      <w:marRight w:val="0"/>
      <w:marTop w:val="0"/>
      <w:marBottom w:val="0"/>
      <w:divBdr>
        <w:top w:val="none" w:sz="0" w:space="0" w:color="auto"/>
        <w:left w:val="none" w:sz="0" w:space="0" w:color="auto"/>
        <w:bottom w:val="none" w:sz="0" w:space="0" w:color="auto"/>
        <w:right w:val="none" w:sz="0" w:space="0" w:color="auto"/>
      </w:divBdr>
    </w:div>
    <w:div w:id="1295716787">
      <w:bodyDiv w:val="1"/>
      <w:marLeft w:val="0"/>
      <w:marRight w:val="0"/>
      <w:marTop w:val="0"/>
      <w:marBottom w:val="0"/>
      <w:divBdr>
        <w:top w:val="none" w:sz="0" w:space="0" w:color="auto"/>
        <w:left w:val="none" w:sz="0" w:space="0" w:color="auto"/>
        <w:bottom w:val="none" w:sz="0" w:space="0" w:color="auto"/>
        <w:right w:val="none" w:sz="0" w:space="0" w:color="auto"/>
      </w:divBdr>
    </w:div>
    <w:div w:id="1296255568">
      <w:bodyDiv w:val="1"/>
      <w:marLeft w:val="0"/>
      <w:marRight w:val="0"/>
      <w:marTop w:val="0"/>
      <w:marBottom w:val="0"/>
      <w:divBdr>
        <w:top w:val="none" w:sz="0" w:space="0" w:color="auto"/>
        <w:left w:val="none" w:sz="0" w:space="0" w:color="auto"/>
        <w:bottom w:val="none" w:sz="0" w:space="0" w:color="auto"/>
        <w:right w:val="none" w:sz="0" w:space="0" w:color="auto"/>
      </w:divBdr>
    </w:div>
    <w:div w:id="1296717164">
      <w:bodyDiv w:val="1"/>
      <w:marLeft w:val="0"/>
      <w:marRight w:val="0"/>
      <w:marTop w:val="0"/>
      <w:marBottom w:val="0"/>
      <w:divBdr>
        <w:top w:val="none" w:sz="0" w:space="0" w:color="auto"/>
        <w:left w:val="none" w:sz="0" w:space="0" w:color="auto"/>
        <w:bottom w:val="none" w:sz="0" w:space="0" w:color="auto"/>
        <w:right w:val="none" w:sz="0" w:space="0" w:color="auto"/>
      </w:divBdr>
    </w:div>
    <w:div w:id="1297028911">
      <w:bodyDiv w:val="1"/>
      <w:marLeft w:val="0"/>
      <w:marRight w:val="0"/>
      <w:marTop w:val="0"/>
      <w:marBottom w:val="0"/>
      <w:divBdr>
        <w:top w:val="none" w:sz="0" w:space="0" w:color="auto"/>
        <w:left w:val="none" w:sz="0" w:space="0" w:color="auto"/>
        <w:bottom w:val="none" w:sz="0" w:space="0" w:color="auto"/>
        <w:right w:val="none" w:sz="0" w:space="0" w:color="auto"/>
      </w:divBdr>
    </w:div>
    <w:div w:id="1297370750">
      <w:bodyDiv w:val="1"/>
      <w:marLeft w:val="0"/>
      <w:marRight w:val="0"/>
      <w:marTop w:val="0"/>
      <w:marBottom w:val="0"/>
      <w:divBdr>
        <w:top w:val="none" w:sz="0" w:space="0" w:color="auto"/>
        <w:left w:val="none" w:sz="0" w:space="0" w:color="auto"/>
        <w:bottom w:val="none" w:sz="0" w:space="0" w:color="auto"/>
        <w:right w:val="none" w:sz="0" w:space="0" w:color="auto"/>
      </w:divBdr>
    </w:div>
    <w:div w:id="1297645296">
      <w:bodyDiv w:val="1"/>
      <w:marLeft w:val="0"/>
      <w:marRight w:val="0"/>
      <w:marTop w:val="0"/>
      <w:marBottom w:val="0"/>
      <w:divBdr>
        <w:top w:val="none" w:sz="0" w:space="0" w:color="auto"/>
        <w:left w:val="none" w:sz="0" w:space="0" w:color="auto"/>
        <w:bottom w:val="none" w:sz="0" w:space="0" w:color="auto"/>
        <w:right w:val="none" w:sz="0" w:space="0" w:color="auto"/>
      </w:divBdr>
    </w:div>
    <w:div w:id="1298874861">
      <w:bodyDiv w:val="1"/>
      <w:marLeft w:val="0"/>
      <w:marRight w:val="0"/>
      <w:marTop w:val="0"/>
      <w:marBottom w:val="0"/>
      <w:divBdr>
        <w:top w:val="none" w:sz="0" w:space="0" w:color="auto"/>
        <w:left w:val="none" w:sz="0" w:space="0" w:color="auto"/>
        <w:bottom w:val="none" w:sz="0" w:space="0" w:color="auto"/>
        <w:right w:val="none" w:sz="0" w:space="0" w:color="auto"/>
      </w:divBdr>
    </w:div>
    <w:div w:id="1299066327">
      <w:bodyDiv w:val="1"/>
      <w:marLeft w:val="0"/>
      <w:marRight w:val="0"/>
      <w:marTop w:val="0"/>
      <w:marBottom w:val="0"/>
      <w:divBdr>
        <w:top w:val="none" w:sz="0" w:space="0" w:color="auto"/>
        <w:left w:val="none" w:sz="0" w:space="0" w:color="auto"/>
        <w:bottom w:val="none" w:sz="0" w:space="0" w:color="auto"/>
        <w:right w:val="none" w:sz="0" w:space="0" w:color="auto"/>
      </w:divBdr>
    </w:div>
    <w:div w:id="1302154652">
      <w:bodyDiv w:val="1"/>
      <w:marLeft w:val="0"/>
      <w:marRight w:val="0"/>
      <w:marTop w:val="0"/>
      <w:marBottom w:val="0"/>
      <w:divBdr>
        <w:top w:val="none" w:sz="0" w:space="0" w:color="auto"/>
        <w:left w:val="none" w:sz="0" w:space="0" w:color="auto"/>
        <w:bottom w:val="none" w:sz="0" w:space="0" w:color="auto"/>
        <w:right w:val="none" w:sz="0" w:space="0" w:color="auto"/>
      </w:divBdr>
    </w:div>
    <w:div w:id="1303538281">
      <w:bodyDiv w:val="1"/>
      <w:marLeft w:val="0"/>
      <w:marRight w:val="0"/>
      <w:marTop w:val="0"/>
      <w:marBottom w:val="0"/>
      <w:divBdr>
        <w:top w:val="none" w:sz="0" w:space="0" w:color="auto"/>
        <w:left w:val="none" w:sz="0" w:space="0" w:color="auto"/>
        <w:bottom w:val="none" w:sz="0" w:space="0" w:color="auto"/>
        <w:right w:val="none" w:sz="0" w:space="0" w:color="auto"/>
      </w:divBdr>
    </w:div>
    <w:div w:id="1305889520">
      <w:bodyDiv w:val="1"/>
      <w:marLeft w:val="0"/>
      <w:marRight w:val="0"/>
      <w:marTop w:val="0"/>
      <w:marBottom w:val="0"/>
      <w:divBdr>
        <w:top w:val="none" w:sz="0" w:space="0" w:color="auto"/>
        <w:left w:val="none" w:sz="0" w:space="0" w:color="auto"/>
        <w:bottom w:val="none" w:sz="0" w:space="0" w:color="auto"/>
        <w:right w:val="none" w:sz="0" w:space="0" w:color="auto"/>
      </w:divBdr>
    </w:div>
    <w:div w:id="1306354833">
      <w:bodyDiv w:val="1"/>
      <w:marLeft w:val="0"/>
      <w:marRight w:val="0"/>
      <w:marTop w:val="0"/>
      <w:marBottom w:val="0"/>
      <w:divBdr>
        <w:top w:val="none" w:sz="0" w:space="0" w:color="auto"/>
        <w:left w:val="none" w:sz="0" w:space="0" w:color="auto"/>
        <w:bottom w:val="none" w:sz="0" w:space="0" w:color="auto"/>
        <w:right w:val="none" w:sz="0" w:space="0" w:color="auto"/>
      </w:divBdr>
    </w:div>
    <w:div w:id="1307052067">
      <w:bodyDiv w:val="1"/>
      <w:marLeft w:val="0"/>
      <w:marRight w:val="0"/>
      <w:marTop w:val="0"/>
      <w:marBottom w:val="0"/>
      <w:divBdr>
        <w:top w:val="none" w:sz="0" w:space="0" w:color="auto"/>
        <w:left w:val="none" w:sz="0" w:space="0" w:color="auto"/>
        <w:bottom w:val="none" w:sz="0" w:space="0" w:color="auto"/>
        <w:right w:val="none" w:sz="0" w:space="0" w:color="auto"/>
      </w:divBdr>
    </w:div>
    <w:div w:id="1307323331">
      <w:bodyDiv w:val="1"/>
      <w:marLeft w:val="0"/>
      <w:marRight w:val="0"/>
      <w:marTop w:val="0"/>
      <w:marBottom w:val="0"/>
      <w:divBdr>
        <w:top w:val="none" w:sz="0" w:space="0" w:color="auto"/>
        <w:left w:val="none" w:sz="0" w:space="0" w:color="auto"/>
        <w:bottom w:val="none" w:sz="0" w:space="0" w:color="auto"/>
        <w:right w:val="none" w:sz="0" w:space="0" w:color="auto"/>
      </w:divBdr>
    </w:div>
    <w:div w:id="1307779225">
      <w:bodyDiv w:val="1"/>
      <w:marLeft w:val="0"/>
      <w:marRight w:val="0"/>
      <w:marTop w:val="0"/>
      <w:marBottom w:val="0"/>
      <w:divBdr>
        <w:top w:val="none" w:sz="0" w:space="0" w:color="auto"/>
        <w:left w:val="none" w:sz="0" w:space="0" w:color="auto"/>
        <w:bottom w:val="none" w:sz="0" w:space="0" w:color="auto"/>
        <w:right w:val="none" w:sz="0" w:space="0" w:color="auto"/>
      </w:divBdr>
    </w:div>
    <w:div w:id="1307781830">
      <w:bodyDiv w:val="1"/>
      <w:marLeft w:val="0"/>
      <w:marRight w:val="0"/>
      <w:marTop w:val="0"/>
      <w:marBottom w:val="0"/>
      <w:divBdr>
        <w:top w:val="none" w:sz="0" w:space="0" w:color="auto"/>
        <w:left w:val="none" w:sz="0" w:space="0" w:color="auto"/>
        <w:bottom w:val="none" w:sz="0" w:space="0" w:color="auto"/>
        <w:right w:val="none" w:sz="0" w:space="0" w:color="auto"/>
      </w:divBdr>
    </w:div>
    <w:div w:id="1308508147">
      <w:bodyDiv w:val="1"/>
      <w:marLeft w:val="0"/>
      <w:marRight w:val="0"/>
      <w:marTop w:val="0"/>
      <w:marBottom w:val="0"/>
      <w:divBdr>
        <w:top w:val="none" w:sz="0" w:space="0" w:color="auto"/>
        <w:left w:val="none" w:sz="0" w:space="0" w:color="auto"/>
        <w:bottom w:val="none" w:sz="0" w:space="0" w:color="auto"/>
        <w:right w:val="none" w:sz="0" w:space="0" w:color="auto"/>
      </w:divBdr>
    </w:div>
    <w:div w:id="1309018324">
      <w:bodyDiv w:val="1"/>
      <w:marLeft w:val="0"/>
      <w:marRight w:val="0"/>
      <w:marTop w:val="0"/>
      <w:marBottom w:val="0"/>
      <w:divBdr>
        <w:top w:val="none" w:sz="0" w:space="0" w:color="auto"/>
        <w:left w:val="none" w:sz="0" w:space="0" w:color="auto"/>
        <w:bottom w:val="none" w:sz="0" w:space="0" w:color="auto"/>
        <w:right w:val="none" w:sz="0" w:space="0" w:color="auto"/>
      </w:divBdr>
    </w:div>
    <w:div w:id="1309171736">
      <w:bodyDiv w:val="1"/>
      <w:marLeft w:val="0"/>
      <w:marRight w:val="0"/>
      <w:marTop w:val="0"/>
      <w:marBottom w:val="0"/>
      <w:divBdr>
        <w:top w:val="none" w:sz="0" w:space="0" w:color="auto"/>
        <w:left w:val="none" w:sz="0" w:space="0" w:color="auto"/>
        <w:bottom w:val="none" w:sz="0" w:space="0" w:color="auto"/>
        <w:right w:val="none" w:sz="0" w:space="0" w:color="auto"/>
      </w:divBdr>
    </w:div>
    <w:div w:id="1309633299">
      <w:bodyDiv w:val="1"/>
      <w:marLeft w:val="0"/>
      <w:marRight w:val="0"/>
      <w:marTop w:val="0"/>
      <w:marBottom w:val="0"/>
      <w:divBdr>
        <w:top w:val="none" w:sz="0" w:space="0" w:color="auto"/>
        <w:left w:val="none" w:sz="0" w:space="0" w:color="auto"/>
        <w:bottom w:val="none" w:sz="0" w:space="0" w:color="auto"/>
        <w:right w:val="none" w:sz="0" w:space="0" w:color="auto"/>
      </w:divBdr>
    </w:div>
    <w:div w:id="1309748016">
      <w:bodyDiv w:val="1"/>
      <w:marLeft w:val="0"/>
      <w:marRight w:val="0"/>
      <w:marTop w:val="0"/>
      <w:marBottom w:val="0"/>
      <w:divBdr>
        <w:top w:val="none" w:sz="0" w:space="0" w:color="auto"/>
        <w:left w:val="none" w:sz="0" w:space="0" w:color="auto"/>
        <w:bottom w:val="none" w:sz="0" w:space="0" w:color="auto"/>
        <w:right w:val="none" w:sz="0" w:space="0" w:color="auto"/>
      </w:divBdr>
    </w:div>
    <w:div w:id="1309899352">
      <w:bodyDiv w:val="1"/>
      <w:marLeft w:val="0"/>
      <w:marRight w:val="0"/>
      <w:marTop w:val="0"/>
      <w:marBottom w:val="0"/>
      <w:divBdr>
        <w:top w:val="none" w:sz="0" w:space="0" w:color="auto"/>
        <w:left w:val="none" w:sz="0" w:space="0" w:color="auto"/>
        <w:bottom w:val="none" w:sz="0" w:space="0" w:color="auto"/>
        <w:right w:val="none" w:sz="0" w:space="0" w:color="auto"/>
      </w:divBdr>
    </w:div>
    <w:div w:id="1310210386">
      <w:bodyDiv w:val="1"/>
      <w:marLeft w:val="0"/>
      <w:marRight w:val="0"/>
      <w:marTop w:val="0"/>
      <w:marBottom w:val="0"/>
      <w:divBdr>
        <w:top w:val="none" w:sz="0" w:space="0" w:color="auto"/>
        <w:left w:val="none" w:sz="0" w:space="0" w:color="auto"/>
        <w:bottom w:val="none" w:sz="0" w:space="0" w:color="auto"/>
        <w:right w:val="none" w:sz="0" w:space="0" w:color="auto"/>
      </w:divBdr>
    </w:div>
    <w:div w:id="1310402474">
      <w:bodyDiv w:val="1"/>
      <w:marLeft w:val="0"/>
      <w:marRight w:val="0"/>
      <w:marTop w:val="0"/>
      <w:marBottom w:val="0"/>
      <w:divBdr>
        <w:top w:val="none" w:sz="0" w:space="0" w:color="auto"/>
        <w:left w:val="none" w:sz="0" w:space="0" w:color="auto"/>
        <w:bottom w:val="none" w:sz="0" w:space="0" w:color="auto"/>
        <w:right w:val="none" w:sz="0" w:space="0" w:color="auto"/>
      </w:divBdr>
    </w:div>
    <w:div w:id="1310817205">
      <w:bodyDiv w:val="1"/>
      <w:marLeft w:val="0"/>
      <w:marRight w:val="0"/>
      <w:marTop w:val="0"/>
      <w:marBottom w:val="0"/>
      <w:divBdr>
        <w:top w:val="none" w:sz="0" w:space="0" w:color="auto"/>
        <w:left w:val="none" w:sz="0" w:space="0" w:color="auto"/>
        <w:bottom w:val="none" w:sz="0" w:space="0" w:color="auto"/>
        <w:right w:val="none" w:sz="0" w:space="0" w:color="auto"/>
      </w:divBdr>
    </w:div>
    <w:div w:id="1311128783">
      <w:bodyDiv w:val="1"/>
      <w:marLeft w:val="0"/>
      <w:marRight w:val="0"/>
      <w:marTop w:val="0"/>
      <w:marBottom w:val="0"/>
      <w:divBdr>
        <w:top w:val="none" w:sz="0" w:space="0" w:color="auto"/>
        <w:left w:val="none" w:sz="0" w:space="0" w:color="auto"/>
        <w:bottom w:val="none" w:sz="0" w:space="0" w:color="auto"/>
        <w:right w:val="none" w:sz="0" w:space="0" w:color="auto"/>
      </w:divBdr>
    </w:div>
    <w:div w:id="1311448087">
      <w:bodyDiv w:val="1"/>
      <w:marLeft w:val="0"/>
      <w:marRight w:val="0"/>
      <w:marTop w:val="0"/>
      <w:marBottom w:val="0"/>
      <w:divBdr>
        <w:top w:val="none" w:sz="0" w:space="0" w:color="auto"/>
        <w:left w:val="none" w:sz="0" w:space="0" w:color="auto"/>
        <w:bottom w:val="none" w:sz="0" w:space="0" w:color="auto"/>
        <w:right w:val="none" w:sz="0" w:space="0" w:color="auto"/>
      </w:divBdr>
    </w:div>
    <w:div w:id="1312366047">
      <w:bodyDiv w:val="1"/>
      <w:marLeft w:val="0"/>
      <w:marRight w:val="0"/>
      <w:marTop w:val="0"/>
      <w:marBottom w:val="0"/>
      <w:divBdr>
        <w:top w:val="none" w:sz="0" w:space="0" w:color="auto"/>
        <w:left w:val="none" w:sz="0" w:space="0" w:color="auto"/>
        <w:bottom w:val="none" w:sz="0" w:space="0" w:color="auto"/>
        <w:right w:val="none" w:sz="0" w:space="0" w:color="auto"/>
      </w:divBdr>
    </w:div>
    <w:div w:id="1312438881">
      <w:bodyDiv w:val="1"/>
      <w:marLeft w:val="0"/>
      <w:marRight w:val="0"/>
      <w:marTop w:val="0"/>
      <w:marBottom w:val="0"/>
      <w:divBdr>
        <w:top w:val="none" w:sz="0" w:space="0" w:color="auto"/>
        <w:left w:val="none" w:sz="0" w:space="0" w:color="auto"/>
        <w:bottom w:val="none" w:sz="0" w:space="0" w:color="auto"/>
        <w:right w:val="none" w:sz="0" w:space="0" w:color="auto"/>
      </w:divBdr>
    </w:div>
    <w:div w:id="1312707827">
      <w:bodyDiv w:val="1"/>
      <w:marLeft w:val="0"/>
      <w:marRight w:val="0"/>
      <w:marTop w:val="0"/>
      <w:marBottom w:val="0"/>
      <w:divBdr>
        <w:top w:val="none" w:sz="0" w:space="0" w:color="auto"/>
        <w:left w:val="none" w:sz="0" w:space="0" w:color="auto"/>
        <w:bottom w:val="none" w:sz="0" w:space="0" w:color="auto"/>
        <w:right w:val="none" w:sz="0" w:space="0" w:color="auto"/>
      </w:divBdr>
    </w:div>
    <w:div w:id="1312757681">
      <w:bodyDiv w:val="1"/>
      <w:marLeft w:val="0"/>
      <w:marRight w:val="0"/>
      <w:marTop w:val="0"/>
      <w:marBottom w:val="0"/>
      <w:divBdr>
        <w:top w:val="none" w:sz="0" w:space="0" w:color="auto"/>
        <w:left w:val="none" w:sz="0" w:space="0" w:color="auto"/>
        <w:bottom w:val="none" w:sz="0" w:space="0" w:color="auto"/>
        <w:right w:val="none" w:sz="0" w:space="0" w:color="auto"/>
      </w:divBdr>
    </w:div>
    <w:div w:id="1313408840">
      <w:bodyDiv w:val="1"/>
      <w:marLeft w:val="0"/>
      <w:marRight w:val="0"/>
      <w:marTop w:val="0"/>
      <w:marBottom w:val="0"/>
      <w:divBdr>
        <w:top w:val="none" w:sz="0" w:space="0" w:color="auto"/>
        <w:left w:val="none" w:sz="0" w:space="0" w:color="auto"/>
        <w:bottom w:val="none" w:sz="0" w:space="0" w:color="auto"/>
        <w:right w:val="none" w:sz="0" w:space="0" w:color="auto"/>
      </w:divBdr>
    </w:div>
    <w:div w:id="1314329133">
      <w:bodyDiv w:val="1"/>
      <w:marLeft w:val="0"/>
      <w:marRight w:val="0"/>
      <w:marTop w:val="0"/>
      <w:marBottom w:val="0"/>
      <w:divBdr>
        <w:top w:val="none" w:sz="0" w:space="0" w:color="auto"/>
        <w:left w:val="none" w:sz="0" w:space="0" w:color="auto"/>
        <w:bottom w:val="none" w:sz="0" w:space="0" w:color="auto"/>
        <w:right w:val="none" w:sz="0" w:space="0" w:color="auto"/>
      </w:divBdr>
    </w:div>
    <w:div w:id="1314941808">
      <w:bodyDiv w:val="1"/>
      <w:marLeft w:val="0"/>
      <w:marRight w:val="0"/>
      <w:marTop w:val="0"/>
      <w:marBottom w:val="0"/>
      <w:divBdr>
        <w:top w:val="none" w:sz="0" w:space="0" w:color="auto"/>
        <w:left w:val="none" w:sz="0" w:space="0" w:color="auto"/>
        <w:bottom w:val="none" w:sz="0" w:space="0" w:color="auto"/>
        <w:right w:val="none" w:sz="0" w:space="0" w:color="auto"/>
      </w:divBdr>
    </w:div>
    <w:div w:id="1319261746">
      <w:bodyDiv w:val="1"/>
      <w:marLeft w:val="0"/>
      <w:marRight w:val="0"/>
      <w:marTop w:val="0"/>
      <w:marBottom w:val="0"/>
      <w:divBdr>
        <w:top w:val="none" w:sz="0" w:space="0" w:color="auto"/>
        <w:left w:val="none" w:sz="0" w:space="0" w:color="auto"/>
        <w:bottom w:val="none" w:sz="0" w:space="0" w:color="auto"/>
        <w:right w:val="none" w:sz="0" w:space="0" w:color="auto"/>
      </w:divBdr>
    </w:div>
    <w:div w:id="1320960269">
      <w:bodyDiv w:val="1"/>
      <w:marLeft w:val="0"/>
      <w:marRight w:val="0"/>
      <w:marTop w:val="0"/>
      <w:marBottom w:val="0"/>
      <w:divBdr>
        <w:top w:val="none" w:sz="0" w:space="0" w:color="auto"/>
        <w:left w:val="none" w:sz="0" w:space="0" w:color="auto"/>
        <w:bottom w:val="none" w:sz="0" w:space="0" w:color="auto"/>
        <w:right w:val="none" w:sz="0" w:space="0" w:color="auto"/>
      </w:divBdr>
    </w:div>
    <w:div w:id="1321471171">
      <w:bodyDiv w:val="1"/>
      <w:marLeft w:val="0"/>
      <w:marRight w:val="0"/>
      <w:marTop w:val="0"/>
      <w:marBottom w:val="0"/>
      <w:divBdr>
        <w:top w:val="none" w:sz="0" w:space="0" w:color="auto"/>
        <w:left w:val="none" w:sz="0" w:space="0" w:color="auto"/>
        <w:bottom w:val="none" w:sz="0" w:space="0" w:color="auto"/>
        <w:right w:val="none" w:sz="0" w:space="0" w:color="auto"/>
      </w:divBdr>
    </w:div>
    <w:div w:id="1321739104">
      <w:bodyDiv w:val="1"/>
      <w:marLeft w:val="0"/>
      <w:marRight w:val="0"/>
      <w:marTop w:val="0"/>
      <w:marBottom w:val="0"/>
      <w:divBdr>
        <w:top w:val="none" w:sz="0" w:space="0" w:color="auto"/>
        <w:left w:val="none" w:sz="0" w:space="0" w:color="auto"/>
        <w:bottom w:val="none" w:sz="0" w:space="0" w:color="auto"/>
        <w:right w:val="none" w:sz="0" w:space="0" w:color="auto"/>
      </w:divBdr>
    </w:div>
    <w:div w:id="1322002004">
      <w:bodyDiv w:val="1"/>
      <w:marLeft w:val="0"/>
      <w:marRight w:val="0"/>
      <w:marTop w:val="0"/>
      <w:marBottom w:val="0"/>
      <w:divBdr>
        <w:top w:val="none" w:sz="0" w:space="0" w:color="auto"/>
        <w:left w:val="none" w:sz="0" w:space="0" w:color="auto"/>
        <w:bottom w:val="none" w:sz="0" w:space="0" w:color="auto"/>
        <w:right w:val="none" w:sz="0" w:space="0" w:color="auto"/>
      </w:divBdr>
    </w:div>
    <w:div w:id="1322998820">
      <w:bodyDiv w:val="1"/>
      <w:marLeft w:val="0"/>
      <w:marRight w:val="0"/>
      <w:marTop w:val="0"/>
      <w:marBottom w:val="0"/>
      <w:divBdr>
        <w:top w:val="none" w:sz="0" w:space="0" w:color="auto"/>
        <w:left w:val="none" w:sz="0" w:space="0" w:color="auto"/>
        <w:bottom w:val="none" w:sz="0" w:space="0" w:color="auto"/>
        <w:right w:val="none" w:sz="0" w:space="0" w:color="auto"/>
      </w:divBdr>
    </w:div>
    <w:div w:id="1323463026">
      <w:bodyDiv w:val="1"/>
      <w:marLeft w:val="0"/>
      <w:marRight w:val="0"/>
      <w:marTop w:val="0"/>
      <w:marBottom w:val="0"/>
      <w:divBdr>
        <w:top w:val="none" w:sz="0" w:space="0" w:color="auto"/>
        <w:left w:val="none" w:sz="0" w:space="0" w:color="auto"/>
        <w:bottom w:val="none" w:sz="0" w:space="0" w:color="auto"/>
        <w:right w:val="none" w:sz="0" w:space="0" w:color="auto"/>
      </w:divBdr>
    </w:div>
    <w:div w:id="1324553053">
      <w:bodyDiv w:val="1"/>
      <w:marLeft w:val="0"/>
      <w:marRight w:val="0"/>
      <w:marTop w:val="0"/>
      <w:marBottom w:val="0"/>
      <w:divBdr>
        <w:top w:val="none" w:sz="0" w:space="0" w:color="auto"/>
        <w:left w:val="none" w:sz="0" w:space="0" w:color="auto"/>
        <w:bottom w:val="none" w:sz="0" w:space="0" w:color="auto"/>
        <w:right w:val="none" w:sz="0" w:space="0" w:color="auto"/>
      </w:divBdr>
    </w:div>
    <w:div w:id="1324580251">
      <w:bodyDiv w:val="1"/>
      <w:marLeft w:val="0"/>
      <w:marRight w:val="0"/>
      <w:marTop w:val="0"/>
      <w:marBottom w:val="0"/>
      <w:divBdr>
        <w:top w:val="none" w:sz="0" w:space="0" w:color="auto"/>
        <w:left w:val="none" w:sz="0" w:space="0" w:color="auto"/>
        <w:bottom w:val="none" w:sz="0" w:space="0" w:color="auto"/>
        <w:right w:val="none" w:sz="0" w:space="0" w:color="auto"/>
      </w:divBdr>
    </w:div>
    <w:div w:id="1325863403">
      <w:bodyDiv w:val="1"/>
      <w:marLeft w:val="0"/>
      <w:marRight w:val="0"/>
      <w:marTop w:val="0"/>
      <w:marBottom w:val="0"/>
      <w:divBdr>
        <w:top w:val="none" w:sz="0" w:space="0" w:color="auto"/>
        <w:left w:val="none" w:sz="0" w:space="0" w:color="auto"/>
        <w:bottom w:val="none" w:sz="0" w:space="0" w:color="auto"/>
        <w:right w:val="none" w:sz="0" w:space="0" w:color="auto"/>
      </w:divBdr>
    </w:div>
    <w:div w:id="1327317294">
      <w:bodyDiv w:val="1"/>
      <w:marLeft w:val="0"/>
      <w:marRight w:val="0"/>
      <w:marTop w:val="0"/>
      <w:marBottom w:val="0"/>
      <w:divBdr>
        <w:top w:val="none" w:sz="0" w:space="0" w:color="auto"/>
        <w:left w:val="none" w:sz="0" w:space="0" w:color="auto"/>
        <w:bottom w:val="none" w:sz="0" w:space="0" w:color="auto"/>
        <w:right w:val="none" w:sz="0" w:space="0" w:color="auto"/>
      </w:divBdr>
    </w:div>
    <w:div w:id="1327783609">
      <w:bodyDiv w:val="1"/>
      <w:marLeft w:val="0"/>
      <w:marRight w:val="0"/>
      <w:marTop w:val="0"/>
      <w:marBottom w:val="0"/>
      <w:divBdr>
        <w:top w:val="none" w:sz="0" w:space="0" w:color="auto"/>
        <w:left w:val="none" w:sz="0" w:space="0" w:color="auto"/>
        <w:bottom w:val="none" w:sz="0" w:space="0" w:color="auto"/>
        <w:right w:val="none" w:sz="0" w:space="0" w:color="auto"/>
      </w:divBdr>
    </w:div>
    <w:div w:id="1329866889">
      <w:bodyDiv w:val="1"/>
      <w:marLeft w:val="0"/>
      <w:marRight w:val="0"/>
      <w:marTop w:val="0"/>
      <w:marBottom w:val="0"/>
      <w:divBdr>
        <w:top w:val="none" w:sz="0" w:space="0" w:color="auto"/>
        <w:left w:val="none" w:sz="0" w:space="0" w:color="auto"/>
        <w:bottom w:val="none" w:sz="0" w:space="0" w:color="auto"/>
        <w:right w:val="none" w:sz="0" w:space="0" w:color="auto"/>
      </w:divBdr>
    </w:div>
    <w:div w:id="1330715949">
      <w:bodyDiv w:val="1"/>
      <w:marLeft w:val="0"/>
      <w:marRight w:val="0"/>
      <w:marTop w:val="0"/>
      <w:marBottom w:val="0"/>
      <w:divBdr>
        <w:top w:val="none" w:sz="0" w:space="0" w:color="auto"/>
        <w:left w:val="none" w:sz="0" w:space="0" w:color="auto"/>
        <w:bottom w:val="none" w:sz="0" w:space="0" w:color="auto"/>
        <w:right w:val="none" w:sz="0" w:space="0" w:color="auto"/>
      </w:divBdr>
    </w:div>
    <w:div w:id="1331905911">
      <w:bodyDiv w:val="1"/>
      <w:marLeft w:val="0"/>
      <w:marRight w:val="0"/>
      <w:marTop w:val="0"/>
      <w:marBottom w:val="0"/>
      <w:divBdr>
        <w:top w:val="none" w:sz="0" w:space="0" w:color="auto"/>
        <w:left w:val="none" w:sz="0" w:space="0" w:color="auto"/>
        <w:bottom w:val="none" w:sz="0" w:space="0" w:color="auto"/>
        <w:right w:val="none" w:sz="0" w:space="0" w:color="auto"/>
      </w:divBdr>
    </w:div>
    <w:div w:id="1332682410">
      <w:bodyDiv w:val="1"/>
      <w:marLeft w:val="0"/>
      <w:marRight w:val="0"/>
      <w:marTop w:val="0"/>
      <w:marBottom w:val="0"/>
      <w:divBdr>
        <w:top w:val="none" w:sz="0" w:space="0" w:color="auto"/>
        <w:left w:val="none" w:sz="0" w:space="0" w:color="auto"/>
        <w:bottom w:val="none" w:sz="0" w:space="0" w:color="auto"/>
        <w:right w:val="none" w:sz="0" w:space="0" w:color="auto"/>
      </w:divBdr>
    </w:div>
    <w:div w:id="1333022452">
      <w:bodyDiv w:val="1"/>
      <w:marLeft w:val="0"/>
      <w:marRight w:val="0"/>
      <w:marTop w:val="0"/>
      <w:marBottom w:val="0"/>
      <w:divBdr>
        <w:top w:val="none" w:sz="0" w:space="0" w:color="auto"/>
        <w:left w:val="none" w:sz="0" w:space="0" w:color="auto"/>
        <w:bottom w:val="none" w:sz="0" w:space="0" w:color="auto"/>
        <w:right w:val="none" w:sz="0" w:space="0" w:color="auto"/>
      </w:divBdr>
    </w:div>
    <w:div w:id="1333415983">
      <w:bodyDiv w:val="1"/>
      <w:marLeft w:val="0"/>
      <w:marRight w:val="0"/>
      <w:marTop w:val="0"/>
      <w:marBottom w:val="0"/>
      <w:divBdr>
        <w:top w:val="none" w:sz="0" w:space="0" w:color="auto"/>
        <w:left w:val="none" w:sz="0" w:space="0" w:color="auto"/>
        <w:bottom w:val="none" w:sz="0" w:space="0" w:color="auto"/>
        <w:right w:val="none" w:sz="0" w:space="0" w:color="auto"/>
      </w:divBdr>
    </w:div>
    <w:div w:id="1333529285">
      <w:bodyDiv w:val="1"/>
      <w:marLeft w:val="0"/>
      <w:marRight w:val="0"/>
      <w:marTop w:val="0"/>
      <w:marBottom w:val="0"/>
      <w:divBdr>
        <w:top w:val="none" w:sz="0" w:space="0" w:color="auto"/>
        <w:left w:val="none" w:sz="0" w:space="0" w:color="auto"/>
        <w:bottom w:val="none" w:sz="0" w:space="0" w:color="auto"/>
        <w:right w:val="none" w:sz="0" w:space="0" w:color="auto"/>
      </w:divBdr>
    </w:div>
    <w:div w:id="1334062925">
      <w:bodyDiv w:val="1"/>
      <w:marLeft w:val="0"/>
      <w:marRight w:val="0"/>
      <w:marTop w:val="0"/>
      <w:marBottom w:val="0"/>
      <w:divBdr>
        <w:top w:val="none" w:sz="0" w:space="0" w:color="auto"/>
        <w:left w:val="none" w:sz="0" w:space="0" w:color="auto"/>
        <w:bottom w:val="none" w:sz="0" w:space="0" w:color="auto"/>
        <w:right w:val="none" w:sz="0" w:space="0" w:color="auto"/>
      </w:divBdr>
    </w:div>
    <w:div w:id="1334332994">
      <w:bodyDiv w:val="1"/>
      <w:marLeft w:val="0"/>
      <w:marRight w:val="0"/>
      <w:marTop w:val="0"/>
      <w:marBottom w:val="0"/>
      <w:divBdr>
        <w:top w:val="none" w:sz="0" w:space="0" w:color="auto"/>
        <w:left w:val="none" w:sz="0" w:space="0" w:color="auto"/>
        <w:bottom w:val="none" w:sz="0" w:space="0" w:color="auto"/>
        <w:right w:val="none" w:sz="0" w:space="0" w:color="auto"/>
      </w:divBdr>
    </w:div>
    <w:div w:id="1335034487">
      <w:bodyDiv w:val="1"/>
      <w:marLeft w:val="0"/>
      <w:marRight w:val="0"/>
      <w:marTop w:val="0"/>
      <w:marBottom w:val="0"/>
      <w:divBdr>
        <w:top w:val="none" w:sz="0" w:space="0" w:color="auto"/>
        <w:left w:val="none" w:sz="0" w:space="0" w:color="auto"/>
        <w:bottom w:val="none" w:sz="0" w:space="0" w:color="auto"/>
        <w:right w:val="none" w:sz="0" w:space="0" w:color="auto"/>
      </w:divBdr>
    </w:div>
    <w:div w:id="1336303685">
      <w:bodyDiv w:val="1"/>
      <w:marLeft w:val="0"/>
      <w:marRight w:val="0"/>
      <w:marTop w:val="0"/>
      <w:marBottom w:val="0"/>
      <w:divBdr>
        <w:top w:val="none" w:sz="0" w:space="0" w:color="auto"/>
        <w:left w:val="none" w:sz="0" w:space="0" w:color="auto"/>
        <w:bottom w:val="none" w:sz="0" w:space="0" w:color="auto"/>
        <w:right w:val="none" w:sz="0" w:space="0" w:color="auto"/>
      </w:divBdr>
    </w:div>
    <w:div w:id="1336376797">
      <w:bodyDiv w:val="1"/>
      <w:marLeft w:val="0"/>
      <w:marRight w:val="0"/>
      <w:marTop w:val="0"/>
      <w:marBottom w:val="0"/>
      <w:divBdr>
        <w:top w:val="none" w:sz="0" w:space="0" w:color="auto"/>
        <w:left w:val="none" w:sz="0" w:space="0" w:color="auto"/>
        <w:bottom w:val="none" w:sz="0" w:space="0" w:color="auto"/>
        <w:right w:val="none" w:sz="0" w:space="0" w:color="auto"/>
      </w:divBdr>
    </w:div>
    <w:div w:id="1337348447">
      <w:bodyDiv w:val="1"/>
      <w:marLeft w:val="0"/>
      <w:marRight w:val="0"/>
      <w:marTop w:val="0"/>
      <w:marBottom w:val="0"/>
      <w:divBdr>
        <w:top w:val="none" w:sz="0" w:space="0" w:color="auto"/>
        <w:left w:val="none" w:sz="0" w:space="0" w:color="auto"/>
        <w:bottom w:val="none" w:sz="0" w:space="0" w:color="auto"/>
        <w:right w:val="none" w:sz="0" w:space="0" w:color="auto"/>
      </w:divBdr>
    </w:div>
    <w:div w:id="1338078109">
      <w:bodyDiv w:val="1"/>
      <w:marLeft w:val="0"/>
      <w:marRight w:val="0"/>
      <w:marTop w:val="0"/>
      <w:marBottom w:val="0"/>
      <w:divBdr>
        <w:top w:val="none" w:sz="0" w:space="0" w:color="auto"/>
        <w:left w:val="none" w:sz="0" w:space="0" w:color="auto"/>
        <w:bottom w:val="none" w:sz="0" w:space="0" w:color="auto"/>
        <w:right w:val="none" w:sz="0" w:space="0" w:color="auto"/>
      </w:divBdr>
    </w:div>
    <w:div w:id="1338382076">
      <w:bodyDiv w:val="1"/>
      <w:marLeft w:val="0"/>
      <w:marRight w:val="0"/>
      <w:marTop w:val="0"/>
      <w:marBottom w:val="0"/>
      <w:divBdr>
        <w:top w:val="none" w:sz="0" w:space="0" w:color="auto"/>
        <w:left w:val="none" w:sz="0" w:space="0" w:color="auto"/>
        <w:bottom w:val="none" w:sz="0" w:space="0" w:color="auto"/>
        <w:right w:val="none" w:sz="0" w:space="0" w:color="auto"/>
      </w:divBdr>
    </w:div>
    <w:div w:id="1338387562">
      <w:bodyDiv w:val="1"/>
      <w:marLeft w:val="0"/>
      <w:marRight w:val="0"/>
      <w:marTop w:val="0"/>
      <w:marBottom w:val="0"/>
      <w:divBdr>
        <w:top w:val="none" w:sz="0" w:space="0" w:color="auto"/>
        <w:left w:val="none" w:sz="0" w:space="0" w:color="auto"/>
        <w:bottom w:val="none" w:sz="0" w:space="0" w:color="auto"/>
        <w:right w:val="none" w:sz="0" w:space="0" w:color="auto"/>
      </w:divBdr>
    </w:div>
    <w:div w:id="1340041628">
      <w:bodyDiv w:val="1"/>
      <w:marLeft w:val="0"/>
      <w:marRight w:val="0"/>
      <w:marTop w:val="0"/>
      <w:marBottom w:val="0"/>
      <w:divBdr>
        <w:top w:val="none" w:sz="0" w:space="0" w:color="auto"/>
        <w:left w:val="none" w:sz="0" w:space="0" w:color="auto"/>
        <w:bottom w:val="none" w:sz="0" w:space="0" w:color="auto"/>
        <w:right w:val="none" w:sz="0" w:space="0" w:color="auto"/>
      </w:divBdr>
    </w:div>
    <w:div w:id="1340279938">
      <w:bodyDiv w:val="1"/>
      <w:marLeft w:val="0"/>
      <w:marRight w:val="0"/>
      <w:marTop w:val="0"/>
      <w:marBottom w:val="0"/>
      <w:divBdr>
        <w:top w:val="none" w:sz="0" w:space="0" w:color="auto"/>
        <w:left w:val="none" w:sz="0" w:space="0" w:color="auto"/>
        <w:bottom w:val="none" w:sz="0" w:space="0" w:color="auto"/>
        <w:right w:val="none" w:sz="0" w:space="0" w:color="auto"/>
      </w:divBdr>
    </w:div>
    <w:div w:id="1340696166">
      <w:bodyDiv w:val="1"/>
      <w:marLeft w:val="0"/>
      <w:marRight w:val="0"/>
      <w:marTop w:val="0"/>
      <w:marBottom w:val="0"/>
      <w:divBdr>
        <w:top w:val="none" w:sz="0" w:space="0" w:color="auto"/>
        <w:left w:val="none" w:sz="0" w:space="0" w:color="auto"/>
        <w:bottom w:val="none" w:sz="0" w:space="0" w:color="auto"/>
        <w:right w:val="none" w:sz="0" w:space="0" w:color="auto"/>
      </w:divBdr>
    </w:div>
    <w:div w:id="1341152901">
      <w:bodyDiv w:val="1"/>
      <w:marLeft w:val="0"/>
      <w:marRight w:val="0"/>
      <w:marTop w:val="0"/>
      <w:marBottom w:val="0"/>
      <w:divBdr>
        <w:top w:val="none" w:sz="0" w:space="0" w:color="auto"/>
        <w:left w:val="none" w:sz="0" w:space="0" w:color="auto"/>
        <w:bottom w:val="none" w:sz="0" w:space="0" w:color="auto"/>
        <w:right w:val="none" w:sz="0" w:space="0" w:color="auto"/>
      </w:divBdr>
    </w:div>
    <w:div w:id="1341616114">
      <w:bodyDiv w:val="1"/>
      <w:marLeft w:val="0"/>
      <w:marRight w:val="0"/>
      <w:marTop w:val="0"/>
      <w:marBottom w:val="0"/>
      <w:divBdr>
        <w:top w:val="none" w:sz="0" w:space="0" w:color="auto"/>
        <w:left w:val="none" w:sz="0" w:space="0" w:color="auto"/>
        <w:bottom w:val="none" w:sz="0" w:space="0" w:color="auto"/>
        <w:right w:val="none" w:sz="0" w:space="0" w:color="auto"/>
      </w:divBdr>
    </w:div>
    <w:div w:id="1342582080">
      <w:bodyDiv w:val="1"/>
      <w:marLeft w:val="0"/>
      <w:marRight w:val="0"/>
      <w:marTop w:val="0"/>
      <w:marBottom w:val="0"/>
      <w:divBdr>
        <w:top w:val="none" w:sz="0" w:space="0" w:color="auto"/>
        <w:left w:val="none" w:sz="0" w:space="0" w:color="auto"/>
        <w:bottom w:val="none" w:sz="0" w:space="0" w:color="auto"/>
        <w:right w:val="none" w:sz="0" w:space="0" w:color="auto"/>
      </w:divBdr>
    </w:div>
    <w:div w:id="1342970959">
      <w:bodyDiv w:val="1"/>
      <w:marLeft w:val="0"/>
      <w:marRight w:val="0"/>
      <w:marTop w:val="0"/>
      <w:marBottom w:val="0"/>
      <w:divBdr>
        <w:top w:val="none" w:sz="0" w:space="0" w:color="auto"/>
        <w:left w:val="none" w:sz="0" w:space="0" w:color="auto"/>
        <w:bottom w:val="none" w:sz="0" w:space="0" w:color="auto"/>
        <w:right w:val="none" w:sz="0" w:space="0" w:color="auto"/>
      </w:divBdr>
    </w:div>
    <w:div w:id="1343631822">
      <w:bodyDiv w:val="1"/>
      <w:marLeft w:val="0"/>
      <w:marRight w:val="0"/>
      <w:marTop w:val="0"/>
      <w:marBottom w:val="0"/>
      <w:divBdr>
        <w:top w:val="none" w:sz="0" w:space="0" w:color="auto"/>
        <w:left w:val="none" w:sz="0" w:space="0" w:color="auto"/>
        <w:bottom w:val="none" w:sz="0" w:space="0" w:color="auto"/>
        <w:right w:val="none" w:sz="0" w:space="0" w:color="auto"/>
      </w:divBdr>
    </w:div>
    <w:div w:id="1343820034">
      <w:bodyDiv w:val="1"/>
      <w:marLeft w:val="0"/>
      <w:marRight w:val="0"/>
      <w:marTop w:val="0"/>
      <w:marBottom w:val="0"/>
      <w:divBdr>
        <w:top w:val="none" w:sz="0" w:space="0" w:color="auto"/>
        <w:left w:val="none" w:sz="0" w:space="0" w:color="auto"/>
        <w:bottom w:val="none" w:sz="0" w:space="0" w:color="auto"/>
        <w:right w:val="none" w:sz="0" w:space="0" w:color="auto"/>
      </w:divBdr>
    </w:div>
    <w:div w:id="1343892271">
      <w:bodyDiv w:val="1"/>
      <w:marLeft w:val="0"/>
      <w:marRight w:val="0"/>
      <w:marTop w:val="0"/>
      <w:marBottom w:val="0"/>
      <w:divBdr>
        <w:top w:val="none" w:sz="0" w:space="0" w:color="auto"/>
        <w:left w:val="none" w:sz="0" w:space="0" w:color="auto"/>
        <w:bottom w:val="none" w:sz="0" w:space="0" w:color="auto"/>
        <w:right w:val="none" w:sz="0" w:space="0" w:color="auto"/>
      </w:divBdr>
    </w:div>
    <w:div w:id="1343971082">
      <w:bodyDiv w:val="1"/>
      <w:marLeft w:val="0"/>
      <w:marRight w:val="0"/>
      <w:marTop w:val="0"/>
      <w:marBottom w:val="0"/>
      <w:divBdr>
        <w:top w:val="none" w:sz="0" w:space="0" w:color="auto"/>
        <w:left w:val="none" w:sz="0" w:space="0" w:color="auto"/>
        <w:bottom w:val="none" w:sz="0" w:space="0" w:color="auto"/>
        <w:right w:val="none" w:sz="0" w:space="0" w:color="auto"/>
      </w:divBdr>
    </w:div>
    <w:div w:id="1348293506">
      <w:bodyDiv w:val="1"/>
      <w:marLeft w:val="0"/>
      <w:marRight w:val="0"/>
      <w:marTop w:val="0"/>
      <w:marBottom w:val="0"/>
      <w:divBdr>
        <w:top w:val="none" w:sz="0" w:space="0" w:color="auto"/>
        <w:left w:val="none" w:sz="0" w:space="0" w:color="auto"/>
        <w:bottom w:val="none" w:sz="0" w:space="0" w:color="auto"/>
        <w:right w:val="none" w:sz="0" w:space="0" w:color="auto"/>
      </w:divBdr>
    </w:div>
    <w:div w:id="1349138315">
      <w:bodyDiv w:val="1"/>
      <w:marLeft w:val="0"/>
      <w:marRight w:val="0"/>
      <w:marTop w:val="0"/>
      <w:marBottom w:val="0"/>
      <w:divBdr>
        <w:top w:val="none" w:sz="0" w:space="0" w:color="auto"/>
        <w:left w:val="none" w:sz="0" w:space="0" w:color="auto"/>
        <w:bottom w:val="none" w:sz="0" w:space="0" w:color="auto"/>
        <w:right w:val="none" w:sz="0" w:space="0" w:color="auto"/>
      </w:divBdr>
    </w:div>
    <w:div w:id="1349454717">
      <w:bodyDiv w:val="1"/>
      <w:marLeft w:val="0"/>
      <w:marRight w:val="0"/>
      <w:marTop w:val="0"/>
      <w:marBottom w:val="0"/>
      <w:divBdr>
        <w:top w:val="none" w:sz="0" w:space="0" w:color="auto"/>
        <w:left w:val="none" w:sz="0" w:space="0" w:color="auto"/>
        <w:bottom w:val="none" w:sz="0" w:space="0" w:color="auto"/>
        <w:right w:val="none" w:sz="0" w:space="0" w:color="auto"/>
      </w:divBdr>
    </w:div>
    <w:div w:id="1349678186">
      <w:bodyDiv w:val="1"/>
      <w:marLeft w:val="0"/>
      <w:marRight w:val="0"/>
      <w:marTop w:val="0"/>
      <w:marBottom w:val="0"/>
      <w:divBdr>
        <w:top w:val="none" w:sz="0" w:space="0" w:color="auto"/>
        <w:left w:val="none" w:sz="0" w:space="0" w:color="auto"/>
        <w:bottom w:val="none" w:sz="0" w:space="0" w:color="auto"/>
        <w:right w:val="none" w:sz="0" w:space="0" w:color="auto"/>
      </w:divBdr>
    </w:div>
    <w:div w:id="1350060482">
      <w:bodyDiv w:val="1"/>
      <w:marLeft w:val="0"/>
      <w:marRight w:val="0"/>
      <w:marTop w:val="0"/>
      <w:marBottom w:val="0"/>
      <w:divBdr>
        <w:top w:val="none" w:sz="0" w:space="0" w:color="auto"/>
        <w:left w:val="none" w:sz="0" w:space="0" w:color="auto"/>
        <w:bottom w:val="none" w:sz="0" w:space="0" w:color="auto"/>
        <w:right w:val="none" w:sz="0" w:space="0" w:color="auto"/>
      </w:divBdr>
    </w:div>
    <w:div w:id="1350374829">
      <w:bodyDiv w:val="1"/>
      <w:marLeft w:val="0"/>
      <w:marRight w:val="0"/>
      <w:marTop w:val="0"/>
      <w:marBottom w:val="0"/>
      <w:divBdr>
        <w:top w:val="none" w:sz="0" w:space="0" w:color="auto"/>
        <w:left w:val="none" w:sz="0" w:space="0" w:color="auto"/>
        <w:bottom w:val="none" w:sz="0" w:space="0" w:color="auto"/>
        <w:right w:val="none" w:sz="0" w:space="0" w:color="auto"/>
      </w:divBdr>
    </w:div>
    <w:div w:id="1350988085">
      <w:bodyDiv w:val="1"/>
      <w:marLeft w:val="0"/>
      <w:marRight w:val="0"/>
      <w:marTop w:val="0"/>
      <w:marBottom w:val="0"/>
      <w:divBdr>
        <w:top w:val="none" w:sz="0" w:space="0" w:color="auto"/>
        <w:left w:val="none" w:sz="0" w:space="0" w:color="auto"/>
        <w:bottom w:val="none" w:sz="0" w:space="0" w:color="auto"/>
        <w:right w:val="none" w:sz="0" w:space="0" w:color="auto"/>
      </w:divBdr>
    </w:div>
    <w:div w:id="1351027315">
      <w:bodyDiv w:val="1"/>
      <w:marLeft w:val="0"/>
      <w:marRight w:val="0"/>
      <w:marTop w:val="0"/>
      <w:marBottom w:val="0"/>
      <w:divBdr>
        <w:top w:val="none" w:sz="0" w:space="0" w:color="auto"/>
        <w:left w:val="none" w:sz="0" w:space="0" w:color="auto"/>
        <w:bottom w:val="none" w:sz="0" w:space="0" w:color="auto"/>
        <w:right w:val="none" w:sz="0" w:space="0" w:color="auto"/>
      </w:divBdr>
    </w:div>
    <w:div w:id="1351029186">
      <w:bodyDiv w:val="1"/>
      <w:marLeft w:val="0"/>
      <w:marRight w:val="0"/>
      <w:marTop w:val="0"/>
      <w:marBottom w:val="0"/>
      <w:divBdr>
        <w:top w:val="none" w:sz="0" w:space="0" w:color="auto"/>
        <w:left w:val="none" w:sz="0" w:space="0" w:color="auto"/>
        <w:bottom w:val="none" w:sz="0" w:space="0" w:color="auto"/>
        <w:right w:val="none" w:sz="0" w:space="0" w:color="auto"/>
      </w:divBdr>
    </w:div>
    <w:div w:id="1351755835">
      <w:bodyDiv w:val="1"/>
      <w:marLeft w:val="0"/>
      <w:marRight w:val="0"/>
      <w:marTop w:val="0"/>
      <w:marBottom w:val="0"/>
      <w:divBdr>
        <w:top w:val="none" w:sz="0" w:space="0" w:color="auto"/>
        <w:left w:val="none" w:sz="0" w:space="0" w:color="auto"/>
        <w:bottom w:val="none" w:sz="0" w:space="0" w:color="auto"/>
        <w:right w:val="none" w:sz="0" w:space="0" w:color="auto"/>
      </w:divBdr>
    </w:div>
    <w:div w:id="1351882303">
      <w:bodyDiv w:val="1"/>
      <w:marLeft w:val="0"/>
      <w:marRight w:val="0"/>
      <w:marTop w:val="0"/>
      <w:marBottom w:val="0"/>
      <w:divBdr>
        <w:top w:val="none" w:sz="0" w:space="0" w:color="auto"/>
        <w:left w:val="none" w:sz="0" w:space="0" w:color="auto"/>
        <w:bottom w:val="none" w:sz="0" w:space="0" w:color="auto"/>
        <w:right w:val="none" w:sz="0" w:space="0" w:color="auto"/>
      </w:divBdr>
    </w:div>
    <w:div w:id="1352299910">
      <w:bodyDiv w:val="1"/>
      <w:marLeft w:val="0"/>
      <w:marRight w:val="0"/>
      <w:marTop w:val="0"/>
      <w:marBottom w:val="0"/>
      <w:divBdr>
        <w:top w:val="none" w:sz="0" w:space="0" w:color="auto"/>
        <w:left w:val="none" w:sz="0" w:space="0" w:color="auto"/>
        <w:bottom w:val="none" w:sz="0" w:space="0" w:color="auto"/>
        <w:right w:val="none" w:sz="0" w:space="0" w:color="auto"/>
      </w:divBdr>
    </w:div>
    <w:div w:id="1353071906">
      <w:bodyDiv w:val="1"/>
      <w:marLeft w:val="0"/>
      <w:marRight w:val="0"/>
      <w:marTop w:val="0"/>
      <w:marBottom w:val="0"/>
      <w:divBdr>
        <w:top w:val="none" w:sz="0" w:space="0" w:color="auto"/>
        <w:left w:val="none" w:sz="0" w:space="0" w:color="auto"/>
        <w:bottom w:val="none" w:sz="0" w:space="0" w:color="auto"/>
        <w:right w:val="none" w:sz="0" w:space="0" w:color="auto"/>
      </w:divBdr>
    </w:div>
    <w:div w:id="1353729201">
      <w:bodyDiv w:val="1"/>
      <w:marLeft w:val="0"/>
      <w:marRight w:val="0"/>
      <w:marTop w:val="0"/>
      <w:marBottom w:val="0"/>
      <w:divBdr>
        <w:top w:val="none" w:sz="0" w:space="0" w:color="auto"/>
        <w:left w:val="none" w:sz="0" w:space="0" w:color="auto"/>
        <w:bottom w:val="none" w:sz="0" w:space="0" w:color="auto"/>
        <w:right w:val="none" w:sz="0" w:space="0" w:color="auto"/>
      </w:divBdr>
    </w:div>
    <w:div w:id="1353915441">
      <w:bodyDiv w:val="1"/>
      <w:marLeft w:val="0"/>
      <w:marRight w:val="0"/>
      <w:marTop w:val="0"/>
      <w:marBottom w:val="0"/>
      <w:divBdr>
        <w:top w:val="none" w:sz="0" w:space="0" w:color="auto"/>
        <w:left w:val="none" w:sz="0" w:space="0" w:color="auto"/>
        <w:bottom w:val="none" w:sz="0" w:space="0" w:color="auto"/>
        <w:right w:val="none" w:sz="0" w:space="0" w:color="auto"/>
      </w:divBdr>
    </w:div>
    <w:div w:id="1354067284">
      <w:bodyDiv w:val="1"/>
      <w:marLeft w:val="0"/>
      <w:marRight w:val="0"/>
      <w:marTop w:val="0"/>
      <w:marBottom w:val="0"/>
      <w:divBdr>
        <w:top w:val="none" w:sz="0" w:space="0" w:color="auto"/>
        <w:left w:val="none" w:sz="0" w:space="0" w:color="auto"/>
        <w:bottom w:val="none" w:sz="0" w:space="0" w:color="auto"/>
        <w:right w:val="none" w:sz="0" w:space="0" w:color="auto"/>
      </w:divBdr>
    </w:div>
    <w:div w:id="1354260116">
      <w:bodyDiv w:val="1"/>
      <w:marLeft w:val="0"/>
      <w:marRight w:val="0"/>
      <w:marTop w:val="0"/>
      <w:marBottom w:val="0"/>
      <w:divBdr>
        <w:top w:val="none" w:sz="0" w:space="0" w:color="auto"/>
        <w:left w:val="none" w:sz="0" w:space="0" w:color="auto"/>
        <w:bottom w:val="none" w:sz="0" w:space="0" w:color="auto"/>
        <w:right w:val="none" w:sz="0" w:space="0" w:color="auto"/>
      </w:divBdr>
    </w:div>
    <w:div w:id="1355114581">
      <w:bodyDiv w:val="1"/>
      <w:marLeft w:val="0"/>
      <w:marRight w:val="0"/>
      <w:marTop w:val="0"/>
      <w:marBottom w:val="0"/>
      <w:divBdr>
        <w:top w:val="none" w:sz="0" w:space="0" w:color="auto"/>
        <w:left w:val="none" w:sz="0" w:space="0" w:color="auto"/>
        <w:bottom w:val="none" w:sz="0" w:space="0" w:color="auto"/>
        <w:right w:val="none" w:sz="0" w:space="0" w:color="auto"/>
      </w:divBdr>
    </w:div>
    <w:div w:id="1355379567">
      <w:bodyDiv w:val="1"/>
      <w:marLeft w:val="0"/>
      <w:marRight w:val="0"/>
      <w:marTop w:val="0"/>
      <w:marBottom w:val="0"/>
      <w:divBdr>
        <w:top w:val="none" w:sz="0" w:space="0" w:color="auto"/>
        <w:left w:val="none" w:sz="0" w:space="0" w:color="auto"/>
        <w:bottom w:val="none" w:sz="0" w:space="0" w:color="auto"/>
        <w:right w:val="none" w:sz="0" w:space="0" w:color="auto"/>
      </w:divBdr>
    </w:div>
    <w:div w:id="1355419019">
      <w:bodyDiv w:val="1"/>
      <w:marLeft w:val="0"/>
      <w:marRight w:val="0"/>
      <w:marTop w:val="0"/>
      <w:marBottom w:val="0"/>
      <w:divBdr>
        <w:top w:val="none" w:sz="0" w:space="0" w:color="auto"/>
        <w:left w:val="none" w:sz="0" w:space="0" w:color="auto"/>
        <w:bottom w:val="none" w:sz="0" w:space="0" w:color="auto"/>
        <w:right w:val="none" w:sz="0" w:space="0" w:color="auto"/>
      </w:divBdr>
    </w:div>
    <w:div w:id="1355688272">
      <w:bodyDiv w:val="1"/>
      <w:marLeft w:val="0"/>
      <w:marRight w:val="0"/>
      <w:marTop w:val="0"/>
      <w:marBottom w:val="0"/>
      <w:divBdr>
        <w:top w:val="none" w:sz="0" w:space="0" w:color="auto"/>
        <w:left w:val="none" w:sz="0" w:space="0" w:color="auto"/>
        <w:bottom w:val="none" w:sz="0" w:space="0" w:color="auto"/>
        <w:right w:val="none" w:sz="0" w:space="0" w:color="auto"/>
      </w:divBdr>
    </w:div>
    <w:div w:id="1355812945">
      <w:bodyDiv w:val="1"/>
      <w:marLeft w:val="0"/>
      <w:marRight w:val="0"/>
      <w:marTop w:val="0"/>
      <w:marBottom w:val="0"/>
      <w:divBdr>
        <w:top w:val="none" w:sz="0" w:space="0" w:color="auto"/>
        <w:left w:val="none" w:sz="0" w:space="0" w:color="auto"/>
        <w:bottom w:val="none" w:sz="0" w:space="0" w:color="auto"/>
        <w:right w:val="none" w:sz="0" w:space="0" w:color="auto"/>
      </w:divBdr>
    </w:div>
    <w:div w:id="1356422743">
      <w:bodyDiv w:val="1"/>
      <w:marLeft w:val="0"/>
      <w:marRight w:val="0"/>
      <w:marTop w:val="0"/>
      <w:marBottom w:val="0"/>
      <w:divBdr>
        <w:top w:val="none" w:sz="0" w:space="0" w:color="auto"/>
        <w:left w:val="none" w:sz="0" w:space="0" w:color="auto"/>
        <w:bottom w:val="none" w:sz="0" w:space="0" w:color="auto"/>
        <w:right w:val="none" w:sz="0" w:space="0" w:color="auto"/>
      </w:divBdr>
    </w:div>
    <w:div w:id="1356885766">
      <w:bodyDiv w:val="1"/>
      <w:marLeft w:val="0"/>
      <w:marRight w:val="0"/>
      <w:marTop w:val="0"/>
      <w:marBottom w:val="0"/>
      <w:divBdr>
        <w:top w:val="none" w:sz="0" w:space="0" w:color="auto"/>
        <w:left w:val="none" w:sz="0" w:space="0" w:color="auto"/>
        <w:bottom w:val="none" w:sz="0" w:space="0" w:color="auto"/>
        <w:right w:val="none" w:sz="0" w:space="0" w:color="auto"/>
      </w:divBdr>
    </w:div>
    <w:div w:id="1357846179">
      <w:bodyDiv w:val="1"/>
      <w:marLeft w:val="0"/>
      <w:marRight w:val="0"/>
      <w:marTop w:val="0"/>
      <w:marBottom w:val="0"/>
      <w:divBdr>
        <w:top w:val="none" w:sz="0" w:space="0" w:color="auto"/>
        <w:left w:val="none" w:sz="0" w:space="0" w:color="auto"/>
        <w:bottom w:val="none" w:sz="0" w:space="0" w:color="auto"/>
        <w:right w:val="none" w:sz="0" w:space="0" w:color="auto"/>
      </w:divBdr>
    </w:div>
    <w:div w:id="1358238418">
      <w:bodyDiv w:val="1"/>
      <w:marLeft w:val="0"/>
      <w:marRight w:val="0"/>
      <w:marTop w:val="0"/>
      <w:marBottom w:val="0"/>
      <w:divBdr>
        <w:top w:val="none" w:sz="0" w:space="0" w:color="auto"/>
        <w:left w:val="none" w:sz="0" w:space="0" w:color="auto"/>
        <w:bottom w:val="none" w:sz="0" w:space="0" w:color="auto"/>
        <w:right w:val="none" w:sz="0" w:space="0" w:color="auto"/>
      </w:divBdr>
    </w:div>
    <w:div w:id="1358239551">
      <w:bodyDiv w:val="1"/>
      <w:marLeft w:val="0"/>
      <w:marRight w:val="0"/>
      <w:marTop w:val="0"/>
      <w:marBottom w:val="0"/>
      <w:divBdr>
        <w:top w:val="none" w:sz="0" w:space="0" w:color="auto"/>
        <w:left w:val="none" w:sz="0" w:space="0" w:color="auto"/>
        <w:bottom w:val="none" w:sz="0" w:space="0" w:color="auto"/>
        <w:right w:val="none" w:sz="0" w:space="0" w:color="auto"/>
      </w:divBdr>
    </w:div>
    <w:div w:id="1358772893">
      <w:bodyDiv w:val="1"/>
      <w:marLeft w:val="0"/>
      <w:marRight w:val="0"/>
      <w:marTop w:val="0"/>
      <w:marBottom w:val="0"/>
      <w:divBdr>
        <w:top w:val="none" w:sz="0" w:space="0" w:color="auto"/>
        <w:left w:val="none" w:sz="0" w:space="0" w:color="auto"/>
        <w:bottom w:val="none" w:sz="0" w:space="0" w:color="auto"/>
        <w:right w:val="none" w:sz="0" w:space="0" w:color="auto"/>
      </w:divBdr>
    </w:div>
    <w:div w:id="1359428327">
      <w:bodyDiv w:val="1"/>
      <w:marLeft w:val="0"/>
      <w:marRight w:val="0"/>
      <w:marTop w:val="0"/>
      <w:marBottom w:val="0"/>
      <w:divBdr>
        <w:top w:val="none" w:sz="0" w:space="0" w:color="auto"/>
        <w:left w:val="none" w:sz="0" w:space="0" w:color="auto"/>
        <w:bottom w:val="none" w:sz="0" w:space="0" w:color="auto"/>
        <w:right w:val="none" w:sz="0" w:space="0" w:color="auto"/>
      </w:divBdr>
    </w:div>
    <w:div w:id="1360202286">
      <w:bodyDiv w:val="1"/>
      <w:marLeft w:val="0"/>
      <w:marRight w:val="0"/>
      <w:marTop w:val="0"/>
      <w:marBottom w:val="0"/>
      <w:divBdr>
        <w:top w:val="none" w:sz="0" w:space="0" w:color="auto"/>
        <w:left w:val="none" w:sz="0" w:space="0" w:color="auto"/>
        <w:bottom w:val="none" w:sz="0" w:space="0" w:color="auto"/>
        <w:right w:val="none" w:sz="0" w:space="0" w:color="auto"/>
      </w:divBdr>
    </w:div>
    <w:div w:id="1361663975">
      <w:bodyDiv w:val="1"/>
      <w:marLeft w:val="0"/>
      <w:marRight w:val="0"/>
      <w:marTop w:val="0"/>
      <w:marBottom w:val="0"/>
      <w:divBdr>
        <w:top w:val="none" w:sz="0" w:space="0" w:color="auto"/>
        <w:left w:val="none" w:sz="0" w:space="0" w:color="auto"/>
        <w:bottom w:val="none" w:sz="0" w:space="0" w:color="auto"/>
        <w:right w:val="none" w:sz="0" w:space="0" w:color="auto"/>
      </w:divBdr>
    </w:div>
    <w:div w:id="1361860373">
      <w:bodyDiv w:val="1"/>
      <w:marLeft w:val="0"/>
      <w:marRight w:val="0"/>
      <w:marTop w:val="0"/>
      <w:marBottom w:val="0"/>
      <w:divBdr>
        <w:top w:val="none" w:sz="0" w:space="0" w:color="auto"/>
        <w:left w:val="none" w:sz="0" w:space="0" w:color="auto"/>
        <w:bottom w:val="none" w:sz="0" w:space="0" w:color="auto"/>
        <w:right w:val="none" w:sz="0" w:space="0" w:color="auto"/>
      </w:divBdr>
    </w:div>
    <w:div w:id="1363018059">
      <w:bodyDiv w:val="1"/>
      <w:marLeft w:val="0"/>
      <w:marRight w:val="0"/>
      <w:marTop w:val="0"/>
      <w:marBottom w:val="0"/>
      <w:divBdr>
        <w:top w:val="none" w:sz="0" w:space="0" w:color="auto"/>
        <w:left w:val="none" w:sz="0" w:space="0" w:color="auto"/>
        <w:bottom w:val="none" w:sz="0" w:space="0" w:color="auto"/>
        <w:right w:val="none" w:sz="0" w:space="0" w:color="auto"/>
      </w:divBdr>
    </w:div>
    <w:div w:id="1363091953">
      <w:bodyDiv w:val="1"/>
      <w:marLeft w:val="0"/>
      <w:marRight w:val="0"/>
      <w:marTop w:val="0"/>
      <w:marBottom w:val="0"/>
      <w:divBdr>
        <w:top w:val="none" w:sz="0" w:space="0" w:color="auto"/>
        <w:left w:val="none" w:sz="0" w:space="0" w:color="auto"/>
        <w:bottom w:val="none" w:sz="0" w:space="0" w:color="auto"/>
        <w:right w:val="none" w:sz="0" w:space="0" w:color="auto"/>
      </w:divBdr>
    </w:div>
    <w:div w:id="1363239858">
      <w:bodyDiv w:val="1"/>
      <w:marLeft w:val="0"/>
      <w:marRight w:val="0"/>
      <w:marTop w:val="0"/>
      <w:marBottom w:val="0"/>
      <w:divBdr>
        <w:top w:val="none" w:sz="0" w:space="0" w:color="auto"/>
        <w:left w:val="none" w:sz="0" w:space="0" w:color="auto"/>
        <w:bottom w:val="none" w:sz="0" w:space="0" w:color="auto"/>
        <w:right w:val="none" w:sz="0" w:space="0" w:color="auto"/>
      </w:divBdr>
    </w:div>
    <w:div w:id="1363478650">
      <w:bodyDiv w:val="1"/>
      <w:marLeft w:val="0"/>
      <w:marRight w:val="0"/>
      <w:marTop w:val="0"/>
      <w:marBottom w:val="0"/>
      <w:divBdr>
        <w:top w:val="none" w:sz="0" w:space="0" w:color="auto"/>
        <w:left w:val="none" w:sz="0" w:space="0" w:color="auto"/>
        <w:bottom w:val="none" w:sz="0" w:space="0" w:color="auto"/>
        <w:right w:val="none" w:sz="0" w:space="0" w:color="auto"/>
      </w:divBdr>
    </w:div>
    <w:div w:id="1363940683">
      <w:bodyDiv w:val="1"/>
      <w:marLeft w:val="0"/>
      <w:marRight w:val="0"/>
      <w:marTop w:val="0"/>
      <w:marBottom w:val="0"/>
      <w:divBdr>
        <w:top w:val="none" w:sz="0" w:space="0" w:color="auto"/>
        <w:left w:val="none" w:sz="0" w:space="0" w:color="auto"/>
        <w:bottom w:val="none" w:sz="0" w:space="0" w:color="auto"/>
        <w:right w:val="none" w:sz="0" w:space="0" w:color="auto"/>
      </w:divBdr>
    </w:div>
    <w:div w:id="1365136129">
      <w:bodyDiv w:val="1"/>
      <w:marLeft w:val="0"/>
      <w:marRight w:val="0"/>
      <w:marTop w:val="0"/>
      <w:marBottom w:val="0"/>
      <w:divBdr>
        <w:top w:val="none" w:sz="0" w:space="0" w:color="auto"/>
        <w:left w:val="none" w:sz="0" w:space="0" w:color="auto"/>
        <w:bottom w:val="none" w:sz="0" w:space="0" w:color="auto"/>
        <w:right w:val="none" w:sz="0" w:space="0" w:color="auto"/>
      </w:divBdr>
    </w:div>
    <w:div w:id="1365791148">
      <w:bodyDiv w:val="1"/>
      <w:marLeft w:val="0"/>
      <w:marRight w:val="0"/>
      <w:marTop w:val="0"/>
      <w:marBottom w:val="0"/>
      <w:divBdr>
        <w:top w:val="none" w:sz="0" w:space="0" w:color="auto"/>
        <w:left w:val="none" w:sz="0" w:space="0" w:color="auto"/>
        <w:bottom w:val="none" w:sz="0" w:space="0" w:color="auto"/>
        <w:right w:val="none" w:sz="0" w:space="0" w:color="auto"/>
      </w:divBdr>
    </w:div>
    <w:div w:id="1365835799">
      <w:bodyDiv w:val="1"/>
      <w:marLeft w:val="0"/>
      <w:marRight w:val="0"/>
      <w:marTop w:val="0"/>
      <w:marBottom w:val="0"/>
      <w:divBdr>
        <w:top w:val="none" w:sz="0" w:space="0" w:color="auto"/>
        <w:left w:val="none" w:sz="0" w:space="0" w:color="auto"/>
        <w:bottom w:val="none" w:sz="0" w:space="0" w:color="auto"/>
        <w:right w:val="none" w:sz="0" w:space="0" w:color="auto"/>
      </w:divBdr>
    </w:div>
    <w:div w:id="1367297777">
      <w:bodyDiv w:val="1"/>
      <w:marLeft w:val="0"/>
      <w:marRight w:val="0"/>
      <w:marTop w:val="0"/>
      <w:marBottom w:val="0"/>
      <w:divBdr>
        <w:top w:val="none" w:sz="0" w:space="0" w:color="auto"/>
        <w:left w:val="none" w:sz="0" w:space="0" w:color="auto"/>
        <w:bottom w:val="none" w:sz="0" w:space="0" w:color="auto"/>
        <w:right w:val="none" w:sz="0" w:space="0" w:color="auto"/>
      </w:divBdr>
    </w:div>
    <w:div w:id="1367825466">
      <w:bodyDiv w:val="1"/>
      <w:marLeft w:val="0"/>
      <w:marRight w:val="0"/>
      <w:marTop w:val="0"/>
      <w:marBottom w:val="0"/>
      <w:divBdr>
        <w:top w:val="none" w:sz="0" w:space="0" w:color="auto"/>
        <w:left w:val="none" w:sz="0" w:space="0" w:color="auto"/>
        <w:bottom w:val="none" w:sz="0" w:space="0" w:color="auto"/>
        <w:right w:val="none" w:sz="0" w:space="0" w:color="auto"/>
      </w:divBdr>
    </w:div>
    <w:div w:id="1368068917">
      <w:bodyDiv w:val="1"/>
      <w:marLeft w:val="0"/>
      <w:marRight w:val="0"/>
      <w:marTop w:val="0"/>
      <w:marBottom w:val="0"/>
      <w:divBdr>
        <w:top w:val="none" w:sz="0" w:space="0" w:color="auto"/>
        <w:left w:val="none" w:sz="0" w:space="0" w:color="auto"/>
        <w:bottom w:val="none" w:sz="0" w:space="0" w:color="auto"/>
        <w:right w:val="none" w:sz="0" w:space="0" w:color="auto"/>
      </w:divBdr>
    </w:div>
    <w:div w:id="1368945061">
      <w:bodyDiv w:val="1"/>
      <w:marLeft w:val="0"/>
      <w:marRight w:val="0"/>
      <w:marTop w:val="0"/>
      <w:marBottom w:val="0"/>
      <w:divBdr>
        <w:top w:val="none" w:sz="0" w:space="0" w:color="auto"/>
        <w:left w:val="none" w:sz="0" w:space="0" w:color="auto"/>
        <w:bottom w:val="none" w:sz="0" w:space="0" w:color="auto"/>
        <w:right w:val="none" w:sz="0" w:space="0" w:color="auto"/>
      </w:divBdr>
    </w:div>
    <w:div w:id="1369335247">
      <w:bodyDiv w:val="1"/>
      <w:marLeft w:val="0"/>
      <w:marRight w:val="0"/>
      <w:marTop w:val="0"/>
      <w:marBottom w:val="0"/>
      <w:divBdr>
        <w:top w:val="none" w:sz="0" w:space="0" w:color="auto"/>
        <w:left w:val="none" w:sz="0" w:space="0" w:color="auto"/>
        <w:bottom w:val="none" w:sz="0" w:space="0" w:color="auto"/>
        <w:right w:val="none" w:sz="0" w:space="0" w:color="auto"/>
      </w:divBdr>
    </w:div>
    <w:div w:id="1369791236">
      <w:bodyDiv w:val="1"/>
      <w:marLeft w:val="0"/>
      <w:marRight w:val="0"/>
      <w:marTop w:val="0"/>
      <w:marBottom w:val="0"/>
      <w:divBdr>
        <w:top w:val="none" w:sz="0" w:space="0" w:color="auto"/>
        <w:left w:val="none" w:sz="0" w:space="0" w:color="auto"/>
        <w:bottom w:val="none" w:sz="0" w:space="0" w:color="auto"/>
        <w:right w:val="none" w:sz="0" w:space="0" w:color="auto"/>
      </w:divBdr>
    </w:div>
    <w:div w:id="1370571868">
      <w:bodyDiv w:val="1"/>
      <w:marLeft w:val="0"/>
      <w:marRight w:val="0"/>
      <w:marTop w:val="0"/>
      <w:marBottom w:val="0"/>
      <w:divBdr>
        <w:top w:val="none" w:sz="0" w:space="0" w:color="auto"/>
        <w:left w:val="none" w:sz="0" w:space="0" w:color="auto"/>
        <w:bottom w:val="none" w:sz="0" w:space="0" w:color="auto"/>
        <w:right w:val="none" w:sz="0" w:space="0" w:color="auto"/>
      </w:divBdr>
    </w:div>
    <w:div w:id="1372028212">
      <w:bodyDiv w:val="1"/>
      <w:marLeft w:val="0"/>
      <w:marRight w:val="0"/>
      <w:marTop w:val="0"/>
      <w:marBottom w:val="0"/>
      <w:divBdr>
        <w:top w:val="none" w:sz="0" w:space="0" w:color="auto"/>
        <w:left w:val="none" w:sz="0" w:space="0" w:color="auto"/>
        <w:bottom w:val="none" w:sz="0" w:space="0" w:color="auto"/>
        <w:right w:val="none" w:sz="0" w:space="0" w:color="auto"/>
      </w:divBdr>
    </w:div>
    <w:div w:id="1372412728">
      <w:bodyDiv w:val="1"/>
      <w:marLeft w:val="0"/>
      <w:marRight w:val="0"/>
      <w:marTop w:val="0"/>
      <w:marBottom w:val="0"/>
      <w:divBdr>
        <w:top w:val="none" w:sz="0" w:space="0" w:color="auto"/>
        <w:left w:val="none" w:sz="0" w:space="0" w:color="auto"/>
        <w:bottom w:val="none" w:sz="0" w:space="0" w:color="auto"/>
        <w:right w:val="none" w:sz="0" w:space="0" w:color="auto"/>
      </w:divBdr>
    </w:div>
    <w:div w:id="1372532902">
      <w:bodyDiv w:val="1"/>
      <w:marLeft w:val="0"/>
      <w:marRight w:val="0"/>
      <w:marTop w:val="0"/>
      <w:marBottom w:val="0"/>
      <w:divBdr>
        <w:top w:val="none" w:sz="0" w:space="0" w:color="auto"/>
        <w:left w:val="none" w:sz="0" w:space="0" w:color="auto"/>
        <w:bottom w:val="none" w:sz="0" w:space="0" w:color="auto"/>
        <w:right w:val="none" w:sz="0" w:space="0" w:color="auto"/>
      </w:divBdr>
    </w:div>
    <w:div w:id="1373112254">
      <w:bodyDiv w:val="1"/>
      <w:marLeft w:val="0"/>
      <w:marRight w:val="0"/>
      <w:marTop w:val="0"/>
      <w:marBottom w:val="0"/>
      <w:divBdr>
        <w:top w:val="none" w:sz="0" w:space="0" w:color="auto"/>
        <w:left w:val="none" w:sz="0" w:space="0" w:color="auto"/>
        <w:bottom w:val="none" w:sz="0" w:space="0" w:color="auto"/>
        <w:right w:val="none" w:sz="0" w:space="0" w:color="auto"/>
      </w:divBdr>
    </w:div>
    <w:div w:id="1373113179">
      <w:bodyDiv w:val="1"/>
      <w:marLeft w:val="0"/>
      <w:marRight w:val="0"/>
      <w:marTop w:val="0"/>
      <w:marBottom w:val="0"/>
      <w:divBdr>
        <w:top w:val="none" w:sz="0" w:space="0" w:color="auto"/>
        <w:left w:val="none" w:sz="0" w:space="0" w:color="auto"/>
        <w:bottom w:val="none" w:sz="0" w:space="0" w:color="auto"/>
        <w:right w:val="none" w:sz="0" w:space="0" w:color="auto"/>
      </w:divBdr>
    </w:div>
    <w:div w:id="1373456450">
      <w:bodyDiv w:val="1"/>
      <w:marLeft w:val="0"/>
      <w:marRight w:val="0"/>
      <w:marTop w:val="0"/>
      <w:marBottom w:val="0"/>
      <w:divBdr>
        <w:top w:val="none" w:sz="0" w:space="0" w:color="auto"/>
        <w:left w:val="none" w:sz="0" w:space="0" w:color="auto"/>
        <w:bottom w:val="none" w:sz="0" w:space="0" w:color="auto"/>
        <w:right w:val="none" w:sz="0" w:space="0" w:color="auto"/>
      </w:divBdr>
    </w:div>
    <w:div w:id="1375814265">
      <w:bodyDiv w:val="1"/>
      <w:marLeft w:val="0"/>
      <w:marRight w:val="0"/>
      <w:marTop w:val="0"/>
      <w:marBottom w:val="0"/>
      <w:divBdr>
        <w:top w:val="none" w:sz="0" w:space="0" w:color="auto"/>
        <w:left w:val="none" w:sz="0" w:space="0" w:color="auto"/>
        <w:bottom w:val="none" w:sz="0" w:space="0" w:color="auto"/>
        <w:right w:val="none" w:sz="0" w:space="0" w:color="auto"/>
      </w:divBdr>
    </w:div>
    <w:div w:id="1375889092">
      <w:bodyDiv w:val="1"/>
      <w:marLeft w:val="0"/>
      <w:marRight w:val="0"/>
      <w:marTop w:val="0"/>
      <w:marBottom w:val="0"/>
      <w:divBdr>
        <w:top w:val="none" w:sz="0" w:space="0" w:color="auto"/>
        <w:left w:val="none" w:sz="0" w:space="0" w:color="auto"/>
        <w:bottom w:val="none" w:sz="0" w:space="0" w:color="auto"/>
        <w:right w:val="none" w:sz="0" w:space="0" w:color="auto"/>
      </w:divBdr>
    </w:div>
    <w:div w:id="1376272443">
      <w:bodyDiv w:val="1"/>
      <w:marLeft w:val="0"/>
      <w:marRight w:val="0"/>
      <w:marTop w:val="0"/>
      <w:marBottom w:val="0"/>
      <w:divBdr>
        <w:top w:val="none" w:sz="0" w:space="0" w:color="auto"/>
        <w:left w:val="none" w:sz="0" w:space="0" w:color="auto"/>
        <w:bottom w:val="none" w:sz="0" w:space="0" w:color="auto"/>
        <w:right w:val="none" w:sz="0" w:space="0" w:color="auto"/>
      </w:divBdr>
    </w:div>
    <w:div w:id="1376277468">
      <w:bodyDiv w:val="1"/>
      <w:marLeft w:val="0"/>
      <w:marRight w:val="0"/>
      <w:marTop w:val="0"/>
      <w:marBottom w:val="0"/>
      <w:divBdr>
        <w:top w:val="none" w:sz="0" w:space="0" w:color="auto"/>
        <w:left w:val="none" w:sz="0" w:space="0" w:color="auto"/>
        <w:bottom w:val="none" w:sz="0" w:space="0" w:color="auto"/>
        <w:right w:val="none" w:sz="0" w:space="0" w:color="auto"/>
      </w:divBdr>
    </w:div>
    <w:div w:id="1376466691">
      <w:bodyDiv w:val="1"/>
      <w:marLeft w:val="0"/>
      <w:marRight w:val="0"/>
      <w:marTop w:val="0"/>
      <w:marBottom w:val="0"/>
      <w:divBdr>
        <w:top w:val="none" w:sz="0" w:space="0" w:color="auto"/>
        <w:left w:val="none" w:sz="0" w:space="0" w:color="auto"/>
        <w:bottom w:val="none" w:sz="0" w:space="0" w:color="auto"/>
        <w:right w:val="none" w:sz="0" w:space="0" w:color="auto"/>
      </w:divBdr>
    </w:div>
    <w:div w:id="1376589178">
      <w:bodyDiv w:val="1"/>
      <w:marLeft w:val="0"/>
      <w:marRight w:val="0"/>
      <w:marTop w:val="0"/>
      <w:marBottom w:val="0"/>
      <w:divBdr>
        <w:top w:val="none" w:sz="0" w:space="0" w:color="auto"/>
        <w:left w:val="none" w:sz="0" w:space="0" w:color="auto"/>
        <w:bottom w:val="none" w:sz="0" w:space="0" w:color="auto"/>
        <w:right w:val="none" w:sz="0" w:space="0" w:color="auto"/>
      </w:divBdr>
    </w:div>
    <w:div w:id="1377389940">
      <w:bodyDiv w:val="1"/>
      <w:marLeft w:val="0"/>
      <w:marRight w:val="0"/>
      <w:marTop w:val="0"/>
      <w:marBottom w:val="0"/>
      <w:divBdr>
        <w:top w:val="none" w:sz="0" w:space="0" w:color="auto"/>
        <w:left w:val="none" w:sz="0" w:space="0" w:color="auto"/>
        <w:bottom w:val="none" w:sz="0" w:space="0" w:color="auto"/>
        <w:right w:val="none" w:sz="0" w:space="0" w:color="auto"/>
      </w:divBdr>
    </w:div>
    <w:div w:id="1377580715">
      <w:bodyDiv w:val="1"/>
      <w:marLeft w:val="0"/>
      <w:marRight w:val="0"/>
      <w:marTop w:val="0"/>
      <w:marBottom w:val="0"/>
      <w:divBdr>
        <w:top w:val="none" w:sz="0" w:space="0" w:color="auto"/>
        <w:left w:val="none" w:sz="0" w:space="0" w:color="auto"/>
        <w:bottom w:val="none" w:sz="0" w:space="0" w:color="auto"/>
        <w:right w:val="none" w:sz="0" w:space="0" w:color="auto"/>
      </w:divBdr>
    </w:div>
    <w:div w:id="1378093317">
      <w:bodyDiv w:val="1"/>
      <w:marLeft w:val="0"/>
      <w:marRight w:val="0"/>
      <w:marTop w:val="0"/>
      <w:marBottom w:val="0"/>
      <w:divBdr>
        <w:top w:val="none" w:sz="0" w:space="0" w:color="auto"/>
        <w:left w:val="none" w:sz="0" w:space="0" w:color="auto"/>
        <w:bottom w:val="none" w:sz="0" w:space="0" w:color="auto"/>
        <w:right w:val="none" w:sz="0" w:space="0" w:color="auto"/>
      </w:divBdr>
    </w:div>
    <w:div w:id="1378167111">
      <w:bodyDiv w:val="1"/>
      <w:marLeft w:val="0"/>
      <w:marRight w:val="0"/>
      <w:marTop w:val="0"/>
      <w:marBottom w:val="0"/>
      <w:divBdr>
        <w:top w:val="none" w:sz="0" w:space="0" w:color="auto"/>
        <w:left w:val="none" w:sz="0" w:space="0" w:color="auto"/>
        <w:bottom w:val="none" w:sz="0" w:space="0" w:color="auto"/>
        <w:right w:val="none" w:sz="0" w:space="0" w:color="auto"/>
      </w:divBdr>
    </w:div>
    <w:div w:id="1379544946">
      <w:bodyDiv w:val="1"/>
      <w:marLeft w:val="0"/>
      <w:marRight w:val="0"/>
      <w:marTop w:val="0"/>
      <w:marBottom w:val="0"/>
      <w:divBdr>
        <w:top w:val="none" w:sz="0" w:space="0" w:color="auto"/>
        <w:left w:val="none" w:sz="0" w:space="0" w:color="auto"/>
        <w:bottom w:val="none" w:sz="0" w:space="0" w:color="auto"/>
        <w:right w:val="none" w:sz="0" w:space="0" w:color="auto"/>
      </w:divBdr>
    </w:div>
    <w:div w:id="1379670348">
      <w:bodyDiv w:val="1"/>
      <w:marLeft w:val="0"/>
      <w:marRight w:val="0"/>
      <w:marTop w:val="0"/>
      <w:marBottom w:val="0"/>
      <w:divBdr>
        <w:top w:val="none" w:sz="0" w:space="0" w:color="auto"/>
        <w:left w:val="none" w:sz="0" w:space="0" w:color="auto"/>
        <w:bottom w:val="none" w:sz="0" w:space="0" w:color="auto"/>
        <w:right w:val="none" w:sz="0" w:space="0" w:color="auto"/>
      </w:divBdr>
    </w:div>
    <w:div w:id="1380476756">
      <w:bodyDiv w:val="1"/>
      <w:marLeft w:val="0"/>
      <w:marRight w:val="0"/>
      <w:marTop w:val="0"/>
      <w:marBottom w:val="0"/>
      <w:divBdr>
        <w:top w:val="none" w:sz="0" w:space="0" w:color="auto"/>
        <w:left w:val="none" w:sz="0" w:space="0" w:color="auto"/>
        <w:bottom w:val="none" w:sz="0" w:space="0" w:color="auto"/>
        <w:right w:val="none" w:sz="0" w:space="0" w:color="auto"/>
      </w:divBdr>
    </w:div>
    <w:div w:id="1380587005">
      <w:bodyDiv w:val="1"/>
      <w:marLeft w:val="0"/>
      <w:marRight w:val="0"/>
      <w:marTop w:val="0"/>
      <w:marBottom w:val="0"/>
      <w:divBdr>
        <w:top w:val="none" w:sz="0" w:space="0" w:color="auto"/>
        <w:left w:val="none" w:sz="0" w:space="0" w:color="auto"/>
        <w:bottom w:val="none" w:sz="0" w:space="0" w:color="auto"/>
        <w:right w:val="none" w:sz="0" w:space="0" w:color="auto"/>
      </w:divBdr>
    </w:div>
    <w:div w:id="1381128375">
      <w:bodyDiv w:val="1"/>
      <w:marLeft w:val="0"/>
      <w:marRight w:val="0"/>
      <w:marTop w:val="0"/>
      <w:marBottom w:val="0"/>
      <w:divBdr>
        <w:top w:val="none" w:sz="0" w:space="0" w:color="auto"/>
        <w:left w:val="none" w:sz="0" w:space="0" w:color="auto"/>
        <w:bottom w:val="none" w:sz="0" w:space="0" w:color="auto"/>
        <w:right w:val="none" w:sz="0" w:space="0" w:color="auto"/>
      </w:divBdr>
    </w:div>
    <w:div w:id="1381592000">
      <w:bodyDiv w:val="1"/>
      <w:marLeft w:val="0"/>
      <w:marRight w:val="0"/>
      <w:marTop w:val="0"/>
      <w:marBottom w:val="0"/>
      <w:divBdr>
        <w:top w:val="none" w:sz="0" w:space="0" w:color="auto"/>
        <w:left w:val="none" w:sz="0" w:space="0" w:color="auto"/>
        <w:bottom w:val="none" w:sz="0" w:space="0" w:color="auto"/>
        <w:right w:val="none" w:sz="0" w:space="0" w:color="auto"/>
      </w:divBdr>
    </w:div>
    <w:div w:id="1382050813">
      <w:bodyDiv w:val="1"/>
      <w:marLeft w:val="0"/>
      <w:marRight w:val="0"/>
      <w:marTop w:val="0"/>
      <w:marBottom w:val="0"/>
      <w:divBdr>
        <w:top w:val="none" w:sz="0" w:space="0" w:color="auto"/>
        <w:left w:val="none" w:sz="0" w:space="0" w:color="auto"/>
        <w:bottom w:val="none" w:sz="0" w:space="0" w:color="auto"/>
        <w:right w:val="none" w:sz="0" w:space="0" w:color="auto"/>
      </w:divBdr>
    </w:div>
    <w:div w:id="1382512534">
      <w:bodyDiv w:val="1"/>
      <w:marLeft w:val="0"/>
      <w:marRight w:val="0"/>
      <w:marTop w:val="0"/>
      <w:marBottom w:val="0"/>
      <w:divBdr>
        <w:top w:val="none" w:sz="0" w:space="0" w:color="auto"/>
        <w:left w:val="none" w:sz="0" w:space="0" w:color="auto"/>
        <w:bottom w:val="none" w:sz="0" w:space="0" w:color="auto"/>
        <w:right w:val="none" w:sz="0" w:space="0" w:color="auto"/>
      </w:divBdr>
    </w:div>
    <w:div w:id="1383169520">
      <w:bodyDiv w:val="1"/>
      <w:marLeft w:val="0"/>
      <w:marRight w:val="0"/>
      <w:marTop w:val="0"/>
      <w:marBottom w:val="0"/>
      <w:divBdr>
        <w:top w:val="none" w:sz="0" w:space="0" w:color="auto"/>
        <w:left w:val="none" w:sz="0" w:space="0" w:color="auto"/>
        <w:bottom w:val="none" w:sz="0" w:space="0" w:color="auto"/>
        <w:right w:val="none" w:sz="0" w:space="0" w:color="auto"/>
      </w:divBdr>
    </w:div>
    <w:div w:id="1383484854">
      <w:bodyDiv w:val="1"/>
      <w:marLeft w:val="0"/>
      <w:marRight w:val="0"/>
      <w:marTop w:val="0"/>
      <w:marBottom w:val="0"/>
      <w:divBdr>
        <w:top w:val="none" w:sz="0" w:space="0" w:color="auto"/>
        <w:left w:val="none" w:sz="0" w:space="0" w:color="auto"/>
        <w:bottom w:val="none" w:sz="0" w:space="0" w:color="auto"/>
        <w:right w:val="none" w:sz="0" w:space="0" w:color="auto"/>
      </w:divBdr>
    </w:div>
    <w:div w:id="1383865430">
      <w:bodyDiv w:val="1"/>
      <w:marLeft w:val="0"/>
      <w:marRight w:val="0"/>
      <w:marTop w:val="0"/>
      <w:marBottom w:val="0"/>
      <w:divBdr>
        <w:top w:val="none" w:sz="0" w:space="0" w:color="auto"/>
        <w:left w:val="none" w:sz="0" w:space="0" w:color="auto"/>
        <w:bottom w:val="none" w:sz="0" w:space="0" w:color="auto"/>
        <w:right w:val="none" w:sz="0" w:space="0" w:color="auto"/>
      </w:divBdr>
    </w:div>
    <w:div w:id="1384059692">
      <w:bodyDiv w:val="1"/>
      <w:marLeft w:val="0"/>
      <w:marRight w:val="0"/>
      <w:marTop w:val="0"/>
      <w:marBottom w:val="0"/>
      <w:divBdr>
        <w:top w:val="none" w:sz="0" w:space="0" w:color="auto"/>
        <w:left w:val="none" w:sz="0" w:space="0" w:color="auto"/>
        <w:bottom w:val="none" w:sz="0" w:space="0" w:color="auto"/>
        <w:right w:val="none" w:sz="0" w:space="0" w:color="auto"/>
      </w:divBdr>
    </w:div>
    <w:div w:id="1384721065">
      <w:bodyDiv w:val="1"/>
      <w:marLeft w:val="0"/>
      <w:marRight w:val="0"/>
      <w:marTop w:val="0"/>
      <w:marBottom w:val="0"/>
      <w:divBdr>
        <w:top w:val="none" w:sz="0" w:space="0" w:color="auto"/>
        <w:left w:val="none" w:sz="0" w:space="0" w:color="auto"/>
        <w:bottom w:val="none" w:sz="0" w:space="0" w:color="auto"/>
        <w:right w:val="none" w:sz="0" w:space="0" w:color="auto"/>
      </w:divBdr>
    </w:div>
    <w:div w:id="1384862345">
      <w:bodyDiv w:val="1"/>
      <w:marLeft w:val="0"/>
      <w:marRight w:val="0"/>
      <w:marTop w:val="0"/>
      <w:marBottom w:val="0"/>
      <w:divBdr>
        <w:top w:val="none" w:sz="0" w:space="0" w:color="auto"/>
        <w:left w:val="none" w:sz="0" w:space="0" w:color="auto"/>
        <w:bottom w:val="none" w:sz="0" w:space="0" w:color="auto"/>
        <w:right w:val="none" w:sz="0" w:space="0" w:color="auto"/>
      </w:divBdr>
    </w:div>
    <w:div w:id="1385257575">
      <w:bodyDiv w:val="1"/>
      <w:marLeft w:val="0"/>
      <w:marRight w:val="0"/>
      <w:marTop w:val="0"/>
      <w:marBottom w:val="0"/>
      <w:divBdr>
        <w:top w:val="none" w:sz="0" w:space="0" w:color="auto"/>
        <w:left w:val="none" w:sz="0" w:space="0" w:color="auto"/>
        <w:bottom w:val="none" w:sz="0" w:space="0" w:color="auto"/>
        <w:right w:val="none" w:sz="0" w:space="0" w:color="auto"/>
      </w:divBdr>
    </w:div>
    <w:div w:id="1385719892">
      <w:bodyDiv w:val="1"/>
      <w:marLeft w:val="0"/>
      <w:marRight w:val="0"/>
      <w:marTop w:val="0"/>
      <w:marBottom w:val="0"/>
      <w:divBdr>
        <w:top w:val="none" w:sz="0" w:space="0" w:color="auto"/>
        <w:left w:val="none" w:sz="0" w:space="0" w:color="auto"/>
        <w:bottom w:val="none" w:sz="0" w:space="0" w:color="auto"/>
        <w:right w:val="none" w:sz="0" w:space="0" w:color="auto"/>
      </w:divBdr>
    </w:div>
    <w:div w:id="1385984316">
      <w:bodyDiv w:val="1"/>
      <w:marLeft w:val="0"/>
      <w:marRight w:val="0"/>
      <w:marTop w:val="0"/>
      <w:marBottom w:val="0"/>
      <w:divBdr>
        <w:top w:val="none" w:sz="0" w:space="0" w:color="auto"/>
        <w:left w:val="none" w:sz="0" w:space="0" w:color="auto"/>
        <w:bottom w:val="none" w:sz="0" w:space="0" w:color="auto"/>
        <w:right w:val="none" w:sz="0" w:space="0" w:color="auto"/>
      </w:divBdr>
    </w:div>
    <w:div w:id="1386567231">
      <w:bodyDiv w:val="1"/>
      <w:marLeft w:val="0"/>
      <w:marRight w:val="0"/>
      <w:marTop w:val="0"/>
      <w:marBottom w:val="0"/>
      <w:divBdr>
        <w:top w:val="none" w:sz="0" w:space="0" w:color="auto"/>
        <w:left w:val="none" w:sz="0" w:space="0" w:color="auto"/>
        <w:bottom w:val="none" w:sz="0" w:space="0" w:color="auto"/>
        <w:right w:val="none" w:sz="0" w:space="0" w:color="auto"/>
      </w:divBdr>
    </w:div>
    <w:div w:id="1387338719">
      <w:bodyDiv w:val="1"/>
      <w:marLeft w:val="0"/>
      <w:marRight w:val="0"/>
      <w:marTop w:val="0"/>
      <w:marBottom w:val="0"/>
      <w:divBdr>
        <w:top w:val="none" w:sz="0" w:space="0" w:color="auto"/>
        <w:left w:val="none" w:sz="0" w:space="0" w:color="auto"/>
        <w:bottom w:val="none" w:sz="0" w:space="0" w:color="auto"/>
        <w:right w:val="none" w:sz="0" w:space="0" w:color="auto"/>
      </w:divBdr>
    </w:div>
    <w:div w:id="1388601325">
      <w:bodyDiv w:val="1"/>
      <w:marLeft w:val="0"/>
      <w:marRight w:val="0"/>
      <w:marTop w:val="0"/>
      <w:marBottom w:val="0"/>
      <w:divBdr>
        <w:top w:val="none" w:sz="0" w:space="0" w:color="auto"/>
        <w:left w:val="none" w:sz="0" w:space="0" w:color="auto"/>
        <w:bottom w:val="none" w:sz="0" w:space="0" w:color="auto"/>
        <w:right w:val="none" w:sz="0" w:space="0" w:color="auto"/>
      </w:divBdr>
    </w:div>
    <w:div w:id="1389113590">
      <w:bodyDiv w:val="1"/>
      <w:marLeft w:val="0"/>
      <w:marRight w:val="0"/>
      <w:marTop w:val="0"/>
      <w:marBottom w:val="0"/>
      <w:divBdr>
        <w:top w:val="none" w:sz="0" w:space="0" w:color="auto"/>
        <w:left w:val="none" w:sz="0" w:space="0" w:color="auto"/>
        <w:bottom w:val="none" w:sz="0" w:space="0" w:color="auto"/>
        <w:right w:val="none" w:sz="0" w:space="0" w:color="auto"/>
      </w:divBdr>
    </w:div>
    <w:div w:id="1390491757">
      <w:bodyDiv w:val="1"/>
      <w:marLeft w:val="0"/>
      <w:marRight w:val="0"/>
      <w:marTop w:val="0"/>
      <w:marBottom w:val="0"/>
      <w:divBdr>
        <w:top w:val="none" w:sz="0" w:space="0" w:color="auto"/>
        <w:left w:val="none" w:sz="0" w:space="0" w:color="auto"/>
        <w:bottom w:val="none" w:sz="0" w:space="0" w:color="auto"/>
        <w:right w:val="none" w:sz="0" w:space="0" w:color="auto"/>
      </w:divBdr>
    </w:div>
    <w:div w:id="1391608648">
      <w:bodyDiv w:val="1"/>
      <w:marLeft w:val="0"/>
      <w:marRight w:val="0"/>
      <w:marTop w:val="0"/>
      <w:marBottom w:val="0"/>
      <w:divBdr>
        <w:top w:val="none" w:sz="0" w:space="0" w:color="auto"/>
        <w:left w:val="none" w:sz="0" w:space="0" w:color="auto"/>
        <w:bottom w:val="none" w:sz="0" w:space="0" w:color="auto"/>
        <w:right w:val="none" w:sz="0" w:space="0" w:color="auto"/>
      </w:divBdr>
    </w:div>
    <w:div w:id="1393113005">
      <w:bodyDiv w:val="1"/>
      <w:marLeft w:val="0"/>
      <w:marRight w:val="0"/>
      <w:marTop w:val="0"/>
      <w:marBottom w:val="0"/>
      <w:divBdr>
        <w:top w:val="none" w:sz="0" w:space="0" w:color="auto"/>
        <w:left w:val="none" w:sz="0" w:space="0" w:color="auto"/>
        <w:bottom w:val="none" w:sz="0" w:space="0" w:color="auto"/>
        <w:right w:val="none" w:sz="0" w:space="0" w:color="auto"/>
      </w:divBdr>
    </w:div>
    <w:div w:id="1393432448">
      <w:bodyDiv w:val="1"/>
      <w:marLeft w:val="0"/>
      <w:marRight w:val="0"/>
      <w:marTop w:val="0"/>
      <w:marBottom w:val="0"/>
      <w:divBdr>
        <w:top w:val="none" w:sz="0" w:space="0" w:color="auto"/>
        <w:left w:val="none" w:sz="0" w:space="0" w:color="auto"/>
        <w:bottom w:val="none" w:sz="0" w:space="0" w:color="auto"/>
        <w:right w:val="none" w:sz="0" w:space="0" w:color="auto"/>
      </w:divBdr>
    </w:div>
    <w:div w:id="1394114081">
      <w:bodyDiv w:val="1"/>
      <w:marLeft w:val="0"/>
      <w:marRight w:val="0"/>
      <w:marTop w:val="0"/>
      <w:marBottom w:val="0"/>
      <w:divBdr>
        <w:top w:val="none" w:sz="0" w:space="0" w:color="auto"/>
        <w:left w:val="none" w:sz="0" w:space="0" w:color="auto"/>
        <w:bottom w:val="none" w:sz="0" w:space="0" w:color="auto"/>
        <w:right w:val="none" w:sz="0" w:space="0" w:color="auto"/>
      </w:divBdr>
    </w:div>
    <w:div w:id="1394424770">
      <w:bodyDiv w:val="1"/>
      <w:marLeft w:val="0"/>
      <w:marRight w:val="0"/>
      <w:marTop w:val="0"/>
      <w:marBottom w:val="0"/>
      <w:divBdr>
        <w:top w:val="none" w:sz="0" w:space="0" w:color="auto"/>
        <w:left w:val="none" w:sz="0" w:space="0" w:color="auto"/>
        <w:bottom w:val="none" w:sz="0" w:space="0" w:color="auto"/>
        <w:right w:val="none" w:sz="0" w:space="0" w:color="auto"/>
      </w:divBdr>
    </w:div>
    <w:div w:id="1394615983">
      <w:bodyDiv w:val="1"/>
      <w:marLeft w:val="0"/>
      <w:marRight w:val="0"/>
      <w:marTop w:val="0"/>
      <w:marBottom w:val="0"/>
      <w:divBdr>
        <w:top w:val="none" w:sz="0" w:space="0" w:color="auto"/>
        <w:left w:val="none" w:sz="0" w:space="0" w:color="auto"/>
        <w:bottom w:val="none" w:sz="0" w:space="0" w:color="auto"/>
        <w:right w:val="none" w:sz="0" w:space="0" w:color="auto"/>
      </w:divBdr>
    </w:div>
    <w:div w:id="1397120157">
      <w:bodyDiv w:val="1"/>
      <w:marLeft w:val="0"/>
      <w:marRight w:val="0"/>
      <w:marTop w:val="0"/>
      <w:marBottom w:val="0"/>
      <w:divBdr>
        <w:top w:val="none" w:sz="0" w:space="0" w:color="auto"/>
        <w:left w:val="none" w:sz="0" w:space="0" w:color="auto"/>
        <w:bottom w:val="none" w:sz="0" w:space="0" w:color="auto"/>
        <w:right w:val="none" w:sz="0" w:space="0" w:color="auto"/>
      </w:divBdr>
    </w:div>
    <w:div w:id="1397629997">
      <w:bodyDiv w:val="1"/>
      <w:marLeft w:val="0"/>
      <w:marRight w:val="0"/>
      <w:marTop w:val="0"/>
      <w:marBottom w:val="0"/>
      <w:divBdr>
        <w:top w:val="none" w:sz="0" w:space="0" w:color="auto"/>
        <w:left w:val="none" w:sz="0" w:space="0" w:color="auto"/>
        <w:bottom w:val="none" w:sz="0" w:space="0" w:color="auto"/>
        <w:right w:val="none" w:sz="0" w:space="0" w:color="auto"/>
      </w:divBdr>
    </w:div>
    <w:div w:id="1398937309">
      <w:bodyDiv w:val="1"/>
      <w:marLeft w:val="0"/>
      <w:marRight w:val="0"/>
      <w:marTop w:val="0"/>
      <w:marBottom w:val="0"/>
      <w:divBdr>
        <w:top w:val="none" w:sz="0" w:space="0" w:color="auto"/>
        <w:left w:val="none" w:sz="0" w:space="0" w:color="auto"/>
        <w:bottom w:val="none" w:sz="0" w:space="0" w:color="auto"/>
        <w:right w:val="none" w:sz="0" w:space="0" w:color="auto"/>
      </w:divBdr>
    </w:div>
    <w:div w:id="1399010627">
      <w:bodyDiv w:val="1"/>
      <w:marLeft w:val="0"/>
      <w:marRight w:val="0"/>
      <w:marTop w:val="0"/>
      <w:marBottom w:val="0"/>
      <w:divBdr>
        <w:top w:val="none" w:sz="0" w:space="0" w:color="auto"/>
        <w:left w:val="none" w:sz="0" w:space="0" w:color="auto"/>
        <w:bottom w:val="none" w:sz="0" w:space="0" w:color="auto"/>
        <w:right w:val="none" w:sz="0" w:space="0" w:color="auto"/>
      </w:divBdr>
    </w:div>
    <w:div w:id="1399788131">
      <w:bodyDiv w:val="1"/>
      <w:marLeft w:val="0"/>
      <w:marRight w:val="0"/>
      <w:marTop w:val="0"/>
      <w:marBottom w:val="0"/>
      <w:divBdr>
        <w:top w:val="none" w:sz="0" w:space="0" w:color="auto"/>
        <w:left w:val="none" w:sz="0" w:space="0" w:color="auto"/>
        <w:bottom w:val="none" w:sz="0" w:space="0" w:color="auto"/>
        <w:right w:val="none" w:sz="0" w:space="0" w:color="auto"/>
      </w:divBdr>
    </w:div>
    <w:div w:id="1400716349">
      <w:bodyDiv w:val="1"/>
      <w:marLeft w:val="0"/>
      <w:marRight w:val="0"/>
      <w:marTop w:val="0"/>
      <w:marBottom w:val="0"/>
      <w:divBdr>
        <w:top w:val="none" w:sz="0" w:space="0" w:color="auto"/>
        <w:left w:val="none" w:sz="0" w:space="0" w:color="auto"/>
        <w:bottom w:val="none" w:sz="0" w:space="0" w:color="auto"/>
        <w:right w:val="none" w:sz="0" w:space="0" w:color="auto"/>
      </w:divBdr>
    </w:div>
    <w:div w:id="1400859375">
      <w:bodyDiv w:val="1"/>
      <w:marLeft w:val="0"/>
      <w:marRight w:val="0"/>
      <w:marTop w:val="0"/>
      <w:marBottom w:val="0"/>
      <w:divBdr>
        <w:top w:val="none" w:sz="0" w:space="0" w:color="auto"/>
        <w:left w:val="none" w:sz="0" w:space="0" w:color="auto"/>
        <w:bottom w:val="none" w:sz="0" w:space="0" w:color="auto"/>
        <w:right w:val="none" w:sz="0" w:space="0" w:color="auto"/>
      </w:divBdr>
    </w:div>
    <w:div w:id="1401364015">
      <w:bodyDiv w:val="1"/>
      <w:marLeft w:val="0"/>
      <w:marRight w:val="0"/>
      <w:marTop w:val="0"/>
      <w:marBottom w:val="0"/>
      <w:divBdr>
        <w:top w:val="none" w:sz="0" w:space="0" w:color="auto"/>
        <w:left w:val="none" w:sz="0" w:space="0" w:color="auto"/>
        <w:bottom w:val="none" w:sz="0" w:space="0" w:color="auto"/>
        <w:right w:val="none" w:sz="0" w:space="0" w:color="auto"/>
      </w:divBdr>
    </w:div>
    <w:div w:id="1402017313">
      <w:bodyDiv w:val="1"/>
      <w:marLeft w:val="0"/>
      <w:marRight w:val="0"/>
      <w:marTop w:val="0"/>
      <w:marBottom w:val="0"/>
      <w:divBdr>
        <w:top w:val="none" w:sz="0" w:space="0" w:color="auto"/>
        <w:left w:val="none" w:sz="0" w:space="0" w:color="auto"/>
        <w:bottom w:val="none" w:sz="0" w:space="0" w:color="auto"/>
        <w:right w:val="none" w:sz="0" w:space="0" w:color="auto"/>
      </w:divBdr>
    </w:div>
    <w:div w:id="1402288273">
      <w:bodyDiv w:val="1"/>
      <w:marLeft w:val="0"/>
      <w:marRight w:val="0"/>
      <w:marTop w:val="0"/>
      <w:marBottom w:val="0"/>
      <w:divBdr>
        <w:top w:val="none" w:sz="0" w:space="0" w:color="auto"/>
        <w:left w:val="none" w:sz="0" w:space="0" w:color="auto"/>
        <w:bottom w:val="none" w:sz="0" w:space="0" w:color="auto"/>
        <w:right w:val="none" w:sz="0" w:space="0" w:color="auto"/>
      </w:divBdr>
    </w:div>
    <w:div w:id="1402830600">
      <w:bodyDiv w:val="1"/>
      <w:marLeft w:val="0"/>
      <w:marRight w:val="0"/>
      <w:marTop w:val="0"/>
      <w:marBottom w:val="0"/>
      <w:divBdr>
        <w:top w:val="none" w:sz="0" w:space="0" w:color="auto"/>
        <w:left w:val="none" w:sz="0" w:space="0" w:color="auto"/>
        <w:bottom w:val="none" w:sz="0" w:space="0" w:color="auto"/>
        <w:right w:val="none" w:sz="0" w:space="0" w:color="auto"/>
      </w:divBdr>
    </w:div>
    <w:div w:id="1402950450">
      <w:bodyDiv w:val="1"/>
      <w:marLeft w:val="0"/>
      <w:marRight w:val="0"/>
      <w:marTop w:val="0"/>
      <w:marBottom w:val="0"/>
      <w:divBdr>
        <w:top w:val="none" w:sz="0" w:space="0" w:color="auto"/>
        <w:left w:val="none" w:sz="0" w:space="0" w:color="auto"/>
        <w:bottom w:val="none" w:sz="0" w:space="0" w:color="auto"/>
        <w:right w:val="none" w:sz="0" w:space="0" w:color="auto"/>
      </w:divBdr>
    </w:div>
    <w:div w:id="1404109650">
      <w:bodyDiv w:val="1"/>
      <w:marLeft w:val="0"/>
      <w:marRight w:val="0"/>
      <w:marTop w:val="0"/>
      <w:marBottom w:val="0"/>
      <w:divBdr>
        <w:top w:val="none" w:sz="0" w:space="0" w:color="auto"/>
        <w:left w:val="none" w:sz="0" w:space="0" w:color="auto"/>
        <w:bottom w:val="none" w:sz="0" w:space="0" w:color="auto"/>
        <w:right w:val="none" w:sz="0" w:space="0" w:color="auto"/>
      </w:divBdr>
    </w:div>
    <w:div w:id="1404332681">
      <w:bodyDiv w:val="1"/>
      <w:marLeft w:val="0"/>
      <w:marRight w:val="0"/>
      <w:marTop w:val="0"/>
      <w:marBottom w:val="0"/>
      <w:divBdr>
        <w:top w:val="none" w:sz="0" w:space="0" w:color="auto"/>
        <w:left w:val="none" w:sz="0" w:space="0" w:color="auto"/>
        <w:bottom w:val="none" w:sz="0" w:space="0" w:color="auto"/>
        <w:right w:val="none" w:sz="0" w:space="0" w:color="auto"/>
      </w:divBdr>
    </w:div>
    <w:div w:id="1404335188">
      <w:bodyDiv w:val="1"/>
      <w:marLeft w:val="0"/>
      <w:marRight w:val="0"/>
      <w:marTop w:val="0"/>
      <w:marBottom w:val="0"/>
      <w:divBdr>
        <w:top w:val="none" w:sz="0" w:space="0" w:color="auto"/>
        <w:left w:val="none" w:sz="0" w:space="0" w:color="auto"/>
        <w:bottom w:val="none" w:sz="0" w:space="0" w:color="auto"/>
        <w:right w:val="none" w:sz="0" w:space="0" w:color="auto"/>
      </w:divBdr>
    </w:div>
    <w:div w:id="1404570159">
      <w:bodyDiv w:val="1"/>
      <w:marLeft w:val="0"/>
      <w:marRight w:val="0"/>
      <w:marTop w:val="0"/>
      <w:marBottom w:val="0"/>
      <w:divBdr>
        <w:top w:val="none" w:sz="0" w:space="0" w:color="auto"/>
        <w:left w:val="none" w:sz="0" w:space="0" w:color="auto"/>
        <w:bottom w:val="none" w:sz="0" w:space="0" w:color="auto"/>
        <w:right w:val="none" w:sz="0" w:space="0" w:color="auto"/>
      </w:divBdr>
    </w:div>
    <w:div w:id="1405032631">
      <w:bodyDiv w:val="1"/>
      <w:marLeft w:val="0"/>
      <w:marRight w:val="0"/>
      <w:marTop w:val="0"/>
      <w:marBottom w:val="0"/>
      <w:divBdr>
        <w:top w:val="none" w:sz="0" w:space="0" w:color="auto"/>
        <w:left w:val="none" w:sz="0" w:space="0" w:color="auto"/>
        <w:bottom w:val="none" w:sz="0" w:space="0" w:color="auto"/>
        <w:right w:val="none" w:sz="0" w:space="0" w:color="auto"/>
      </w:divBdr>
    </w:div>
    <w:div w:id="1405253037">
      <w:bodyDiv w:val="1"/>
      <w:marLeft w:val="0"/>
      <w:marRight w:val="0"/>
      <w:marTop w:val="0"/>
      <w:marBottom w:val="0"/>
      <w:divBdr>
        <w:top w:val="none" w:sz="0" w:space="0" w:color="auto"/>
        <w:left w:val="none" w:sz="0" w:space="0" w:color="auto"/>
        <w:bottom w:val="none" w:sz="0" w:space="0" w:color="auto"/>
        <w:right w:val="none" w:sz="0" w:space="0" w:color="auto"/>
      </w:divBdr>
    </w:div>
    <w:div w:id="1405909399">
      <w:bodyDiv w:val="1"/>
      <w:marLeft w:val="0"/>
      <w:marRight w:val="0"/>
      <w:marTop w:val="0"/>
      <w:marBottom w:val="0"/>
      <w:divBdr>
        <w:top w:val="none" w:sz="0" w:space="0" w:color="auto"/>
        <w:left w:val="none" w:sz="0" w:space="0" w:color="auto"/>
        <w:bottom w:val="none" w:sz="0" w:space="0" w:color="auto"/>
        <w:right w:val="none" w:sz="0" w:space="0" w:color="auto"/>
      </w:divBdr>
    </w:div>
    <w:div w:id="1408459282">
      <w:bodyDiv w:val="1"/>
      <w:marLeft w:val="0"/>
      <w:marRight w:val="0"/>
      <w:marTop w:val="0"/>
      <w:marBottom w:val="0"/>
      <w:divBdr>
        <w:top w:val="none" w:sz="0" w:space="0" w:color="auto"/>
        <w:left w:val="none" w:sz="0" w:space="0" w:color="auto"/>
        <w:bottom w:val="none" w:sz="0" w:space="0" w:color="auto"/>
        <w:right w:val="none" w:sz="0" w:space="0" w:color="auto"/>
      </w:divBdr>
    </w:div>
    <w:div w:id="1408646027">
      <w:bodyDiv w:val="1"/>
      <w:marLeft w:val="0"/>
      <w:marRight w:val="0"/>
      <w:marTop w:val="0"/>
      <w:marBottom w:val="0"/>
      <w:divBdr>
        <w:top w:val="none" w:sz="0" w:space="0" w:color="auto"/>
        <w:left w:val="none" w:sz="0" w:space="0" w:color="auto"/>
        <w:bottom w:val="none" w:sz="0" w:space="0" w:color="auto"/>
        <w:right w:val="none" w:sz="0" w:space="0" w:color="auto"/>
      </w:divBdr>
    </w:div>
    <w:div w:id="1408770848">
      <w:bodyDiv w:val="1"/>
      <w:marLeft w:val="0"/>
      <w:marRight w:val="0"/>
      <w:marTop w:val="0"/>
      <w:marBottom w:val="0"/>
      <w:divBdr>
        <w:top w:val="none" w:sz="0" w:space="0" w:color="auto"/>
        <w:left w:val="none" w:sz="0" w:space="0" w:color="auto"/>
        <w:bottom w:val="none" w:sz="0" w:space="0" w:color="auto"/>
        <w:right w:val="none" w:sz="0" w:space="0" w:color="auto"/>
      </w:divBdr>
    </w:div>
    <w:div w:id="1409768630">
      <w:bodyDiv w:val="1"/>
      <w:marLeft w:val="0"/>
      <w:marRight w:val="0"/>
      <w:marTop w:val="0"/>
      <w:marBottom w:val="0"/>
      <w:divBdr>
        <w:top w:val="none" w:sz="0" w:space="0" w:color="auto"/>
        <w:left w:val="none" w:sz="0" w:space="0" w:color="auto"/>
        <w:bottom w:val="none" w:sz="0" w:space="0" w:color="auto"/>
        <w:right w:val="none" w:sz="0" w:space="0" w:color="auto"/>
      </w:divBdr>
    </w:div>
    <w:div w:id="1409885580">
      <w:bodyDiv w:val="1"/>
      <w:marLeft w:val="0"/>
      <w:marRight w:val="0"/>
      <w:marTop w:val="0"/>
      <w:marBottom w:val="0"/>
      <w:divBdr>
        <w:top w:val="none" w:sz="0" w:space="0" w:color="auto"/>
        <w:left w:val="none" w:sz="0" w:space="0" w:color="auto"/>
        <w:bottom w:val="none" w:sz="0" w:space="0" w:color="auto"/>
        <w:right w:val="none" w:sz="0" w:space="0" w:color="auto"/>
      </w:divBdr>
    </w:div>
    <w:div w:id="1410347596">
      <w:bodyDiv w:val="1"/>
      <w:marLeft w:val="0"/>
      <w:marRight w:val="0"/>
      <w:marTop w:val="0"/>
      <w:marBottom w:val="0"/>
      <w:divBdr>
        <w:top w:val="none" w:sz="0" w:space="0" w:color="auto"/>
        <w:left w:val="none" w:sz="0" w:space="0" w:color="auto"/>
        <w:bottom w:val="none" w:sz="0" w:space="0" w:color="auto"/>
        <w:right w:val="none" w:sz="0" w:space="0" w:color="auto"/>
      </w:divBdr>
    </w:div>
    <w:div w:id="1411006914">
      <w:bodyDiv w:val="1"/>
      <w:marLeft w:val="0"/>
      <w:marRight w:val="0"/>
      <w:marTop w:val="0"/>
      <w:marBottom w:val="0"/>
      <w:divBdr>
        <w:top w:val="none" w:sz="0" w:space="0" w:color="auto"/>
        <w:left w:val="none" w:sz="0" w:space="0" w:color="auto"/>
        <w:bottom w:val="none" w:sz="0" w:space="0" w:color="auto"/>
        <w:right w:val="none" w:sz="0" w:space="0" w:color="auto"/>
      </w:divBdr>
    </w:div>
    <w:div w:id="1411730409">
      <w:bodyDiv w:val="1"/>
      <w:marLeft w:val="0"/>
      <w:marRight w:val="0"/>
      <w:marTop w:val="0"/>
      <w:marBottom w:val="0"/>
      <w:divBdr>
        <w:top w:val="none" w:sz="0" w:space="0" w:color="auto"/>
        <w:left w:val="none" w:sz="0" w:space="0" w:color="auto"/>
        <w:bottom w:val="none" w:sz="0" w:space="0" w:color="auto"/>
        <w:right w:val="none" w:sz="0" w:space="0" w:color="auto"/>
      </w:divBdr>
    </w:div>
    <w:div w:id="1413090585">
      <w:bodyDiv w:val="1"/>
      <w:marLeft w:val="0"/>
      <w:marRight w:val="0"/>
      <w:marTop w:val="0"/>
      <w:marBottom w:val="0"/>
      <w:divBdr>
        <w:top w:val="none" w:sz="0" w:space="0" w:color="auto"/>
        <w:left w:val="none" w:sz="0" w:space="0" w:color="auto"/>
        <w:bottom w:val="none" w:sz="0" w:space="0" w:color="auto"/>
        <w:right w:val="none" w:sz="0" w:space="0" w:color="auto"/>
      </w:divBdr>
    </w:div>
    <w:div w:id="1413697394">
      <w:bodyDiv w:val="1"/>
      <w:marLeft w:val="0"/>
      <w:marRight w:val="0"/>
      <w:marTop w:val="0"/>
      <w:marBottom w:val="0"/>
      <w:divBdr>
        <w:top w:val="none" w:sz="0" w:space="0" w:color="auto"/>
        <w:left w:val="none" w:sz="0" w:space="0" w:color="auto"/>
        <w:bottom w:val="none" w:sz="0" w:space="0" w:color="auto"/>
        <w:right w:val="none" w:sz="0" w:space="0" w:color="auto"/>
      </w:divBdr>
    </w:div>
    <w:div w:id="1413892287">
      <w:bodyDiv w:val="1"/>
      <w:marLeft w:val="0"/>
      <w:marRight w:val="0"/>
      <w:marTop w:val="0"/>
      <w:marBottom w:val="0"/>
      <w:divBdr>
        <w:top w:val="none" w:sz="0" w:space="0" w:color="auto"/>
        <w:left w:val="none" w:sz="0" w:space="0" w:color="auto"/>
        <w:bottom w:val="none" w:sz="0" w:space="0" w:color="auto"/>
        <w:right w:val="none" w:sz="0" w:space="0" w:color="auto"/>
      </w:divBdr>
    </w:div>
    <w:div w:id="1414626199">
      <w:bodyDiv w:val="1"/>
      <w:marLeft w:val="0"/>
      <w:marRight w:val="0"/>
      <w:marTop w:val="0"/>
      <w:marBottom w:val="0"/>
      <w:divBdr>
        <w:top w:val="none" w:sz="0" w:space="0" w:color="auto"/>
        <w:left w:val="none" w:sz="0" w:space="0" w:color="auto"/>
        <w:bottom w:val="none" w:sz="0" w:space="0" w:color="auto"/>
        <w:right w:val="none" w:sz="0" w:space="0" w:color="auto"/>
      </w:divBdr>
    </w:div>
    <w:div w:id="1415469702">
      <w:bodyDiv w:val="1"/>
      <w:marLeft w:val="0"/>
      <w:marRight w:val="0"/>
      <w:marTop w:val="0"/>
      <w:marBottom w:val="0"/>
      <w:divBdr>
        <w:top w:val="none" w:sz="0" w:space="0" w:color="auto"/>
        <w:left w:val="none" w:sz="0" w:space="0" w:color="auto"/>
        <w:bottom w:val="none" w:sz="0" w:space="0" w:color="auto"/>
        <w:right w:val="none" w:sz="0" w:space="0" w:color="auto"/>
      </w:divBdr>
    </w:div>
    <w:div w:id="1416318871">
      <w:bodyDiv w:val="1"/>
      <w:marLeft w:val="0"/>
      <w:marRight w:val="0"/>
      <w:marTop w:val="0"/>
      <w:marBottom w:val="0"/>
      <w:divBdr>
        <w:top w:val="none" w:sz="0" w:space="0" w:color="auto"/>
        <w:left w:val="none" w:sz="0" w:space="0" w:color="auto"/>
        <w:bottom w:val="none" w:sz="0" w:space="0" w:color="auto"/>
        <w:right w:val="none" w:sz="0" w:space="0" w:color="auto"/>
      </w:divBdr>
    </w:div>
    <w:div w:id="1416635686">
      <w:bodyDiv w:val="1"/>
      <w:marLeft w:val="0"/>
      <w:marRight w:val="0"/>
      <w:marTop w:val="0"/>
      <w:marBottom w:val="0"/>
      <w:divBdr>
        <w:top w:val="none" w:sz="0" w:space="0" w:color="auto"/>
        <w:left w:val="none" w:sz="0" w:space="0" w:color="auto"/>
        <w:bottom w:val="none" w:sz="0" w:space="0" w:color="auto"/>
        <w:right w:val="none" w:sz="0" w:space="0" w:color="auto"/>
      </w:divBdr>
    </w:div>
    <w:div w:id="1416896973">
      <w:bodyDiv w:val="1"/>
      <w:marLeft w:val="0"/>
      <w:marRight w:val="0"/>
      <w:marTop w:val="0"/>
      <w:marBottom w:val="0"/>
      <w:divBdr>
        <w:top w:val="none" w:sz="0" w:space="0" w:color="auto"/>
        <w:left w:val="none" w:sz="0" w:space="0" w:color="auto"/>
        <w:bottom w:val="none" w:sz="0" w:space="0" w:color="auto"/>
        <w:right w:val="none" w:sz="0" w:space="0" w:color="auto"/>
      </w:divBdr>
    </w:div>
    <w:div w:id="1417168428">
      <w:bodyDiv w:val="1"/>
      <w:marLeft w:val="0"/>
      <w:marRight w:val="0"/>
      <w:marTop w:val="0"/>
      <w:marBottom w:val="0"/>
      <w:divBdr>
        <w:top w:val="none" w:sz="0" w:space="0" w:color="auto"/>
        <w:left w:val="none" w:sz="0" w:space="0" w:color="auto"/>
        <w:bottom w:val="none" w:sz="0" w:space="0" w:color="auto"/>
        <w:right w:val="none" w:sz="0" w:space="0" w:color="auto"/>
      </w:divBdr>
    </w:div>
    <w:div w:id="1417282614">
      <w:bodyDiv w:val="1"/>
      <w:marLeft w:val="0"/>
      <w:marRight w:val="0"/>
      <w:marTop w:val="0"/>
      <w:marBottom w:val="0"/>
      <w:divBdr>
        <w:top w:val="none" w:sz="0" w:space="0" w:color="auto"/>
        <w:left w:val="none" w:sz="0" w:space="0" w:color="auto"/>
        <w:bottom w:val="none" w:sz="0" w:space="0" w:color="auto"/>
        <w:right w:val="none" w:sz="0" w:space="0" w:color="auto"/>
      </w:divBdr>
    </w:div>
    <w:div w:id="1417363552">
      <w:bodyDiv w:val="1"/>
      <w:marLeft w:val="0"/>
      <w:marRight w:val="0"/>
      <w:marTop w:val="0"/>
      <w:marBottom w:val="0"/>
      <w:divBdr>
        <w:top w:val="none" w:sz="0" w:space="0" w:color="auto"/>
        <w:left w:val="none" w:sz="0" w:space="0" w:color="auto"/>
        <w:bottom w:val="none" w:sz="0" w:space="0" w:color="auto"/>
        <w:right w:val="none" w:sz="0" w:space="0" w:color="auto"/>
      </w:divBdr>
    </w:div>
    <w:div w:id="1417746819">
      <w:bodyDiv w:val="1"/>
      <w:marLeft w:val="0"/>
      <w:marRight w:val="0"/>
      <w:marTop w:val="0"/>
      <w:marBottom w:val="0"/>
      <w:divBdr>
        <w:top w:val="none" w:sz="0" w:space="0" w:color="auto"/>
        <w:left w:val="none" w:sz="0" w:space="0" w:color="auto"/>
        <w:bottom w:val="none" w:sz="0" w:space="0" w:color="auto"/>
        <w:right w:val="none" w:sz="0" w:space="0" w:color="auto"/>
      </w:divBdr>
    </w:div>
    <w:div w:id="1418012826">
      <w:bodyDiv w:val="1"/>
      <w:marLeft w:val="0"/>
      <w:marRight w:val="0"/>
      <w:marTop w:val="0"/>
      <w:marBottom w:val="0"/>
      <w:divBdr>
        <w:top w:val="none" w:sz="0" w:space="0" w:color="auto"/>
        <w:left w:val="none" w:sz="0" w:space="0" w:color="auto"/>
        <w:bottom w:val="none" w:sz="0" w:space="0" w:color="auto"/>
        <w:right w:val="none" w:sz="0" w:space="0" w:color="auto"/>
      </w:divBdr>
    </w:div>
    <w:div w:id="1418096693">
      <w:bodyDiv w:val="1"/>
      <w:marLeft w:val="0"/>
      <w:marRight w:val="0"/>
      <w:marTop w:val="0"/>
      <w:marBottom w:val="0"/>
      <w:divBdr>
        <w:top w:val="none" w:sz="0" w:space="0" w:color="auto"/>
        <w:left w:val="none" w:sz="0" w:space="0" w:color="auto"/>
        <w:bottom w:val="none" w:sz="0" w:space="0" w:color="auto"/>
        <w:right w:val="none" w:sz="0" w:space="0" w:color="auto"/>
      </w:divBdr>
    </w:div>
    <w:div w:id="1419643655">
      <w:bodyDiv w:val="1"/>
      <w:marLeft w:val="0"/>
      <w:marRight w:val="0"/>
      <w:marTop w:val="0"/>
      <w:marBottom w:val="0"/>
      <w:divBdr>
        <w:top w:val="none" w:sz="0" w:space="0" w:color="auto"/>
        <w:left w:val="none" w:sz="0" w:space="0" w:color="auto"/>
        <w:bottom w:val="none" w:sz="0" w:space="0" w:color="auto"/>
        <w:right w:val="none" w:sz="0" w:space="0" w:color="auto"/>
      </w:divBdr>
    </w:div>
    <w:div w:id="1421754099">
      <w:bodyDiv w:val="1"/>
      <w:marLeft w:val="0"/>
      <w:marRight w:val="0"/>
      <w:marTop w:val="0"/>
      <w:marBottom w:val="0"/>
      <w:divBdr>
        <w:top w:val="none" w:sz="0" w:space="0" w:color="auto"/>
        <w:left w:val="none" w:sz="0" w:space="0" w:color="auto"/>
        <w:bottom w:val="none" w:sz="0" w:space="0" w:color="auto"/>
        <w:right w:val="none" w:sz="0" w:space="0" w:color="auto"/>
      </w:divBdr>
    </w:div>
    <w:div w:id="1421829821">
      <w:bodyDiv w:val="1"/>
      <w:marLeft w:val="0"/>
      <w:marRight w:val="0"/>
      <w:marTop w:val="0"/>
      <w:marBottom w:val="0"/>
      <w:divBdr>
        <w:top w:val="none" w:sz="0" w:space="0" w:color="auto"/>
        <w:left w:val="none" w:sz="0" w:space="0" w:color="auto"/>
        <w:bottom w:val="none" w:sz="0" w:space="0" w:color="auto"/>
        <w:right w:val="none" w:sz="0" w:space="0" w:color="auto"/>
      </w:divBdr>
    </w:div>
    <w:div w:id="1422141081">
      <w:bodyDiv w:val="1"/>
      <w:marLeft w:val="0"/>
      <w:marRight w:val="0"/>
      <w:marTop w:val="0"/>
      <w:marBottom w:val="0"/>
      <w:divBdr>
        <w:top w:val="none" w:sz="0" w:space="0" w:color="auto"/>
        <w:left w:val="none" w:sz="0" w:space="0" w:color="auto"/>
        <w:bottom w:val="none" w:sz="0" w:space="0" w:color="auto"/>
        <w:right w:val="none" w:sz="0" w:space="0" w:color="auto"/>
      </w:divBdr>
    </w:div>
    <w:div w:id="1422216821">
      <w:bodyDiv w:val="1"/>
      <w:marLeft w:val="0"/>
      <w:marRight w:val="0"/>
      <w:marTop w:val="0"/>
      <w:marBottom w:val="0"/>
      <w:divBdr>
        <w:top w:val="none" w:sz="0" w:space="0" w:color="auto"/>
        <w:left w:val="none" w:sz="0" w:space="0" w:color="auto"/>
        <w:bottom w:val="none" w:sz="0" w:space="0" w:color="auto"/>
        <w:right w:val="none" w:sz="0" w:space="0" w:color="auto"/>
      </w:divBdr>
    </w:div>
    <w:div w:id="1422221121">
      <w:bodyDiv w:val="1"/>
      <w:marLeft w:val="0"/>
      <w:marRight w:val="0"/>
      <w:marTop w:val="0"/>
      <w:marBottom w:val="0"/>
      <w:divBdr>
        <w:top w:val="none" w:sz="0" w:space="0" w:color="auto"/>
        <w:left w:val="none" w:sz="0" w:space="0" w:color="auto"/>
        <w:bottom w:val="none" w:sz="0" w:space="0" w:color="auto"/>
        <w:right w:val="none" w:sz="0" w:space="0" w:color="auto"/>
      </w:divBdr>
    </w:div>
    <w:div w:id="1422798558">
      <w:bodyDiv w:val="1"/>
      <w:marLeft w:val="0"/>
      <w:marRight w:val="0"/>
      <w:marTop w:val="0"/>
      <w:marBottom w:val="0"/>
      <w:divBdr>
        <w:top w:val="none" w:sz="0" w:space="0" w:color="auto"/>
        <w:left w:val="none" w:sz="0" w:space="0" w:color="auto"/>
        <w:bottom w:val="none" w:sz="0" w:space="0" w:color="auto"/>
        <w:right w:val="none" w:sz="0" w:space="0" w:color="auto"/>
      </w:divBdr>
    </w:div>
    <w:div w:id="1423181039">
      <w:bodyDiv w:val="1"/>
      <w:marLeft w:val="0"/>
      <w:marRight w:val="0"/>
      <w:marTop w:val="0"/>
      <w:marBottom w:val="0"/>
      <w:divBdr>
        <w:top w:val="none" w:sz="0" w:space="0" w:color="auto"/>
        <w:left w:val="none" w:sz="0" w:space="0" w:color="auto"/>
        <w:bottom w:val="none" w:sz="0" w:space="0" w:color="auto"/>
        <w:right w:val="none" w:sz="0" w:space="0" w:color="auto"/>
      </w:divBdr>
    </w:div>
    <w:div w:id="1425414794">
      <w:bodyDiv w:val="1"/>
      <w:marLeft w:val="0"/>
      <w:marRight w:val="0"/>
      <w:marTop w:val="0"/>
      <w:marBottom w:val="0"/>
      <w:divBdr>
        <w:top w:val="none" w:sz="0" w:space="0" w:color="auto"/>
        <w:left w:val="none" w:sz="0" w:space="0" w:color="auto"/>
        <w:bottom w:val="none" w:sz="0" w:space="0" w:color="auto"/>
        <w:right w:val="none" w:sz="0" w:space="0" w:color="auto"/>
      </w:divBdr>
    </w:div>
    <w:div w:id="1425610164">
      <w:bodyDiv w:val="1"/>
      <w:marLeft w:val="0"/>
      <w:marRight w:val="0"/>
      <w:marTop w:val="0"/>
      <w:marBottom w:val="0"/>
      <w:divBdr>
        <w:top w:val="none" w:sz="0" w:space="0" w:color="auto"/>
        <w:left w:val="none" w:sz="0" w:space="0" w:color="auto"/>
        <w:bottom w:val="none" w:sz="0" w:space="0" w:color="auto"/>
        <w:right w:val="none" w:sz="0" w:space="0" w:color="auto"/>
      </w:divBdr>
    </w:div>
    <w:div w:id="1426151010">
      <w:bodyDiv w:val="1"/>
      <w:marLeft w:val="0"/>
      <w:marRight w:val="0"/>
      <w:marTop w:val="0"/>
      <w:marBottom w:val="0"/>
      <w:divBdr>
        <w:top w:val="none" w:sz="0" w:space="0" w:color="auto"/>
        <w:left w:val="none" w:sz="0" w:space="0" w:color="auto"/>
        <w:bottom w:val="none" w:sz="0" w:space="0" w:color="auto"/>
        <w:right w:val="none" w:sz="0" w:space="0" w:color="auto"/>
      </w:divBdr>
    </w:div>
    <w:div w:id="1426657735">
      <w:bodyDiv w:val="1"/>
      <w:marLeft w:val="0"/>
      <w:marRight w:val="0"/>
      <w:marTop w:val="0"/>
      <w:marBottom w:val="0"/>
      <w:divBdr>
        <w:top w:val="none" w:sz="0" w:space="0" w:color="auto"/>
        <w:left w:val="none" w:sz="0" w:space="0" w:color="auto"/>
        <w:bottom w:val="none" w:sz="0" w:space="0" w:color="auto"/>
        <w:right w:val="none" w:sz="0" w:space="0" w:color="auto"/>
      </w:divBdr>
    </w:div>
    <w:div w:id="1426851297">
      <w:bodyDiv w:val="1"/>
      <w:marLeft w:val="0"/>
      <w:marRight w:val="0"/>
      <w:marTop w:val="0"/>
      <w:marBottom w:val="0"/>
      <w:divBdr>
        <w:top w:val="none" w:sz="0" w:space="0" w:color="auto"/>
        <w:left w:val="none" w:sz="0" w:space="0" w:color="auto"/>
        <w:bottom w:val="none" w:sz="0" w:space="0" w:color="auto"/>
        <w:right w:val="none" w:sz="0" w:space="0" w:color="auto"/>
      </w:divBdr>
    </w:div>
    <w:div w:id="1427577000">
      <w:bodyDiv w:val="1"/>
      <w:marLeft w:val="0"/>
      <w:marRight w:val="0"/>
      <w:marTop w:val="0"/>
      <w:marBottom w:val="0"/>
      <w:divBdr>
        <w:top w:val="none" w:sz="0" w:space="0" w:color="auto"/>
        <w:left w:val="none" w:sz="0" w:space="0" w:color="auto"/>
        <w:bottom w:val="none" w:sz="0" w:space="0" w:color="auto"/>
        <w:right w:val="none" w:sz="0" w:space="0" w:color="auto"/>
      </w:divBdr>
    </w:div>
    <w:div w:id="1429429927">
      <w:bodyDiv w:val="1"/>
      <w:marLeft w:val="0"/>
      <w:marRight w:val="0"/>
      <w:marTop w:val="0"/>
      <w:marBottom w:val="0"/>
      <w:divBdr>
        <w:top w:val="none" w:sz="0" w:space="0" w:color="auto"/>
        <w:left w:val="none" w:sz="0" w:space="0" w:color="auto"/>
        <w:bottom w:val="none" w:sz="0" w:space="0" w:color="auto"/>
        <w:right w:val="none" w:sz="0" w:space="0" w:color="auto"/>
      </w:divBdr>
    </w:div>
    <w:div w:id="1430544101">
      <w:bodyDiv w:val="1"/>
      <w:marLeft w:val="0"/>
      <w:marRight w:val="0"/>
      <w:marTop w:val="0"/>
      <w:marBottom w:val="0"/>
      <w:divBdr>
        <w:top w:val="none" w:sz="0" w:space="0" w:color="auto"/>
        <w:left w:val="none" w:sz="0" w:space="0" w:color="auto"/>
        <w:bottom w:val="none" w:sz="0" w:space="0" w:color="auto"/>
        <w:right w:val="none" w:sz="0" w:space="0" w:color="auto"/>
      </w:divBdr>
    </w:div>
    <w:div w:id="1431699500">
      <w:bodyDiv w:val="1"/>
      <w:marLeft w:val="0"/>
      <w:marRight w:val="0"/>
      <w:marTop w:val="0"/>
      <w:marBottom w:val="0"/>
      <w:divBdr>
        <w:top w:val="none" w:sz="0" w:space="0" w:color="auto"/>
        <w:left w:val="none" w:sz="0" w:space="0" w:color="auto"/>
        <w:bottom w:val="none" w:sz="0" w:space="0" w:color="auto"/>
        <w:right w:val="none" w:sz="0" w:space="0" w:color="auto"/>
      </w:divBdr>
    </w:div>
    <w:div w:id="1431851905">
      <w:bodyDiv w:val="1"/>
      <w:marLeft w:val="0"/>
      <w:marRight w:val="0"/>
      <w:marTop w:val="0"/>
      <w:marBottom w:val="0"/>
      <w:divBdr>
        <w:top w:val="none" w:sz="0" w:space="0" w:color="auto"/>
        <w:left w:val="none" w:sz="0" w:space="0" w:color="auto"/>
        <w:bottom w:val="none" w:sz="0" w:space="0" w:color="auto"/>
        <w:right w:val="none" w:sz="0" w:space="0" w:color="auto"/>
      </w:divBdr>
    </w:div>
    <w:div w:id="1435439184">
      <w:bodyDiv w:val="1"/>
      <w:marLeft w:val="0"/>
      <w:marRight w:val="0"/>
      <w:marTop w:val="0"/>
      <w:marBottom w:val="0"/>
      <w:divBdr>
        <w:top w:val="none" w:sz="0" w:space="0" w:color="auto"/>
        <w:left w:val="none" w:sz="0" w:space="0" w:color="auto"/>
        <w:bottom w:val="none" w:sz="0" w:space="0" w:color="auto"/>
        <w:right w:val="none" w:sz="0" w:space="0" w:color="auto"/>
      </w:divBdr>
    </w:div>
    <w:div w:id="1436247716">
      <w:bodyDiv w:val="1"/>
      <w:marLeft w:val="0"/>
      <w:marRight w:val="0"/>
      <w:marTop w:val="0"/>
      <w:marBottom w:val="0"/>
      <w:divBdr>
        <w:top w:val="none" w:sz="0" w:space="0" w:color="auto"/>
        <w:left w:val="none" w:sz="0" w:space="0" w:color="auto"/>
        <w:bottom w:val="none" w:sz="0" w:space="0" w:color="auto"/>
        <w:right w:val="none" w:sz="0" w:space="0" w:color="auto"/>
      </w:divBdr>
    </w:div>
    <w:div w:id="1436484731">
      <w:bodyDiv w:val="1"/>
      <w:marLeft w:val="0"/>
      <w:marRight w:val="0"/>
      <w:marTop w:val="0"/>
      <w:marBottom w:val="0"/>
      <w:divBdr>
        <w:top w:val="none" w:sz="0" w:space="0" w:color="auto"/>
        <w:left w:val="none" w:sz="0" w:space="0" w:color="auto"/>
        <w:bottom w:val="none" w:sz="0" w:space="0" w:color="auto"/>
        <w:right w:val="none" w:sz="0" w:space="0" w:color="auto"/>
      </w:divBdr>
    </w:div>
    <w:div w:id="1437559880">
      <w:bodyDiv w:val="1"/>
      <w:marLeft w:val="0"/>
      <w:marRight w:val="0"/>
      <w:marTop w:val="0"/>
      <w:marBottom w:val="0"/>
      <w:divBdr>
        <w:top w:val="none" w:sz="0" w:space="0" w:color="auto"/>
        <w:left w:val="none" w:sz="0" w:space="0" w:color="auto"/>
        <w:bottom w:val="none" w:sz="0" w:space="0" w:color="auto"/>
        <w:right w:val="none" w:sz="0" w:space="0" w:color="auto"/>
      </w:divBdr>
    </w:div>
    <w:div w:id="1437825784">
      <w:bodyDiv w:val="1"/>
      <w:marLeft w:val="0"/>
      <w:marRight w:val="0"/>
      <w:marTop w:val="0"/>
      <w:marBottom w:val="0"/>
      <w:divBdr>
        <w:top w:val="none" w:sz="0" w:space="0" w:color="auto"/>
        <w:left w:val="none" w:sz="0" w:space="0" w:color="auto"/>
        <w:bottom w:val="none" w:sz="0" w:space="0" w:color="auto"/>
        <w:right w:val="none" w:sz="0" w:space="0" w:color="auto"/>
      </w:divBdr>
    </w:div>
    <w:div w:id="1438677778">
      <w:bodyDiv w:val="1"/>
      <w:marLeft w:val="0"/>
      <w:marRight w:val="0"/>
      <w:marTop w:val="0"/>
      <w:marBottom w:val="0"/>
      <w:divBdr>
        <w:top w:val="none" w:sz="0" w:space="0" w:color="auto"/>
        <w:left w:val="none" w:sz="0" w:space="0" w:color="auto"/>
        <w:bottom w:val="none" w:sz="0" w:space="0" w:color="auto"/>
        <w:right w:val="none" w:sz="0" w:space="0" w:color="auto"/>
      </w:divBdr>
    </w:div>
    <w:div w:id="1438867557">
      <w:bodyDiv w:val="1"/>
      <w:marLeft w:val="0"/>
      <w:marRight w:val="0"/>
      <w:marTop w:val="0"/>
      <w:marBottom w:val="0"/>
      <w:divBdr>
        <w:top w:val="none" w:sz="0" w:space="0" w:color="auto"/>
        <w:left w:val="none" w:sz="0" w:space="0" w:color="auto"/>
        <w:bottom w:val="none" w:sz="0" w:space="0" w:color="auto"/>
        <w:right w:val="none" w:sz="0" w:space="0" w:color="auto"/>
      </w:divBdr>
    </w:div>
    <w:div w:id="1439183681">
      <w:bodyDiv w:val="1"/>
      <w:marLeft w:val="0"/>
      <w:marRight w:val="0"/>
      <w:marTop w:val="0"/>
      <w:marBottom w:val="0"/>
      <w:divBdr>
        <w:top w:val="none" w:sz="0" w:space="0" w:color="auto"/>
        <w:left w:val="none" w:sz="0" w:space="0" w:color="auto"/>
        <w:bottom w:val="none" w:sz="0" w:space="0" w:color="auto"/>
        <w:right w:val="none" w:sz="0" w:space="0" w:color="auto"/>
      </w:divBdr>
    </w:div>
    <w:div w:id="1439450102">
      <w:bodyDiv w:val="1"/>
      <w:marLeft w:val="0"/>
      <w:marRight w:val="0"/>
      <w:marTop w:val="0"/>
      <w:marBottom w:val="0"/>
      <w:divBdr>
        <w:top w:val="none" w:sz="0" w:space="0" w:color="auto"/>
        <w:left w:val="none" w:sz="0" w:space="0" w:color="auto"/>
        <w:bottom w:val="none" w:sz="0" w:space="0" w:color="auto"/>
        <w:right w:val="none" w:sz="0" w:space="0" w:color="auto"/>
      </w:divBdr>
    </w:div>
    <w:div w:id="1439569644">
      <w:bodyDiv w:val="1"/>
      <w:marLeft w:val="0"/>
      <w:marRight w:val="0"/>
      <w:marTop w:val="0"/>
      <w:marBottom w:val="0"/>
      <w:divBdr>
        <w:top w:val="none" w:sz="0" w:space="0" w:color="auto"/>
        <w:left w:val="none" w:sz="0" w:space="0" w:color="auto"/>
        <w:bottom w:val="none" w:sz="0" w:space="0" w:color="auto"/>
        <w:right w:val="none" w:sz="0" w:space="0" w:color="auto"/>
      </w:divBdr>
    </w:div>
    <w:div w:id="1440637856">
      <w:bodyDiv w:val="1"/>
      <w:marLeft w:val="0"/>
      <w:marRight w:val="0"/>
      <w:marTop w:val="0"/>
      <w:marBottom w:val="0"/>
      <w:divBdr>
        <w:top w:val="none" w:sz="0" w:space="0" w:color="auto"/>
        <w:left w:val="none" w:sz="0" w:space="0" w:color="auto"/>
        <w:bottom w:val="none" w:sz="0" w:space="0" w:color="auto"/>
        <w:right w:val="none" w:sz="0" w:space="0" w:color="auto"/>
      </w:divBdr>
    </w:div>
    <w:div w:id="1440687277">
      <w:bodyDiv w:val="1"/>
      <w:marLeft w:val="0"/>
      <w:marRight w:val="0"/>
      <w:marTop w:val="0"/>
      <w:marBottom w:val="0"/>
      <w:divBdr>
        <w:top w:val="none" w:sz="0" w:space="0" w:color="auto"/>
        <w:left w:val="none" w:sz="0" w:space="0" w:color="auto"/>
        <w:bottom w:val="none" w:sz="0" w:space="0" w:color="auto"/>
        <w:right w:val="none" w:sz="0" w:space="0" w:color="auto"/>
      </w:divBdr>
    </w:div>
    <w:div w:id="1442071253">
      <w:bodyDiv w:val="1"/>
      <w:marLeft w:val="0"/>
      <w:marRight w:val="0"/>
      <w:marTop w:val="0"/>
      <w:marBottom w:val="0"/>
      <w:divBdr>
        <w:top w:val="none" w:sz="0" w:space="0" w:color="auto"/>
        <w:left w:val="none" w:sz="0" w:space="0" w:color="auto"/>
        <w:bottom w:val="none" w:sz="0" w:space="0" w:color="auto"/>
        <w:right w:val="none" w:sz="0" w:space="0" w:color="auto"/>
      </w:divBdr>
    </w:div>
    <w:div w:id="1443262651">
      <w:bodyDiv w:val="1"/>
      <w:marLeft w:val="0"/>
      <w:marRight w:val="0"/>
      <w:marTop w:val="0"/>
      <w:marBottom w:val="0"/>
      <w:divBdr>
        <w:top w:val="none" w:sz="0" w:space="0" w:color="auto"/>
        <w:left w:val="none" w:sz="0" w:space="0" w:color="auto"/>
        <w:bottom w:val="none" w:sz="0" w:space="0" w:color="auto"/>
        <w:right w:val="none" w:sz="0" w:space="0" w:color="auto"/>
      </w:divBdr>
    </w:div>
    <w:div w:id="1443648339">
      <w:bodyDiv w:val="1"/>
      <w:marLeft w:val="0"/>
      <w:marRight w:val="0"/>
      <w:marTop w:val="0"/>
      <w:marBottom w:val="0"/>
      <w:divBdr>
        <w:top w:val="none" w:sz="0" w:space="0" w:color="auto"/>
        <w:left w:val="none" w:sz="0" w:space="0" w:color="auto"/>
        <w:bottom w:val="none" w:sz="0" w:space="0" w:color="auto"/>
        <w:right w:val="none" w:sz="0" w:space="0" w:color="auto"/>
      </w:divBdr>
    </w:div>
    <w:div w:id="1444501233">
      <w:bodyDiv w:val="1"/>
      <w:marLeft w:val="0"/>
      <w:marRight w:val="0"/>
      <w:marTop w:val="0"/>
      <w:marBottom w:val="0"/>
      <w:divBdr>
        <w:top w:val="none" w:sz="0" w:space="0" w:color="auto"/>
        <w:left w:val="none" w:sz="0" w:space="0" w:color="auto"/>
        <w:bottom w:val="none" w:sz="0" w:space="0" w:color="auto"/>
        <w:right w:val="none" w:sz="0" w:space="0" w:color="auto"/>
      </w:divBdr>
    </w:div>
    <w:div w:id="1445537936">
      <w:bodyDiv w:val="1"/>
      <w:marLeft w:val="0"/>
      <w:marRight w:val="0"/>
      <w:marTop w:val="0"/>
      <w:marBottom w:val="0"/>
      <w:divBdr>
        <w:top w:val="none" w:sz="0" w:space="0" w:color="auto"/>
        <w:left w:val="none" w:sz="0" w:space="0" w:color="auto"/>
        <w:bottom w:val="none" w:sz="0" w:space="0" w:color="auto"/>
        <w:right w:val="none" w:sz="0" w:space="0" w:color="auto"/>
      </w:divBdr>
    </w:div>
    <w:div w:id="1446344402">
      <w:bodyDiv w:val="1"/>
      <w:marLeft w:val="0"/>
      <w:marRight w:val="0"/>
      <w:marTop w:val="0"/>
      <w:marBottom w:val="0"/>
      <w:divBdr>
        <w:top w:val="none" w:sz="0" w:space="0" w:color="auto"/>
        <w:left w:val="none" w:sz="0" w:space="0" w:color="auto"/>
        <w:bottom w:val="none" w:sz="0" w:space="0" w:color="auto"/>
        <w:right w:val="none" w:sz="0" w:space="0" w:color="auto"/>
      </w:divBdr>
    </w:div>
    <w:div w:id="1446534943">
      <w:bodyDiv w:val="1"/>
      <w:marLeft w:val="0"/>
      <w:marRight w:val="0"/>
      <w:marTop w:val="0"/>
      <w:marBottom w:val="0"/>
      <w:divBdr>
        <w:top w:val="none" w:sz="0" w:space="0" w:color="auto"/>
        <w:left w:val="none" w:sz="0" w:space="0" w:color="auto"/>
        <w:bottom w:val="none" w:sz="0" w:space="0" w:color="auto"/>
        <w:right w:val="none" w:sz="0" w:space="0" w:color="auto"/>
      </w:divBdr>
    </w:div>
    <w:div w:id="1446923718">
      <w:bodyDiv w:val="1"/>
      <w:marLeft w:val="0"/>
      <w:marRight w:val="0"/>
      <w:marTop w:val="0"/>
      <w:marBottom w:val="0"/>
      <w:divBdr>
        <w:top w:val="none" w:sz="0" w:space="0" w:color="auto"/>
        <w:left w:val="none" w:sz="0" w:space="0" w:color="auto"/>
        <w:bottom w:val="none" w:sz="0" w:space="0" w:color="auto"/>
        <w:right w:val="none" w:sz="0" w:space="0" w:color="auto"/>
      </w:divBdr>
    </w:div>
    <w:div w:id="1446995429">
      <w:bodyDiv w:val="1"/>
      <w:marLeft w:val="0"/>
      <w:marRight w:val="0"/>
      <w:marTop w:val="0"/>
      <w:marBottom w:val="0"/>
      <w:divBdr>
        <w:top w:val="none" w:sz="0" w:space="0" w:color="auto"/>
        <w:left w:val="none" w:sz="0" w:space="0" w:color="auto"/>
        <w:bottom w:val="none" w:sz="0" w:space="0" w:color="auto"/>
        <w:right w:val="none" w:sz="0" w:space="0" w:color="auto"/>
      </w:divBdr>
    </w:div>
    <w:div w:id="1447506917">
      <w:bodyDiv w:val="1"/>
      <w:marLeft w:val="0"/>
      <w:marRight w:val="0"/>
      <w:marTop w:val="0"/>
      <w:marBottom w:val="0"/>
      <w:divBdr>
        <w:top w:val="none" w:sz="0" w:space="0" w:color="auto"/>
        <w:left w:val="none" w:sz="0" w:space="0" w:color="auto"/>
        <w:bottom w:val="none" w:sz="0" w:space="0" w:color="auto"/>
        <w:right w:val="none" w:sz="0" w:space="0" w:color="auto"/>
      </w:divBdr>
    </w:div>
    <w:div w:id="1448625823">
      <w:bodyDiv w:val="1"/>
      <w:marLeft w:val="0"/>
      <w:marRight w:val="0"/>
      <w:marTop w:val="0"/>
      <w:marBottom w:val="0"/>
      <w:divBdr>
        <w:top w:val="none" w:sz="0" w:space="0" w:color="auto"/>
        <w:left w:val="none" w:sz="0" w:space="0" w:color="auto"/>
        <w:bottom w:val="none" w:sz="0" w:space="0" w:color="auto"/>
        <w:right w:val="none" w:sz="0" w:space="0" w:color="auto"/>
      </w:divBdr>
    </w:div>
    <w:div w:id="1449079766">
      <w:bodyDiv w:val="1"/>
      <w:marLeft w:val="0"/>
      <w:marRight w:val="0"/>
      <w:marTop w:val="0"/>
      <w:marBottom w:val="0"/>
      <w:divBdr>
        <w:top w:val="none" w:sz="0" w:space="0" w:color="auto"/>
        <w:left w:val="none" w:sz="0" w:space="0" w:color="auto"/>
        <w:bottom w:val="none" w:sz="0" w:space="0" w:color="auto"/>
        <w:right w:val="none" w:sz="0" w:space="0" w:color="auto"/>
      </w:divBdr>
    </w:div>
    <w:div w:id="1449743344">
      <w:bodyDiv w:val="1"/>
      <w:marLeft w:val="0"/>
      <w:marRight w:val="0"/>
      <w:marTop w:val="0"/>
      <w:marBottom w:val="0"/>
      <w:divBdr>
        <w:top w:val="none" w:sz="0" w:space="0" w:color="auto"/>
        <w:left w:val="none" w:sz="0" w:space="0" w:color="auto"/>
        <w:bottom w:val="none" w:sz="0" w:space="0" w:color="auto"/>
        <w:right w:val="none" w:sz="0" w:space="0" w:color="auto"/>
      </w:divBdr>
    </w:div>
    <w:div w:id="1450009247">
      <w:bodyDiv w:val="1"/>
      <w:marLeft w:val="0"/>
      <w:marRight w:val="0"/>
      <w:marTop w:val="0"/>
      <w:marBottom w:val="0"/>
      <w:divBdr>
        <w:top w:val="none" w:sz="0" w:space="0" w:color="auto"/>
        <w:left w:val="none" w:sz="0" w:space="0" w:color="auto"/>
        <w:bottom w:val="none" w:sz="0" w:space="0" w:color="auto"/>
        <w:right w:val="none" w:sz="0" w:space="0" w:color="auto"/>
      </w:divBdr>
    </w:div>
    <w:div w:id="1452213309">
      <w:bodyDiv w:val="1"/>
      <w:marLeft w:val="0"/>
      <w:marRight w:val="0"/>
      <w:marTop w:val="0"/>
      <w:marBottom w:val="0"/>
      <w:divBdr>
        <w:top w:val="none" w:sz="0" w:space="0" w:color="auto"/>
        <w:left w:val="none" w:sz="0" w:space="0" w:color="auto"/>
        <w:bottom w:val="none" w:sz="0" w:space="0" w:color="auto"/>
        <w:right w:val="none" w:sz="0" w:space="0" w:color="auto"/>
      </w:divBdr>
    </w:div>
    <w:div w:id="1452356104">
      <w:bodyDiv w:val="1"/>
      <w:marLeft w:val="0"/>
      <w:marRight w:val="0"/>
      <w:marTop w:val="0"/>
      <w:marBottom w:val="0"/>
      <w:divBdr>
        <w:top w:val="none" w:sz="0" w:space="0" w:color="auto"/>
        <w:left w:val="none" w:sz="0" w:space="0" w:color="auto"/>
        <w:bottom w:val="none" w:sz="0" w:space="0" w:color="auto"/>
        <w:right w:val="none" w:sz="0" w:space="0" w:color="auto"/>
      </w:divBdr>
    </w:div>
    <w:div w:id="1452480181">
      <w:bodyDiv w:val="1"/>
      <w:marLeft w:val="0"/>
      <w:marRight w:val="0"/>
      <w:marTop w:val="0"/>
      <w:marBottom w:val="0"/>
      <w:divBdr>
        <w:top w:val="none" w:sz="0" w:space="0" w:color="auto"/>
        <w:left w:val="none" w:sz="0" w:space="0" w:color="auto"/>
        <w:bottom w:val="none" w:sz="0" w:space="0" w:color="auto"/>
        <w:right w:val="none" w:sz="0" w:space="0" w:color="auto"/>
      </w:divBdr>
    </w:div>
    <w:div w:id="1452631333">
      <w:bodyDiv w:val="1"/>
      <w:marLeft w:val="0"/>
      <w:marRight w:val="0"/>
      <w:marTop w:val="0"/>
      <w:marBottom w:val="0"/>
      <w:divBdr>
        <w:top w:val="none" w:sz="0" w:space="0" w:color="auto"/>
        <w:left w:val="none" w:sz="0" w:space="0" w:color="auto"/>
        <w:bottom w:val="none" w:sz="0" w:space="0" w:color="auto"/>
        <w:right w:val="none" w:sz="0" w:space="0" w:color="auto"/>
      </w:divBdr>
    </w:div>
    <w:div w:id="1452674058">
      <w:bodyDiv w:val="1"/>
      <w:marLeft w:val="0"/>
      <w:marRight w:val="0"/>
      <w:marTop w:val="0"/>
      <w:marBottom w:val="0"/>
      <w:divBdr>
        <w:top w:val="none" w:sz="0" w:space="0" w:color="auto"/>
        <w:left w:val="none" w:sz="0" w:space="0" w:color="auto"/>
        <w:bottom w:val="none" w:sz="0" w:space="0" w:color="auto"/>
        <w:right w:val="none" w:sz="0" w:space="0" w:color="auto"/>
      </w:divBdr>
    </w:div>
    <w:div w:id="1453208081">
      <w:bodyDiv w:val="1"/>
      <w:marLeft w:val="0"/>
      <w:marRight w:val="0"/>
      <w:marTop w:val="0"/>
      <w:marBottom w:val="0"/>
      <w:divBdr>
        <w:top w:val="none" w:sz="0" w:space="0" w:color="auto"/>
        <w:left w:val="none" w:sz="0" w:space="0" w:color="auto"/>
        <w:bottom w:val="none" w:sz="0" w:space="0" w:color="auto"/>
        <w:right w:val="none" w:sz="0" w:space="0" w:color="auto"/>
      </w:divBdr>
    </w:div>
    <w:div w:id="1453208925">
      <w:bodyDiv w:val="1"/>
      <w:marLeft w:val="0"/>
      <w:marRight w:val="0"/>
      <w:marTop w:val="0"/>
      <w:marBottom w:val="0"/>
      <w:divBdr>
        <w:top w:val="none" w:sz="0" w:space="0" w:color="auto"/>
        <w:left w:val="none" w:sz="0" w:space="0" w:color="auto"/>
        <w:bottom w:val="none" w:sz="0" w:space="0" w:color="auto"/>
        <w:right w:val="none" w:sz="0" w:space="0" w:color="auto"/>
      </w:divBdr>
    </w:div>
    <w:div w:id="1453866355">
      <w:bodyDiv w:val="1"/>
      <w:marLeft w:val="0"/>
      <w:marRight w:val="0"/>
      <w:marTop w:val="0"/>
      <w:marBottom w:val="0"/>
      <w:divBdr>
        <w:top w:val="none" w:sz="0" w:space="0" w:color="auto"/>
        <w:left w:val="none" w:sz="0" w:space="0" w:color="auto"/>
        <w:bottom w:val="none" w:sz="0" w:space="0" w:color="auto"/>
        <w:right w:val="none" w:sz="0" w:space="0" w:color="auto"/>
      </w:divBdr>
    </w:div>
    <w:div w:id="1454251553">
      <w:bodyDiv w:val="1"/>
      <w:marLeft w:val="0"/>
      <w:marRight w:val="0"/>
      <w:marTop w:val="0"/>
      <w:marBottom w:val="0"/>
      <w:divBdr>
        <w:top w:val="none" w:sz="0" w:space="0" w:color="auto"/>
        <w:left w:val="none" w:sz="0" w:space="0" w:color="auto"/>
        <w:bottom w:val="none" w:sz="0" w:space="0" w:color="auto"/>
        <w:right w:val="none" w:sz="0" w:space="0" w:color="auto"/>
      </w:divBdr>
    </w:div>
    <w:div w:id="1455636668">
      <w:bodyDiv w:val="1"/>
      <w:marLeft w:val="0"/>
      <w:marRight w:val="0"/>
      <w:marTop w:val="0"/>
      <w:marBottom w:val="0"/>
      <w:divBdr>
        <w:top w:val="none" w:sz="0" w:space="0" w:color="auto"/>
        <w:left w:val="none" w:sz="0" w:space="0" w:color="auto"/>
        <w:bottom w:val="none" w:sz="0" w:space="0" w:color="auto"/>
        <w:right w:val="none" w:sz="0" w:space="0" w:color="auto"/>
      </w:divBdr>
    </w:div>
    <w:div w:id="1458524591">
      <w:bodyDiv w:val="1"/>
      <w:marLeft w:val="0"/>
      <w:marRight w:val="0"/>
      <w:marTop w:val="0"/>
      <w:marBottom w:val="0"/>
      <w:divBdr>
        <w:top w:val="none" w:sz="0" w:space="0" w:color="auto"/>
        <w:left w:val="none" w:sz="0" w:space="0" w:color="auto"/>
        <w:bottom w:val="none" w:sz="0" w:space="0" w:color="auto"/>
        <w:right w:val="none" w:sz="0" w:space="0" w:color="auto"/>
      </w:divBdr>
    </w:div>
    <w:div w:id="1458530698">
      <w:bodyDiv w:val="1"/>
      <w:marLeft w:val="0"/>
      <w:marRight w:val="0"/>
      <w:marTop w:val="0"/>
      <w:marBottom w:val="0"/>
      <w:divBdr>
        <w:top w:val="none" w:sz="0" w:space="0" w:color="auto"/>
        <w:left w:val="none" w:sz="0" w:space="0" w:color="auto"/>
        <w:bottom w:val="none" w:sz="0" w:space="0" w:color="auto"/>
        <w:right w:val="none" w:sz="0" w:space="0" w:color="auto"/>
      </w:divBdr>
    </w:div>
    <w:div w:id="1459297152">
      <w:bodyDiv w:val="1"/>
      <w:marLeft w:val="0"/>
      <w:marRight w:val="0"/>
      <w:marTop w:val="0"/>
      <w:marBottom w:val="0"/>
      <w:divBdr>
        <w:top w:val="none" w:sz="0" w:space="0" w:color="auto"/>
        <w:left w:val="none" w:sz="0" w:space="0" w:color="auto"/>
        <w:bottom w:val="none" w:sz="0" w:space="0" w:color="auto"/>
        <w:right w:val="none" w:sz="0" w:space="0" w:color="auto"/>
      </w:divBdr>
    </w:div>
    <w:div w:id="1459645766">
      <w:bodyDiv w:val="1"/>
      <w:marLeft w:val="0"/>
      <w:marRight w:val="0"/>
      <w:marTop w:val="0"/>
      <w:marBottom w:val="0"/>
      <w:divBdr>
        <w:top w:val="none" w:sz="0" w:space="0" w:color="auto"/>
        <w:left w:val="none" w:sz="0" w:space="0" w:color="auto"/>
        <w:bottom w:val="none" w:sz="0" w:space="0" w:color="auto"/>
        <w:right w:val="none" w:sz="0" w:space="0" w:color="auto"/>
      </w:divBdr>
    </w:div>
    <w:div w:id="1460681302">
      <w:bodyDiv w:val="1"/>
      <w:marLeft w:val="0"/>
      <w:marRight w:val="0"/>
      <w:marTop w:val="0"/>
      <w:marBottom w:val="0"/>
      <w:divBdr>
        <w:top w:val="none" w:sz="0" w:space="0" w:color="auto"/>
        <w:left w:val="none" w:sz="0" w:space="0" w:color="auto"/>
        <w:bottom w:val="none" w:sz="0" w:space="0" w:color="auto"/>
        <w:right w:val="none" w:sz="0" w:space="0" w:color="auto"/>
      </w:divBdr>
    </w:div>
    <w:div w:id="1460687270">
      <w:bodyDiv w:val="1"/>
      <w:marLeft w:val="0"/>
      <w:marRight w:val="0"/>
      <w:marTop w:val="0"/>
      <w:marBottom w:val="0"/>
      <w:divBdr>
        <w:top w:val="none" w:sz="0" w:space="0" w:color="auto"/>
        <w:left w:val="none" w:sz="0" w:space="0" w:color="auto"/>
        <w:bottom w:val="none" w:sz="0" w:space="0" w:color="auto"/>
        <w:right w:val="none" w:sz="0" w:space="0" w:color="auto"/>
      </w:divBdr>
    </w:div>
    <w:div w:id="1460756021">
      <w:bodyDiv w:val="1"/>
      <w:marLeft w:val="0"/>
      <w:marRight w:val="0"/>
      <w:marTop w:val="0"/>
      <w:marBottom w:val="0"/>
      <w:divBdr>
        <w:top w:val="none" w:sz="0" w:space="0" w:color="auto"/>
        <w:left w:val="none" w:sz="0" w:space="0" w:color="auto"/>
        <w:bottom w:val="none" w:sz="0" w:space="0" w:color="auto"/>
        <w:right w:val="none" w:sz="0" w:space="0" w:color="auto"/>
      </w:divBdr>
    </w:div>
    <w:div w:id="1460800603">
      <w:bodyDiv w:val="1"/>
      <w:marLeft w:val="0"/>
      <w:marRight w:val="0"/>
      <w:marTop w:val="0"/>
      <w:marBottom w:val="0"/>
      <w:divBdr>
        <w:top w:val="none" w:sz="0" w:space="0" w:color="auto"/>
        <w:left w:val="none" w:sz="0" w:space="0" w:color="auto"/>
        <w:bottom w:val="none" w:sz="0" w:space="0" w:color="auto"/>
        <w:right w:val="none" w:sz="0" w:space="0" w:color="auto"/>
      </w:divBdr>
    </w:div>
    <w:div w:id="1461074162">
      <w:bodyDiv w:val="1"/>
      <w:marLeft w:val="0"/>
      <w:marRight w:val="0"/>
      <w:marTop w:val="0"/>
      <w:marBottom w:val="0"/>
      <w:divBdr>
        <w:top w:val="none" w:sz="0" w:space="0" w:color="auto"/>
        <w:left w:val="none" w:sz="0" w:space="0" w:color="auto"/>
        <w:bottom w:val="none" w:sz="0" w:space="0" w:color="auto"/>
        <w:right w:val="none" w:sz="0" w:space="0" w:color="auto"/>
      </w:divBdr>
    </w:div>
    <w:div w:id="1461220982">
      <w:bodyDiv w:val="1"/>
      <w:marLeft w:val="0"/>
      <w:marRight w:val="0"/>
      <w:marTop w:val="0"/>
      <w:marBottom w:val="0"/>
      <w:divBdr>
        <w:top w:val="none" w:sz="0" w:space="0" w:color="auto"/>
        <w:left w:val="none" w:sz="0" w:space="0" w:color="auto"/>
        <w:bottom w:val="none" w:sz="0" w:space="0" w:color="auto"/>
        <w:right w:val="none" w:sz="0" w:space="0" w:color="auto"/>
      </w:divBdr>
    </w:div>
    <w:div w:id="1462074624">
      <w:bodyDiv w:val="1"/>
      <w:marLeft w:val="0"/>
      <w:marRight w:val="0"/>
      <w:marTop w:val="0"/>
      <w:marBottom w:val="0"/>
      <w:divBdr>
        <w:top w:val="none" w:sz="0" w:space="0" w:color="auto"/>
        <w:left w:val="none" w:sz="0" w:space="0" w:color="auto"/>
        <w:bottom w:val="none" w:sz="0" w:space="0" w:color="auto"/>
        <w:right w:val="none" w:sz="0" w:space="0" w:color="auto"/>
      </w:divBdr>
    </w:div>
    <w:div w:id="1462846525">
      <w:bodyDiv w:val="1"/>
      <w:marLeft w:val="0"/>
      <w:marRight w:val="0"/>
      <w:marTop w:val="0"/>
      <w:marBottom w:val="0"/>
      <w:divBdr>
        <w:top w:val="none" w:sz="0" w:space="0" w:color="auto"/>
        <w:left w:val="none" w:sz="0" w:space="0" w:color="auto"/>
        <w:bottom w:val="none" w:sz="0" w:space="0" w:color="auto"/>
        <w:right w:val="none" w:sz="0" w:space="0" w:color="auto"/>
      </w:divBdr>
    </w:div>
    <w:div w:id="1462919260">
      <w:bodyDiv w:val="1"/>
      <w:marLeft w:val="0"/>
      <w:marRight w:val="0"/>
      <w:marTop w:val="0"/>
      <w:marBottom w:val="0"/>
      <w:divBdr>
        <w:top w:val="none" w:sz="0" w:space="0" w:color="auto"/>
        <w:left w:val="none" w:sz="0" w:space="0" w:color="auto"/>
        <w:bottom w:val="none" w:sz="0" w:space="0" w:color="auto"/>
        <w:right w:val="none" w:sz="0" w:space="0" w:color="auto"/>
      </w:divBdr>
    </w:div>
    <w:div w:id="1463184278">
      <w:bodyDiv w:val="1"/>
      <w:marLeft w:val="0"/>
      <w:marRight w:val="0"/>
      <w:marTop w:val="0"/>
      <w:marBottom w:val="0"/>
      <w:divBdr>
        <w:top w:val="none" w:sz="0" w:space="0" w:color="auto"/>
        <w:left w:val="none" w:sz="0" w:space="0" w:color="auto"/>
        <w:bottom w:val="none" w:sz="0" w:space="0" w:color="auto"/>
        <w:right w:val="none" w:sz="0" w:space="0" w:color="auto"/>
      </w:divBdr>
    </w:div>
    <w:div w:id="1463815365">
      <w:bodyDiv w:val="1"/>
      <w:marLeft w:val="0"/>
      <w:marRight w:val="0"/>
      <w:marTop w:val="0"/>
      <w:marBottom w:val="0"/>
      <w:divBdr>
        <w:top w:val="none" w:sz="0" w:space="0" w:color="auto"/>
        <w:left w:val="none" w:sz="0" w:space="0" w:color="auto"/>
        <w:bottom w:val="none" w:sz="0" w:space="0" w:color="auto"/>
        <w:right w:val="none" w:sz="0" w:space="0" w:color="auto"/>
      </w:divBdr>
    </w:div>
    <w:div w:id="1463887145">
      <w:bodyDiv w:val="1"/>
      <w:marLeft w:val="0"/>
      <w:marRight w:val="0"/>
      <w:marTop w:val="0"/>
      <w:marBottom w:val="0"/>
      <w:divBdr>
        <w:top w:val="none" w:sz="0" w:space="0" w:color="auto"/>
        <w:left w:val="none" w:sz="0" w:space="0" w:color="auto"/>
        <w:bottom w:val="none" w:sz="0" w:space="0" w:color="auto"/>
        <w:right w:val="none" w:sz="0" w:space="0" w:color="auto"/>
      </w:divBdr>
    </w:div>
    <w:div w:id="1464082780">
      <w:bodyDiv w:val="1"/>
      <w:marLeft w:val="0"/>
      <w:marRight w:val="0"/>
      <w:marTop w:val="0"/>
      <w:marBottom w:val="0"/>
      <w:divBdr>
        <w:top w:val="none" w:sz="0" w:space="0" w:color="auto"/>
        <w:left w:val="none" w:sz="0" w:space="0" w:color="auto"/>
        <w:bottom w:val="none" w:sz="0" w:space="0" w:color="auto"/>
        <w:right w:val="none" w:sz="0" w:space="0" w:color="auto"/>
      </w:divBdr>
    </w:div>
    <w:div w:id="1464302094">
      <w:bodyDiv w:val="1"/>
      <w:marLeft w:val="0"/>
      <w:marRight w:val="0"/>
      <w:marTop w:val="0"/>
      <w:marBottom w:val="0"/>
      <w:divBdr>
        <w:top w:val="none" w:sz="0" w:space="0" w:color="auto"/>
        <w:left w:val="none" w:sz="0" w:space="0" w:color="auto"/>
        <w:bottom w:val="none" w:sz="0" w:space="0" w:color="auto"/>
        <w:right w:val="none" w:sz="0" w:space="0" w:color="auto"/>
      </w:divBdr>
    </w:div>
    <w:div w:id="1464739370">
      <w:bodyDiv w:val="1"/>
      <w:marLeft w:val="0"/>
      <w:marRight w:val="0"/>
      <w:marTop w:val="0"/>
      <w:marBottom w:val="0"/>
      <w:divBdr>
        <w:top w:val="none" w:sz="0" w:space="0" w:color="auto"/>
        <w:left w:val="none" w:sz="0" w:space="0" w:color="auto"/>
        <w:bottom w:val="none" w:sz="0" w:space="0" w:color="auto"/>
        <w:right w:val="none" w:sz="0" w:space="0" w:color="auto"/>
      </w:divBdr>
    </w:div>
    <w:div w:id="1464813334">
      <w:bodyDiv w:val="1"/>
      <w:marLeft w:val="0"/>
      <w:marRight w:val="0"/>
      <w:marTop w:val="0"/>
      <w:marBottom w:val="0"/>
      <w:divBdr>
        <w:top w:val="none" w:sz="0" w:space="0" w:color="auto"/>
        <w:left w:val="none" w:sz="0" w:space="0" w:color="auto"/>
        <w:bottom w:val="none" w:sz="0" w:space="0" w:color="auto"/>
        <w:right w:val="none" w:sz="0" w:space="0" w:color="auto"/>
      </w:divBdr>
    </w:div>
    <w:div w:id="1464931966">
      <w:bodyDiv w:val="1"/>
      <w:marLeft w:val="0"/>
      <w:marRight w:val="0"/>
      <w:marTop w:val="0"/>
      <w:marBottom w:val="0"/>
      <w:divBdr>
        <w:top w:val="none" w:sz="0" w:space="0" w:color="auto"/>
        <w:left w:val="none" w:sz="0" w:space="0" w:color="auto"/>
        <w:bottom w:val="none" w:sz="0" w:space="0" w:color="auto"/>
        <w:right w:val="none" w:sz="0" w:space="0" w:color="auto"/>
      </w:divBdr>
    </w:div>
    <w:div w:id="1465346627">
      <w:bodyDiv w:val="1"/>
      <w:marLeft w:val="0"/>
      <w:marRight w:val="0"/>
      <w:marTop w:val="0"/>
      <w:marBottom w:val="0"/>
      <w:divBdr>
        <w:top w:val="none" w:sz="0" w:space="0" w:color="auto"/>
        <w:left w:val="none" w:sz="0" w:space="0" w:color="auto"/>
        <w:bottom w:val="none" w:sz="0" w:space="0" w:color="auto"/>
        <w:right w:val="none" w:sz="0" w:space="0" w:color="auto"/>
      </w:divBdr>
    </w:div>
    <w:div w:id="1466266841">
      <w:bodyDiv w:val="1"/>
      <w:marLeft w:val="0"/>
      <w:marRight w:val="0"/>
      <w:marTop w:val="0"/>
      <w:marBottom w:val="0"/>
      <w:divBdr>
        <w:top w:val="none" w:sz="0" w:space="0" w:color="auto"/>
        <w:left w:val="none" w:sz="0" w:space="0" w:color="auto"/>
        <w:bottom w:val="none" w:sz="0" w:space="0" w:color="auto"/>
        <w:right w:val="none" w:sz="0" w:space="0" w:color="auto"/>
      </w:divBdr>
    </w:div>
    <w:div w:id="1466696831">
      <w:bodyDiv w:val="1"/>
      <w:marLeft w:val="0"/>
      <w:marRight w:val="0"/>
      <w:marTop w:val="0"/>
      <w:marBottom w:val="0"/>
      <w:divBdr>
        <w:top w:val="none" w:sz="0" w:space="0" w:color="auto"/>
        <w:left w:val="none" w:sz="0" w:space="0" w:color="auto"/>
        <w:bottom w:val="none" w:sz="0" w:space="0" w:color="auto"/>
        <w:right w:val="none" w:sz="0" w:space="0" w:color="auto"/>
      </w:divBdr>
    </w:div>
    <w:div w:id="1466922372">
      <w:bodyDiv w:val="1"/>
      <w:marLeft w:val="0"/>
      <w:marRight w:val="0"/>
      <w:marTop w:val="0"/>
      <w:marBottom w:val="0"/>
      <w:divBdr>
        <w:top w:val="none" w:sz="0" w:space="0" w:color="auto"/>
        <w:left w:val="none" w:sz="0" w:space="0" w:color="auto"/>
        <w:bottom w:val="none" w:sz="0" w:space="0" w:color="auto"/>
        <w:right w:val="none" w:sz="0" w:space="0" w:color="auto"/>
      </w:divBdr>
    </w:div>
    <w:div w:id="1466967740">
      <w:bodyDiv w:val="1"/>
      <w:marLeft w:val="0"/>
      <w:marRight w:val="0"/>
      <w:marTop w:val="0"/>
      <w:marBottom w:val="0"/>
      <w:divBdr>
        <w:top w:val="none" w:sz="0" w:space="0" w:color="auto"/>
        <w:left w:val="none" w:sz="0" w:space="0" w:color="auto"/>
        <w:bottom w:val="none" w:sz="0" w:space="0" w:color="auto"/>
        <w:right w:val="none" w:sz="0" w:space="0" w:color="auto"/>
      </w:divBdr>
    </w:div>
    <w:div w:id="1467046586">
      <w:bodyDiv w:val="1"/>
      <w:marLeft w:val="0"/>
      <w:marRight w:val="0"/>
      <w:marTop w:val="0"/>
      <w:marBottom w:val="0"/>
      <w:divBdr>
        <w:top w:val="none" w:sz="0" w:space="0" w:color="auto"/>
        <w:left w:val="none" w:sz="0" w:space="0" w:color="auto"/>
        <w:bottom w:val="none" w:sz="0" w:space="0" w:color="auto"/>
        <w:right w:val="none" w:sz="0" w:space="0" w:color="auto"/>
      </w:divBdr>
    </w:div>
    <w:div w:id="1467116054">
      <w:bodyDiv w:val="1"/>
      <w:marLeft w:val="0"/>
      <w:marRight w:val="0"/>
      <w:marTop w:val="0"/>
      <w:marBottom w:val="0"/>
      <w:divBdr>
        <w:top w:val="none" w:sz="0" w:space="0" w:color="auto"/>
        <w:left w:val="none" w:sz="0" w:space="0" w:color="auto"/>
        <w:bottom w:val="none" w:sz="0" w:space="0" w:color="auto"/>
        <w:right w:val="none" w:sz="0" w:space="0" w:color="auto"/>
      </w:divBdr>
    </w:div>
    <w:div w:id="1467628482">
      <w:bodyDiv w:val="1"/>
      <w:marLeft w:val="0"/>
      <w:marRight w:val="0"/>
      <w:marTop w:val="0"/>
      <w:marBottom w:val="0"/>
      <w:divBdr>
        <w:top w:val="none" w:sz="0" w:space="0" w:color="auto"/>
        <w:left w:val="none" w:sz="0" w:space="0" w:color="auto"/>
        <w:bottom w:val="none" w:sz="0" w:space="0" w:color="auto"/>
        <w:right w:val="none" w:sz="0" w:space="0" w:color="auto"/>
      </w:divBdr>
    </w:div>
    <w:div w:id="1468163513">
      <w:bodyDiv w:val="1"/>
      <w:marLeft w:val="0"/>
      <w:marRight w:val="0"/>
      <w:marTop w:val="0"/>
      <w:marBottom w:val="0"/>
      <w:divBdr>
        <w:top w:val="none" w:sz="0" w:space="0" w:color="auto"/>
        <w:left w:val="none" w:sz="0" w:space="0" w:color="auto"/>
        <w:bottom w:val="none" w:sz="0" w:space="0" w:color="auto"/>
        <w:right w:val="none" w:sz="0" w:space="0" w:color="auto"/>
      </w:divBdr>
    </w:div>
    <w:div w:id="1469006796">
      <w:bodyDiv w:val="1"/>
      <w:marLeft w:val="0"/>
      <w:marRight w:val="0"/>
      <w:marTop w:val="0"/>
      <w:marBottom w:val="0"/>
      <w:divBdr>
        <w:top w:val="none" w:sz="0" w:space="0" w:color="auto"/>
        <w:left w:val="none" w:sz="0" w:space="0" w:color="auto"/>
        <w:bottom w:val="none" w:sz="0" w:space="0" w:color="auto"/>
        <w:right w:val="none" w:sz="0" w:space="0" w:color="auto"/>
      </w:divBdr>
    </w:div>
    <w:div w:id="1469397142">
      <w:bodyDiv w:val="1"/>
      <w:marLeft w:val="0"/>
      <w:marRight w:val="0"/>
      <w:marTop w:val="0"/>
      <w:marBottom w:val="0"/>
      <w:divBdr>
        <w:top w:val="none" w:sz="0" w:space="0" w:color="auto"/>
        <w:left w:val="none" w:sz="0" w:space="0" w:color="auto"/>
        <w:bottom w:val="none" w:sz="0" w:space="0" w:color="auto"/>
        <w:right w:val="none" w:sz="0" w:space="0" w:color="auto"/>
      </w:divBdr>
    </w:div>
    <w:div w:id="1469518604">
      <w:bodyDiv w:val="1"/>
      <w:marLeft w:val="0"/>
      <w:marRight w:val="0"/>
      <w:marTop w:val="0"/>
      <w:marBottom w:val="0"/>
      <w:divBdr>
        <w:top w:val="none" w:sz="0" w:space="0" w:color="auto"/>
        <w:left w:val="none" w:sz="0" w:space="0" w:color="auto"/>
        <w:bottom w:val="none" w:sz="0" w:space="0" w:color="auto"/>
        <w:right w:val="none" w:sz="0" w:space="0" w:color="auto"/>
      </w:divBdr>
    </w:div>
    <w:div w:id="1469666002">
      <w:bodyDiv w:val="1"/>
      <w:marLeft w:val="0"/>
      <w:marRight w:val="0"/>
      <w:marTop w:val="0"/>
      <w:marBottom w:val="0"/>
      <w:divBdr>
        <w:top w:val="none" w:sz="0" w:space="0" w:color="auto"/>
        <w:left w:val="none" w:sz="0" w:space="0" w:color="auto"/>
        <w:bottom w:val="none" w:sz="0" w:space="0" w:color="auto"/>
        <w:right w:val="none" w:sz="0" w:space="0" w:color="auto"/>
      </w:divBdr>
    </w:div>
    <w:div w:id="1471289345">
      <w:bodyDiv w:val="1"/>
      <w:marLeft w:val="0"/>
      <w:marRight w:val="0"/>
      <w:marTop w:val="0"/>
      <w:marBottom w:val="0"/>
      <w:divBdr>
        <w:top w:val="none" w:sz="0" w:space="0" w:color="auto"/>
        <w:left w:val="none" w:sz="0" w:space="0" w:color="auto"/>
        <w:bottom w:val="none" w:sz="0" w:space="0" w:color="auto"/>
        <w:right w:val="none" w:sz="0" w:space="0" w:color="auto"/>
      </w:divBdr>
    </w:div>
    <w:div w:id="1471439883">
      <w:bodyDiv w:val="1"/>
      <w:marLeft w:val="0"/>
      <w:marRight w:val="0"/>
      <w:marTop w:val="0"/>
      <w:marBottom w:val="0"/>
      <w:divBdr>
        <w:top w:val="none" w:sz="0" w:space="0" w:color="auto"/>
        <w:left w:val="none" w:sz="0" w:space="0" w:color="auto"/>
        <w:bottom w:val="none" w:sz="0" w:space="0" w:color="auto"/>
        <w:right w:val="none" w:sz="0" w:space="0" w:color="auto"/>
      </w:divBdr>
    </w:div>
    <w:div w:id="1472096348">
      <w:bodyDiv w:val="1"/>
      <w:marLeft w:val="0"/>
      <w:marRight w:val="0"/>
      <w:marTop w:val="0"/>
      <w:marBottom w:val="0"/>
      <w:divBdr>
        <w:top w:val="none" w:sz="0" w:space="0" w:color="auto"/>
        <w:left w:val="none" w:sz="0" w:space="0" w:color="auto"/>
        <w:bottom w:val="none" w:sz="0" w:space="0" w:color="auto"/>
        <w:right w:val="none" w:sz="0" w:space="0" w:color="auto"/>
      </w:divBdr>
    </w:div>
    <w:div w:id="1473135398">
      <w:bodyDiv w:val="1"/>
      <w:marLeft w:val="0"/>
      <w:marRight w:val="0"/>
      <w:marTop w:val="0"/>
      <w:marBottom w:val="0"/>
      <w:divBdr>
        <w:top w:val="none" w:sz="0" w:space="0" w:color="auto"/>
        <w:left w:val="none" w:sz="0" w:space="0" w:color="auto"/>
        <w:bottom w:val="none" w:sz="0" w:space="0" w:color="auto"/>
        <w:right w:val="none" w:sz="0" w:space="0" w:color="auto"/>
      </w:divBdr>
    </w:div>
    <w:div w:id="1473252153">
      <w:bodyDiv w:val="1"/>
      <w:marLeft w:val="0"/>
      <w:marRight w:val="0"/>
      <w:marTop w:val="0"/>
      <w:marBottom w:val="0"/>
      <w:divBdr>
        <w:top w:val="none" w:sz="0" w:space="0" w:color="auto"/>
        <w:left w:val="none" w:sz="0" w:space="0" w:color="auto"/>
        <w:bottom w:val="none" w:sz="0" w:space="0" w:color="auto"/>
        <w:right w:val="none" w:sz="0" w:space="0" w:color="auto"/>
      </w:divBdr>
    </w:div>
    <w:div w:id="1473400889">
      <w:bodyDiv w:val="1"/>
      <w:marLeft w:val="0"/>
      <w:marRight w:val="0"/>
      <w:marTop w:val="0"/>
      <w:marBottom w:val="0"/>
      <w:divBdr>
        <w:top w:val="none" w:sz="0" w:space="0" w:color="auto"/>
        <w:left w:val="none" w:sz="0" w:space="0" w:color="auto"/>
        <w:bottom w:val="none" w:sz="0" w:space="0" w:color="auto"/>
        <w:right w:val="none" w:sz="0" w:space="0" w:color="auto"/>
      </w:divBdr>
    </w:div>
    <w:div w:id="1473523368">
      <w:bodyDiv w:val="1"/>
      <w:marLeft w:val="0"/>
      <w:marRight w:val="0"/>
      <w:marTop w:val="0"/>
      <w:marBottom w:val="0"/>
      <w:divBdr>
        <w:top w:val="none" w:sz="0" w:space="0" w:color="auto"/>
        <w:left w:val="none" w:sz="0" w:space="0" w:color="auto"/>
        <w:bottom w:val="none" w:sz="0" w:space="0" w:color="auto"/>
        <w:right w:val="none" w:sz="0" w:space="0" w:color="auto"/>
      </w:divBdr>
    </w:div>
    <w:div w:id="1474759049">
      <w:bodyDiv w:val="1"/>
      <w:marLeft w:val="0"/>
      <w:marRight w:val="0"/>
      <w:marTop w:val="0"/>
      <w:marBottom w:val="0"/>
      <w:divBdr>
        <w:top w:val="none" w:sz="0" w:space="0" w:color="auto"/>
        <w:left w:val="none" w:sz="0" w:space="0" w:color="auto"/>
        <w:bottom w:val="none" w:sz="0" w:space="0" w:color="auto"/>
        <w:right w:val="none" w:sz="0" w:space="0" w:color="auto"/>
      </w:divBdr>
    </w:div>
    <w:div w:id="1474908459">
      <w:bodyDiv w:val="1"/>
      <w:marLeft w:val="0"/>
      <w:marRight w:val="0"/>
      <w:marTop w:val="0"/>
      <w:marBottom w:val="0"/>
      <w:divBdr>
        <w:top w:val="none" w:sz="0" w:space="0" w:color="auto"/>
        <w:left w:val="none" w:sz="0" w:space="0" w:color="auto"/>
        <w:bottom w:val="none" w:sz="0" w:space="0" w:color="auto"/>
        <w:right w:val="none" w:sz="0" w:space="0" w:color="auto"/>
      </w:divBdr>
    </w:div>
    <w:div w:id="1474910995">
      <w:bodyDiv w:val="1"/>
      <w:marLeft w:val="0"/>
      <w:marRight w:val="0"/>
      <w:marTop w:val="0"/>
      <w:marBottom w:val="0"/>
      <w:divBdr>
        <w:top w:val="none" w:sz="0" w:space="0" w:color="auto"/>
        <w:left w:val="none" w:sz="0" w:space="0" w:color="auto"/>
        <w:bottom w:val="none" w:sz="0" w:space="0" w:color="auto"/>
        <w:right w:val="none" w:sz="0" w:space="0" w:color="auto"/>
      </w:divBdr>
    </w:div>
    <w:div w:id="1477188634">
      <w:bodyDiv w:val="1"/>
      <w:marLeft w:val="0"/>
      <w:marRight w:val="0"/>
      <w:marTop w:val="0"/>
      <w:marBottom w:val="0"/>
      <w:divBdr>
        <w:top w:val="none" w:sz="0" w:space="0" w:color="auto"/>
        <w:left w:val="none" w:sz="0" w:space="0" w:color="auto"/>
        <w:bottom w:val="none" w:sz="0" w:space="0" w:color="auto"/>
        <w:right w:val="none" w:sz="0" w:space="0" w:color="auto"/>
      </w:divBdr>
    </w:div>
    <w:div w:id="1478106382">
      <w:bodyDiv w:val="1"/>
      <w:marLeft w:val="0"/>
      <w:marRight w:val="0"/>
      <w:marTop w:val="0"/>
      <w:marBottom w:val="0"/>
      <w:divBdr>
        <w:top w:val="none" w:sz="0" w:space="0" w:color="auto"/>
        <w:left w:val="none" w:sz="0" w:space="0" w:color="auto"/>
        <w:bottom w:val="none" w:sz="0" w:space="0" w:color="auto"/>
        <w:right w:val="none" w:sz="0" w:space="0" w:color="auto"/>
      </w:divBdr>
    </w:div>
    <w:div w:id="1478374450">
      <w:bodyDiv w:val="1"/>
      <w:marLeft w:val="0"/>
      <w:marRight w:val="0"/>
      <w:marTop w:val="0"/>
      <w:marBottom w:val="0"/>
      <w:divBdr>
        <w:top w:val="none" w:sz="0" w:space="0" w:color="auto"/>
        <w:left w:val="none" w:sz="0" w:space="0" w:color="auto"/>
        <w:bottom w:val="none" w:sz="0" w:space="0" w:color="auto"/>
        <w:right w:val="none" w:sz="0" w:space="0" w:color="auto"/>
      </w:divBdr>
    </w:div>
    <w:div w:id="1478961426">
      <w:bodyDiv w:val="1"/>
      <w:marLeft w:val="0"/>
      <w:marRight w:val="0"/>
      <w:marTop w:val="0"/>
      <w:marBottom w:val="0"/>
      <w:divBdr>
        <w:top w:val="none" w:sz="0" w:space="0" w:color="auto"/>
        <w:left w:val="none" w:sz="0" w:space="0" w:color="auto"/>
        <w:bottom w:val="none" w:sz="0" w:space="0" w:color="auto"/>
        <w:right w:val="none" w:sz="0" w:space="0" w:color="auto"/>
      </w:divBdr>
    </w:div>
    <w:div w:id="1479572810">
      <w:bodyDiv w:val="1"/>
      <w:marLeft w:val="0"/>
      <w:marRight w:val="0"/>
      <w:marTop w:val="0"/>
      <w:marBottom w:val="0"/>
      <w:divBdr>
        <w:top w:val="none" w:sz="0" w:space="0" w:color="auto"/>
        <w:left w:val="none" w:sz="0" w:space="0" w:color="auto"/>
        <w:bottom w:val="none" w:sz="0" w:space="0" w:color="auto"/>
        <w:right w:val="none" w:sz="0" w:space="0" w:color="auto"/>
      </w:divBdr>
    </w:div>
    <w:div w:id="1480150627">
      <w:bodyDiv w:val="1"/>
      <w:marLeft w:val="0"/>
      <w:marRight w:val="0"/>
      <w:marTop w:val="0"/>
      <w:marBottom w:val="0"/>
      <w:divBdr>
        <w:top w:val="none" w:sz="0" w:space="0" w:color="auto"/>
        <w:left w:val="none" w:sz="0" w:space="0" w:color="auto"/>
        <w:bottom w:val="none" w:sz="0" w:space="0" w:color="auto"/>
        <w:right w:val="none" w:sz="0" w:space="0" w:color="auto"/>
      </w:divBdr>
    </w:div>
    <w:div w:id="1480226081">
      <w:bodyDiv w:val="1"/>
      <w:marLeft w:val="0"/>
      <w:marRight w:val="0"/>
      <w:marTop w:val="0"/>
      <w:marBottom w:val="0"/>
      <w:divBdr>
        <w:top w:val="none" w:sz="0" w:space="0" w:color="auto"/>
        <w:left w:val="none" w:sz="0" w:space="0" w:color="auto"/>
        <w:bottom w:val="none" w:sz="0" w:space="0" w:color="auto"/>
        <w:right w:val="none" w:sz="0" w:space="0" w:color="auto"/>
      </w:divBdr>
    </w:div>
    <w:div w:id="1480271857">
      <w:bodyDiv w:val="1"/>
      <w:marLeft w:val="0"/>
      <w:marRight w:val="0"/>
      <w:marTop w:val="0"/>
      <w:marBottom w:val="0"/>
      <w:divBdr>
        <w:top w:val="none" w:sz="0" w:space="0" w:color="auto"/>
        <w:left w:val="none" w:sz="0" w:space="0" w:color="auto"/>
        <w:bottom w:val="none" w:sz="0" w:space="0" w:color="auto"/>
        <w:right w:val="none" w:sz="0" w:space="0" w:color="auto"/>
      </w:divBdr>
    </w:div>
    <w:div w:id="1480461677">
      <w:bodyDiv w:val="1"/>
      <w:marLeft w:val="0"/>
      <w:marRight w:val="0"/>
      <w:marTop w:val="0"/>
      <w:marBottom w:val="0"/>
      <w:divBdr>
        <w:top w:val="none" w:sz="0" w:space="0" w:color="auto"/>
        <w:left w:val="none" w:sz="0" w:space="0" w:color="auto"/>
        <w:bottom w:val="none" w:sz="0" w:space="0" w:color="auto"/>
        <w:right w:val="none" w:sz="0" w:space="0" w:color="auto"/>
      </w:divBdr>
    </w:div>
    <w:div w:id="1480878696">
      <w:bodyDiv w:val="1"/>
      <w:marLeft w:val="0"/>
      <w:marRight w:val="0"/>
      <w:marTop w:val="0"/>
      <w:marBottom w:val="0"/>
      <w:divBdr>
        <w:top w:val="none" w:sz="0" w:space="0" w:color="auto"/>
        <w:left w:val="none" w:sz="0" w:space="0" w:color="auto"/>
        <w:bottom w:val="none" w:sz="0" w:space="0" w:color="auto"/>
        <w:right w:val="none" w:sz="0" w:space="0" w:color="auto"/>
      </w:divBdr>
    </w:div>
    <w:div w:id="1480995061">
      <w:bodyDiv w:val="1"/>
      <w:marLeft w:val="0"/>
      <w:marRight w:val="0"/>
      <w:marTop w:val="0"/>
      <w:marBottom w:val="0"/>
      <w:divBdr>
        <w:top w:val="none" w:sz="0" w:space="0" w:color="auto"/>
        <w:left w:val="none" w:sz="0" w:space="0" w:color="auto"/>
        <w:bottom w:val="none" w:sz="0" w:space="0" w:color="auto"/>
        <w:right w:val="none" w:sz="0" w:space="0" w:color="auto"/>
      </w:divBdr>
    </w:div>
    <w:div w:id="1483237084">
      <w:bodyDiv w:val="1"/>
      <w:marLeft w:val="0"/>
      <w:marRight w:val="0"/>
      <w:marTop w:val="0"/>
      <w:marBottom w:val="0"/>
      <w:divBdr>
        <w:top w:val="none" w:sz="0" w:space="0" w:color="auto"/>
        <w:left w:val="none" w:sz="0" w:space="0" w:color="auto"/>
        <w:bottom w:val="none" w:sz="0" w:space="0" w:color="auto"/>
        <w:right w:val="none" w:sz="0" w:space="0" w:color="auto"/>
      </w:divBdr>
    </w:div>
    <w:div w:id="1484158664">
      <w:bodyDiv w:val="1"/>
      <w:marLeft w:val="0"/>
      <w:marRight w:val="0"/>
      <w:marTop w:val="0"/>
      <w:marBottom w:val="0"/>
      <w:divBdr>
        <w:top w:val="none" w:sz="0" w:space="0" w:color="auto"/>
        <w:left w:val="none" w:sz="0" w:space="0" w:color="auto"/>
        <w:bottom w:val="none" w:sz="0" w:space="0" w:color="auto"/>
        <w:right w:val="none" w:sz="0" w:space="0" w:color="auto"/>
      </w:divBdr>
    </w:div>
    <w:div w:id="1484420733">
      <w:bodyDiv w:val="1"/>
      <w:marLeft w:val="0"/>
      <w:marRight w:val="0"/>
      <w:marTop w:val="0"/>
      <w:marBottom w:val="0"/>
      <w:divBdr>
        <w:top w:val="none" w:sz="0" w:space="0" w:color="auto"/>
        <w:left w:val="none" w:sz="0" w:space="0" w:color="auto"/>
        <w:bottom w:val="none" w:sz="0" w:space="0" w:color="auto"/>
        <w:right w:val="none" w:sz="0" w:space="0" w:color="auto"/>
      </w:divBdr>
    </w:div>
    <w:div w:id="1484618514">
      <w:bodyDiv w:val="1"/>
      <w:marLeft w:val="0"/>
      <w:marRight w:val="0"/>
      <w:marTop w:val="0"/>
      <w:marBottom w:val="0"/>
      <w:divBdr>
        <w:top w:val="none" w:sz="0" w:space="0" w:color="auto"/>
        <w:left w:val="none" w:sz="0" w:space="0" w:color="auto"/>
        <w:bottom w:val="none" w:sz="0" w:space="0" w:color="auto"/>
        <w:right w:val="none" w:sz="0" w:space="0" w:color="auto"/>
      </w:divBdr>
    </w:div>
    <w:div w:id="1485199476">
      <w:bodyDiv w:val="1"/>
      <w:marLeft w:val="0"/>
      <w:marRight w:val="0"/>
      <w:marTop w:val="0"/>
      <w:marBottom w:val="0"/>
      <w:divBdr>
        <w:top w:val="none" w:sz="0" w:space="0" w:color="auto"/>
        <w:left w:val="none" w:sz="0" w:space="0" w:color="auto"/>
        <w:bottom w:val="none" w:sz="0" w:space="0" w:color="auto"/>
        <w:right w:val="none" w:sz="0" w:space="0" w:color="auto"/>
      </w:divBdr>
    </w:div>
    <w:div w:id="1485580525">
      <w:bodyDiv w:val="1"/>
      <w:marLeft w:val="0"/>
      <w:marRight w:val="0"/>
      <w:marTop w:val="0"/>
      <w:marBottom w:val="0"/>
      <w:divBdr>
        <w:top w:val="none" w:sz="0" w:space="0" w:color="auto"/>
        <w:left w:val="none" w:sz="0" w:space="0" w:color="auto"/>
        <w:bottom w:val="none" w:sz="0" w:space="0" w:color="auto"/>
        <w:right w:val="none" w:sz="0" w:space="0" w:color="auto"/>
      </w:divBdr>
    </w:div>
    <w:div w:id="1485731739">
      <w:bodyDiv w:val="1"/>
      <w:marLeft w:val="0"/>
      <w:marRight w:val="0"/>
      <w:marTop w:val="0"/>
      <w:marBottom w:val="0"/>
      <w:divBdr>
        <w:top w:val="none" w:sz="0" w:space="0" w:color="auto"/>
        <w:left w:val="none" w:sz="0" w:space="0" w:color="auto"/>
        <w:bottom w:val="none" w:sz="0" w:space="0" w:color="auto"/>
        <w:right w:val="none" w:sz="0" w:space="0" w:color="auto"/>
      </w:divBdr>
    </w:div>
    <w:div w:id="1487479787">
      <w:bodyDiv w:val="1"/>
      <w:marLeft w:val="0"/>
      <w:marRight w:val="0"/>
      <w:marTop w:val="0"/>
      <w:marBottom w:val="0"/>
      <w:divBdr>
        <w:top w:val="none" w:sz="0" w:space="0" w:color="auto"/>
        <w:left w:val="none" w:sz="0" w:space="0" w:color="auto"/>
        <w:bottom w:val="none" w:sz="0" w:space="0" w:color="auto"/>
        <w:right w:val="none" w:sz="0" w:space="0" w:color="auto"/>
      </w:divBdr>
    </w:div>
    <w:div w:id="1487744791">
      <w:bodyDiv w:val="1"/>
      <w:marLeft w:val="0"/>
      <w:marRight w:val="0"/>
      <w:marTop w:val="0"/>
      <w:marBottom w:val="0"/>
      <w:divBdr>
        <w:top w:val="none" w:sz="0" w:space="0" w:color="auto"/>
        <w:left w:val="none" w:sz="0" w:space="0" w:color="auto"/>
        <w:bottom w:val="none" w:sz="0" w:space="0" w:color="auto"/>
        <w:right w:val="none" w:sz="0" w:space="0" w:color="auto"/>
      </w:divBdr>
    </w:div>
    <w:div w:id="1487818405">
      <w:bodyDiv w:val="1"/>
      <w:marLeft w:val="0"/>
      <w:marRight w:val="0"/>
      <w:marTop w:val="0"/>
      <w:marBottom w:val="0"/>
      <w:divBdr>
        <w:top w:val="none" w:sz="0" w:space="0" w:color="auto"/>
        <w:left w:val="none" w:sz="0" w:space="0" w:color="auto"/>
        <w:bottom w:val="none" w:sz="0" w:space="0" w:color="auto"/>
        <w:right w:val="none" w:sz="0" w:space="0" w:color="auto"/>
      </w:divBdr>
    </w:div>
    <w:div w:id="1488550439">
      <w:bodyDiv w:val="1"/>
      <w:marLeft w:val="0"/>
      <w:marRight w:val="0"/>
      <w:marTop w:val="0"/>
      <w:marBottom w:val="0"/>
      <w:divBdr>
        <w:top w:val="none" w:sz="0" w:space="0" w:color="auto"/>
        <w:left w:val="none" w:sz="0" w:space="0" w:color="auto"/>
        <w:bottom w:val="none" w:sz="0" w:space="0" w:color="auto"/>
        <w:right w:val="none" w:sz="0" w:space="0" w:color="auto"/>
      </w:divBdr>
    </w:div>
    <w:div w:id="1488741527">
      <w:bodyDiv w:val="1"/>
      <w:marLeft w:val="0"/>
      <w:marRight w:val="0"/>
      <w:marTop w:val="0"/>
      <w:marBottom w:val="0"/>
      <w:divBdr>
        <w:top w:val="none" w:sz="0" w:space="0" w:color="auto"/>
        <w:left w:val="none" w:sz="0" w:space="0" w:color="auto"/>
        <w:bottom w:val="none" w:sz="0" w:space="0" w:color="auto"/>
        <w:right w:val="none" w:sz="0" w:space="0" w:color="auto"/>
      </w:divBdr>
    </w:div>
    <w:div w:id="1490294176">
      <w:bodyDiv w:val="1"/>
      <w:marLeft w:val="0"/>
      <w:marRight w:val="0"/>
      <w:marTop w:val="0"/>
      <w:marBottom w:val="0"/>
      <w:divBdr>
        <w:top w:val="none" w:sz="0" w:space="0" w:color="auto"/>
        <w:left w:val="none" w:sz="0" w:space="0" w:color="auto"/>
        <w:bottom w:val="none" w:sz="0" w:space="0" w:color="auto"/>
        <w:right w:val="none" w:sz="0" w:space="0" w:color="auto"/>
      </w:divBdr>
    </w:div>
    <w:div w:id="1490515960">
      <w:bodyDiv w:val="1"/>
      <w:marLeft w:val="0"/>
      <w:marRight w:val="0"/>
      <w:marTop w:val="0"/>
      <w:marBottom w:val="0"/>
      <w:divBdr>
        <w:top w:val="none" w:sz="0" w:space="0" w:color="auto"/>
        <w:left w:val="none" w:sz="0" w:space="0" w:color="auto"/>
        <w:bottom w:val="none" w:sz="0" w:space="0" w:color="auto"/>
        <w:right w:val="none" w:sz="0" w:space="0" w:color="auto"/>
      </w:divBdr>
    </w:div>
    <w:div w:id="1491284810">
      <w:bodyDiv w:val="1"/>
      <w:marLeft w:val="0"/>
      <w:marRight w:val="0"/>
      <w:marTop w:val="0"/>
      <w:marBottom w:val="0"/>
      <w:divBdr>
        <w:top w:val="none" w:sz="0" w:space="0" w:color="auto"/>
        <w:left w:val="none" w:sz="0" w:space="0" w:color="auto"/>
        <w:bottom w:val="none" w:sz="0" w:space="0" w:color="auto"/>
        <w:right w:val="none" w:sz="0" w:space="0" w:color="auto"/>
      </w:divBdr>
    </w:div>
    <w:div w:id="1491674581">
      <w:bodyDiv w:val="1"/>
      <w:marLeft w:val="0"/>
      <w:marRight w:val="0"/>
      <w:marTop w:val="0"/>
      <w:marBottom w:val="0"/>
      <w:divBdr>
        <w:top w:val="none" w:sz="0" w:space="0" w:color="auto"/>
        <w:left w:val="none" w:sz="0" w:space="0" w:color="auto"/>
        <w:bottom w:val="none" w:sz="0" w:space="0" w:color="auto"/>
        <w:right w:val="none" w:sz="0" w:space="0" w:color="auto"/>
      </w:divBdr>
    </w:div>
    <w:div w:id="1491750614">
      <w:bodyDiv w:val="1"/>
      <w:marLeft w:val="0"/>
      <w:marRight w:val="0"/>
      <w:marTop w:val="0"/>
      <w:marBottom w:val="0"/>
      <w:divBdr>
        <w:top w:val="none" w:sz="0" w:space="0" w:color="auto"/>
        <w:left w:val="none" w:sz="0" w:space="0" w:color="auto"/>
        <w:bottom w:val="none" w:sz="0" w:space="0" w:color="auto"/>
        <w:right w:val="none" w:sz="0" w:space="0" w:color="auto"/>
      </w:divBdr>
    </w:div>
    <w:div w:id="1493450150">
      <w:bodyDiv w:val="1"/>
      <w:marLeft w:val="0"/>
      <w:marRight w:val="0"/>
      <w:marTop w:val="0"/>
      <w:marBottom w:val="0"/>
      <w:divBdr>
        <w:top w:val="none" w:sz="0" w:space="0" w:color="auto"/>
        <w:left w:val="none" w:sz="0" w:space="0" w:color="auto"/>
        <w:bottom w:val="none" w:sz="0" w:space="0" w:color="auto"/>
        <w:right w:val="none" w:sz="0" w:space="0" w:color="auto"/>
      </w:divBdr>
    </w:div>
    <w:div w:id="1493566568">
      <w:bodyDiv w:val="1"/>
      <w:marLeft w:val="0"/>
      <w:marRight w:val="0"/>
      <w:marTop w:val="0"/>
      <w:marBottom w:val="0"/>
      <w:divBdr>
        <w:top w:val="none" w:sz="0" w:space="0" w:color="auto"/>
        <w:left w:val="none" w:sz="0" w:space="0" w:color="auto"/>
        <w:bottom w:val="none" w:sz="0" w:space="0" w:color="auto"/>
        <w:right w:val="none" w:sz="0" w:space="0" w:color="auto"/>
      </w:divBdr>
    </w:div>
    <w:div w:id="1493907263">
      <w:bodyDiv w:val="1"/>
      <w:marLeft w:val="0"/>
      <w:marRight w:val="0"/>
      <w:marTop w:val="0"/>
      <w:marBottom w:val="0"/>
      <w:divBdr>
        <w:top w:val="none" w:sz="0" w:space="0" w:color="auto"/>
        <w:left w:val="none" w:sz="0" w:space="0" w:color="auto"/>
        <w:bottom w:val="none" w:sz="0" w:space="0" w:color="auto"/>
        <w:right w:val="none" w:sz="0" w:space="0" w:color="auto"/>
      </w:divBdr>
    </w:div>
    <w:div w:id="1494107304">
      <w:bodyDiv w:val="1"/>
      <w:marLeft w:val="0"/>
      <w:marRight w:val="0"/>
      <w:marTop w:val="0"/>
      <w:marBottom w:val="0"/>
      <w:divBdr>
        <w:top w:val="none" w:sz="0" w:space="0" w:color="auto"/>
        <w:left w:val="none" w:sz="0" w:space="0" w:color="auto"/>
        <w:bottom w:val="none" w:sz="0" w:space="0" w:color="auto"/>
        <w:right w:val="none" w:sz="0" w:space="0" w:color="auto"/>
      </w:divBdr>
    </w:div>
    <w:div w:id="1494495156">
      <w:bodyDiv w:val="1"/>
      <w:marLeft w:val="0"/>
      <w:marRight w:val="0"/>
      <w:marTop w:val="0"/>
      <w:marBottom w:val="0"/>
      <w:divBdr>
        <w:top w:val="none" w:sz="0" w:space="0" w:color="auto"/>
        <w:left w:val="none" w:sz="0" w:space="0" w:color="auto"/>
        <w:bottom w:val="none" w:sz="0" w:space="0" w:color="auto"/>
        <w:right w:val="none" w:sz="0" w:space="0" w:color="auto"/>
      </w:divBdr>
    </w:div>
    <w:div w:id="1497455095">
      <w:bodyDiv w:val="1"/>
      <w:marLeft w:val="0"/>
      <w:marRight w:val="0"/>
      <w:marTop w:val="0"/>
      <w:marBottom w:val="0"/>
      <w:divBdr>
        <w:top w:val="none" w:sz="0" w:space="0" w:color="auto"/>
        <w:left w:val="none" w:sz="0" w:space="0" w:color="auto"/>
        <w:bottom w:val="none" w:sz="0" w:space="0" w:color="auto"/>
        <w:right w:val="none" w:sz="0" w:space="0" w:color="auto"/>
      </w:divBdr>
    </w:div>
    <w:div w:id="1497575879">
      <w:bodyDiv w:val="1"/>
      <w:marLeft w:val="0"/>
      <w:marRight w:val="0"/>
      <w:marTop w:val="0"/>
      <w:marBottom w:val="0"/>
      <w:divBdr>
        <w:top w:val="none" w:sz="0" w:space="0" w:color="auto"/>
        <w:left w:val="none" w:sz="0" w:space="0" w:color="auto"/>
        <w:bottom w:val="none" w:sz="0" w:space="0" w:color="auto"/>
        <w:right w:val="none" w:sz="0" w:space="0" w:color="auto"/>
      </w:divBdr>
    </w:div>
    <w:div w:id="1498032354">
      <w:bodyDiv w:val="1"/>
      <w:marLeft w:val="0"/>
      <w:marRight w:val="0"/>
      <w:marTop w:val="0"/>
      <w:marBottom w:val="0"/>
      <w:divBdr>
        <w:top w:val="none" w:sz="0" w:space="0" w:color="auto"/>
        <w:left w:val="none" w:sz="0" w:space="0" w:color="auto"/>
        <w:bottom w:val="none" w:sz="0" w:space="0" w:color="auto"/>
        <w:right w:val="none" w:sz="0" w:space="0" w:color="auto"/>
      </w:divBdr>
    </w:div>
    <w:div w:id="1498880731">
      <w:bodyDiv w:val="1"/>
      <w:marLeft w:val="0"/>
      <w:marRight w:val="0"/>
      <w:marTop w:val="0"/>
      <w:marBottom w:val="0"/>
      <w:divBdr>
        <w:top w:val="none" w:sz="0" w:space="0" w:color="auto"/>
        <w:left w:val="none" w:sz="0" w:space="0" w:color="auto"/>
        <w:bottom w:val="none" w:sz="0" w:space="0" w:color="auto"/>
        <w:right w:val="none" w:sz="0" w:space="0" w:color="auto"/>
      </w:divBdr>
    </w:div>
    <w:div w:id="1498884191">
      <w:bodyDiv w:val="1"/>
      <w:marLeft w:val="0"/>
      <w:marRight w:val="0"/>
      <w:marTop w:val="0"/>
      <w:marBottom w:val="0"/>
      <w:divBdr>
        <w:top w:val="none" w:sz="0" w:space="0" w:color="auto"/>
        <w:left w:val="none" w:sz="0" w:space="0" w:color="auto"/>
        <w:bottom w:val="none" w:sz="0" w:space="0" w:color="auto"/>
        <w:right w:val="none" w:sz="0" w:space="0" w:color="auto"/>
      </w:divBdr>
    </w:div>
    <w:div w:id="1499350544">
      <w:bodyDiv w:val="1"/>
      <w:marLeft w:val="0"/>
      <w:marRight w:val="0"/>
      <w:marTop w:val="0"/>
      <w:marBottom w:val="0"/>
      <w:divBdr>
        <w:top w:val="none" w:sz="0" w:space="0" w:color="auto"/>
        <w:left w:val="none" w:sz="0" w:space="0" w:color="auto"/>
        <w:bottom w:val="none" w:sz="0" w:space="0" w:color="auto"/>
        <w:right w:val="none" w:sz="0" w:space="0" w:color="auto"/>
      </w:divBdr>
    </w:div>
    <w:div w:id="1501584644">
      <w:bodyDiv w:val="1"/>
      <w:marLeft w:val="0"/>
      <w:marRight w:val="0"/>
      <w:marTop w:val="0"/>
      <w:marBottom w:val="0"/>
      <w:divBdr>
        <w:top w:val="none" w:sz="0" w:space="0" w:color="auto"/>
        <w:left w:val="none" w:sz="0" w:space="0" w:color="auto"/>
        <w:bottom w:val="none" w:sz="0" w:space="0" w:color="auto"/>
        <w:right w:val="none" w:sz="0" w:space="0" w:color="auto"/>
      </w:divBdr>
    </w:div>
    <w:div w:id="1502547141">
      <w:bodyDiv w:val="1"/>
      <w:marLeft w:val="0"/>
      <w:marRight w:val="0"/>
      <w:marTop w:val="0"/>
      <w:marBottom w:val="0"/>
      <w:divBdr>
        <w:top w:val="none" w:sz="0" w:space="0" w:color="auto"/>
        <w:left w:val="none" w:sz="0" w:space="0" w:color="auto"/>
        <w:bottom w:val="none" w:sz="0" w:space="0" w:color="auto"/>
        <w:right w:val="none" w:sz="0" w:space="0" w:color="auto"/>
      </w:divBdr>
    </w:div>
    <w:div w:id="1502550786">
      <w:bodyDiv w:val="1"/>
      <w:marLeft w:val="0"/>
      <w:marRight w:val="0"/>
      <w:marTop w:val="0"/>
      <w:marBottom w:val="0"/>
      <w:divBdr>
        <w:top w:val="none" w:sz="0" w:space="0" w:color="auto"/>
        <w:left w:val="none" w:sz="0" w:space="0" w:color="auto"/>
        <w:bottom w:val="none" w:sz="0" w:space="0" w:color="auto"/>
        <w:right w:val="none" w:sz="0" w:space="0" w:color="auto"/>
      </w:divBdr>
    </w:div>
    <w:div w:id="1503621520">
      <w:bodyDiv w:val="1"/>
      <w:marLeft w:val="0"/>
      <w:marRight w:val="0"/>
      <w:marTop w:val="0"/>
      <w:marBottom w:val="0"/>
      <w:divBdr>
        <w:top w:val="none" w:sz="0" w:space="0" w:color="auto"/>
        <w:left w:val="none" w:sz="0" w:space="0" w:color="auto"/>
        <w:bottom w:val="none" w:sz="0" w:space="0" w:color="auto"/>
        <w:right w:val="none" w:sz="0" w:space="0" w:color="auto"/>
      </w:divBdr>
    </w:div>
    <w:div w:id="1504125114">
      <w:bodyDiv w:val="1"/>
      <w:marLeft w:val="0"/>
      <w:marRight w:val="0"/>
      <w:marTop w:val="0"/>
      <w:marBottom w:val="0"/>
      <w:divBdr>
        <w:top w:val="none" w:sz="0" w:space="0" w:color="auto"/>
        <w:left w:val="none" w:sz="0" w:space="0" w:color="auto"/>
        <w:bottom w:val="none" w:sz="0" w:space="0" w:color="auto"/>
        <w:right w:val="none" w:sz="0" w:space="0" w:color="auto"/>
      </w:divBdr>
    </w:div>
    <w:div w:id="1504969979">
      <w:bodyDiv w:val="1"/>
      <w:marLeft w:val="0"/>
      <w:marRight w:val="0"/>
      <w:marTop w:val="0"/>
      <w:marBottom w:val="0"/>
      <w:divBdr>
        <w:top w:val="none" w:sz="0" w:space="0" w:color="auto"/>
        <w:left w:val="none" w:sz="0" w:space="0" w:color="auto"/>
        <w:bottom w:val="none" w:sz="0" w:space="0" w:color="auto"/>
        <w:right w:val="none" w:sz="0" w:space="0" w:color="auto"/>
      </w:divBdr>
    </w:div>
    <w:div w:id="1505051026">
      <w:bodyDiv w:val="1"/>
      <w:marLeft w:val="0"/>
      <w:marRight w:val="0"/>
      <w:marTop w:val="0"/>
      <w:marBottom w:val="0"/>
      <w:divBdr>
        <w:top w:val="none" w:sz="0" w:space="0" w:color="auto"/>
        <w:left w:val="none" w:sz="0" w:space="0" w:color="auto"/>
        <w:bottom w:val="none" w:sz="0" w:space="0" w:color="auto"/>
        <w:right w:val="none" w:sz="0" w:space="0" w:color="auto"/>
      </w:divBdr>
    </w:div>
    <w:div w:id="1505240910">
      <w:bodyDiv w:val="1"/>
      <w:marLeft w:val="0"/>
      <w:marRight w:val="0"/>
      <w:marTop w:val="0"/>
      <w:marBottom w:val="0"/>
      <w:divBdr>
        <w:top w:val="none" w:sz="0" w:space="0" w:color="auto"/>
        <w:left w:val="none" w:sz="0" w:space="0" w:color="auto"/>
        <w:bottom w:val="none" w:sz="0" w:space="0" w:color="auto"/>
        <w:right w:val="none" w:sz="0" w:space="0" w:color="auto"/>
      </w:divBdr>
    </w:div>
    <w:div w:id="1507596269">
      <w:bodyDiv w:val="1"/>
      <w:marLeft w:val="0"/>
      <w:marRight w:val="0"/>
      <w:marTop w:val="0"/>
      <w:marBottom w:val="0"/>
      <w:divBdr>
        <w:top w:val="none" w:sz="0" w:space="0" w:color="auto"/>
        <w:left w:val="none" w:sz="0" w:space="0" w:color="auto"/>
        <w:bottom w:val="none" w:sz="0" w:space="0" w:color="auto"/>
        <w:right w:val="none" w:sz="0" w:space="0" w:color="auto"/>
      </w:divBdr>
    </w:div>
    <w:div w:id="1507859890">
      <w:bodyDiv w:val="1"/>
      <w:marLeft w:val="0"/>
      <w:marRight w:val="0"/>
      <w:marTop w:val="0"/>
      <w:marBottom w:val="0"/>
      <w:divBdr>
        <w:top w:val="none" w:sz="0" w:space="0" w:color="auto"/>
        <w:left w:val="none" w:sz="0" w:space="0" w:color="auto"/>
        <w:bottom w:val="none" w:sz="0" w:space="0" w:color="auto"/>
        <w:right w:val="none" w:sz="0" w:space="0" w:color="auto"/>
      </w:divBdr>
    </w:div>
    <w:div w:id="1508209580">
      <w:bodyDiv w:val="1"/>
      <w:marLeft w:val="0"/>
      <w:marRight w:val="0"/>
      <w:marTop w:val="0"/>
      <w:marBottom w:val="0"/>
      <w:divBdr>
        <w:top w:val="none" w:sz="0" w:space="0" w:color="auto"/>
        <w:left w:val="none" w:sz="0" w:space="0" w:color="auto"/>
        <w:bottom w:val="none" w:sz="0" w:space="0" w:color="auto"/>
        <w:right w:val="none" w:sz="0" w:space="0" w:color="auto"/>
      </w:divBdr>
    </w:div>
    <w:div w:id="1510216470">
      <w:bodyDiv w:val="1"/>
      <w:marLeft w:val="0"/>
      <w:marRight w:val="0"/>
      <w:marTop w:val="0"/>
      <w:marBottom w:val="0"/>
      <w:divBdr>
        <w:top w:val="none" w:sz="0" w:space="0" w:color="auto"/>
        <w:left w:val="none" w:sz="0" w:space="0" w:color="auto"/>
        <w:bottom w:val="none" w:sz="0" w:space="0" w:color="auto"/>
        <w:right w:val="none" w:sz="0" w:space="0" w:color="auto"/>
      </w:divBdr>
    </w:div>
    <w:div w:id="1511791986">
      <w:bodyDiv w:val="1"/>
      <w:marLeft w:val="0"/>
      <w:marRight w:val="0"/>
      <w:marTop w:val="0"/>
      <w:marBottom w:val="0"/>
      <w:divBdr>
        <w:top w:val="none" w:sz="0" w:space="0" w:color="auto"/>
        <w:left w:val="none" w:sz="0" w:space="0" w:color="auto"/>
        <w:bottom w:val="none" w:sz="0" w:space="0" w:color="auto"/>
        <w:right w:val="none" w:sz="0" w:space="0" w:color="auto"/>
      </w:divBdr>
    </w:div>
    <w:div w:id="1511875994">
      <w:bodyDiv w:val="1"/>
      <w:marLeft w:val="0"/>
      <w:marRight w:val="0"/>
      <w:marTop w:val="0"/>
      <w:marBottom w:val="0"/>
      <w:divBdr>
        <w:top w:val="none" w:sz="0" w:space="0" w:color="auto"/>
        <w:left w:val="none" w:sz="0" w:space="0" w:color="auto"/>
        <w:bottom w:val="none" w:sz="0" w:space="0" w:color="auto"/>
        <w:right w:val="none" w:sz="0" w:space="0" w:color="auto"/>
      </w:divBdr>
    </w:div>
    <w:div w:id="1512644516">
      <w:bodyDiv w:val="1"/>
      <w:marLeft w:val="0"/>
      <w:marRight w:val="0"/>
      <w:marTop w:val="0"/>
      <w:marBottom w:val="0"/>
      <w:divBdr>
        <w:top w:val="none" w:sz="0" w:space="0" w:color="auto"/>
        <w:left w:val="none" w:sz="0" w:space="0" w:color="auto"/>
        <w:bottom w:val="none" w:sz="0" w:space="0" w:color="auto"/>
        <w:right w:val="none" w:sz="0" w:space="0" w:color="auto"/>
      </w:divBdr>
    </w:div>
    <w:div w:id="1512718855">
      <w:bodyDiv w:val="1"/>
      <w:marLeft w:val="0"/>
      <w:marRight w:val="0"/>
      <w:marTop w:val="0"/>
      <w:marBottom w:val="0"/>
      <w:divBdr>
        <w:top w:val="none" w:sz="0" w:space="0" w:color="auto"/>
        <w:left w:val="none" w:sz="0" w:space="0" w:color="auto"/>
        <w:bottom w:val="none" w:sz="0" w:space="0" w:color="auto"/>
        <w:right w:val="none" w:sz="0" w:space="0" w:color="auto"/>
      </w:divBdr>
    </w:div>
    <w:div w:id="1514104559">
      <w:bodyDiv w:val="1"/>
      <w:marLeft w:val="0"/>
      <w:marRight w:val="0"/>
      <w:marTop w:val="0"/>
      <w:marBottom w:val="0"/>
      <w:divBdr>
        <w:top w:val="none" w:sz="0" w:space="0" w:color="auto"/>
        <w:left w:val="none" w:sz="0" w:space="0" w:color="auto"/>
        <w:bottom w:val="none" w:sz="0" w:space="0" w:color="auto"/>
        <w:right w:val="none" w:sz="0" w:space="0" w:color="auto"/>
      </w:divBdr>
    </w:div>
    <w:div w:id="1514689179">
      <w:bodyDiv w:val="1"/>
      <w:marLeft w:val="0"/>
      <w:marRight w:val="0"/>
      <w:marTop w:val="0"/>
      <w:marBottom w:val="0"/>
      <w:divBdr>
        <w:top w:val="none" w:sz="0" w:space="0" w:color="auto"/>
        <w:left w:val="none" w:sz="0" w:space="0" w:color="auto"/>
        <w:bottom w:val="none" w:sz="0" w:space="0" w:color="auto"/>
        <w:right w:val="none" w:sz="0" w:space="0" w:color="auto"/>
      </w:divBdr>
    </w:div>
    <w:div w:id="1515000998">
      <w:bodyDiv w:val="1"/>
      <w:marLeft w:val="0"/>
      <w:marRight w:val="0"/>
      <w:marTop w:val="0"/>
      <w:marBottom w:val="0"/>
      <w:divBdr>
        <w:top w:val="none" w:sz="0" w:space="0" w:color="auto"/>
        <w:left w:val="none" w:sz="0" w:space="0" w:color="auto"/>
        <w:bottom w:val="none" w:sz="0" w:space="0" w:color="auto"/>
        <w:right w:val="none" w:sz="0" w:space="0" w:color="auto"/>
      </w:divBdr>
    </w:div>
    <w:div w:id="1515538574">
      <w:bodyDiv w:val="1"/>
      <w:marLeft w:val="0"/>
      <w:marRight w:val="0"/>
      <w:marTop w:val="0"/>
      <w:marBottom w:val="0"/>
      <w:divBdr>
        <w:top w:val="none" w:sz="0" w:space="0" w:color="auto"/>
        <w:left w:val="none" w:sz="0" w:space="0" w:color="auto"/>
        <w:bottom w:val="none" w:sz="0" w:space="0" w:color="auto"/>
        <w:right w:val="none" w:sz="0" w:space="0" w:color="auto"/>
      </w:divBdr>
    </w:div>
    <w:div w:id="1515680948">
      <w:bodyDiv w:val="1"/>
      <w:marLeft w:val="0"/>
      <w:marRight w:val="0"/>
      <w:marTop w:val="0"/>
      <w:marBottom w:val="0"/>
      <w:divBdr>
        <w:top w:val="none" w:sz="0" w:space="0" w:color="auto"/>
        <w:left w:val="none" w:sz="0" w:space="0" w:color="auto"/>
        <w:bottom w:val="none" w:sz="0" w:space="0" w:color="auto"/>
        <w:right w:val="none" w:sz="0" w:space="0" w:color="auto"/>
      </w:divBdr>
    </w:div>
    <w:div w:id="1515806956">
      <w:bodyDiv w:val="1"/>
      <w:marLeft w:val="0"/>
      <w:marRight w:val="0"/>
      <w:marTop w:val="0"/>
      <w:marBottom w:val="0"/>
      <w:divBdr>
        <w:top w:val="none" w:sz="0" w:space="0" w:color="auto"/>
        <w:left w:val="none" w:sz="0" w:space="0" w:color="auto"/>
        <w:bottom w:val="none" w:sz="0" w:space="0" w:color="auto"/>
        <w:right w:val="none" w:sz="0" w:space="0" w:color="auto"/>
      </w:divBdr>
    </w:div>
    <w:div w:id="1517036273">
      <w:bodyDiv w:val="1"/>
      <w:marLeft w:val="0"/>
      <w:marRight w:val="0"/>
      <w:marTop w:val="0"/>
      <w:marBottom w:val="0"/>
      <w:divBdr>
        <w:top w:val="none" w:sz="0" w:space="0" w:color="auto"/>
        <w:left w:val="none" w:sz="0" w:space="0" w:color="auto"/>
        <w:bottom w:val="none" w:sz="0" w:space="0" w:color="auto"/>
        <w:right w:val="none" w:sz="0" w:space="0" w:color="auto"/>
      </w:divBdr>
    </w:div>
    <w:div w:id="1517233931">
      <w:bodyDiv w:val="1"/>
      <w:marLeft w:val="0"/>
      <w:marRight w:val="0"/>
      <w:marTop w:val="0"/>
      <w:marBottom w:val="0"/>
      <w:divBdr>
        <w:top w:val="none" w:sz="0" w:space="0" w:color="auto"/>
        <w:left w:val="none" w:sz="0" w:space="0" w:color="auto"/>
        <w:bottom w:val="none" w:sz="0" w:space="0" w:color="auto"/>
        <w:right w:val="none" w:sz="0" w:space="0" w:color="auto"/>
      </w:divBdr>
    </w:div>
    <w:div w:id="1517573034">
      <w:bodyDiv w:val="1"/>
      <w:marLeft w:val="0"/>
      <w:marRight w:val="0"/>
      <w:marTop w:val="0"/>
      <w:marBottom w:val="0"/>
      <w:divBdr>
        <w:top w:val="none" w:sz="0" w:space="0" w:color="auto"/>
        <w:left w:val="none" w:sz="0" w:space="0" w:color="auto"/>
        <w:bottom w:val="none" w:sz="0" w:space="0" w:color="auto"/>
        <w:right w:val="none" w:sz="0" w:space="0" w:color="auto"/>
      </w:divBdr>
    </w:div>
    <w:div w:id="1519084103">
      <w:bodyDiv w:val="1"/>
      <w:marLeft w:val="0"/>
      <w:marRight w:val="0"/>
      <w:marTop w:val="0"/>
      <w:marBottom w:val="0"/>
      <w:divBdr>
        <w:top w:val="none" w:sz="0" w:space="0" w:color="auto"/>
        <w:left w:val="none" w:sz="0" w:space="0" w:color="auto"/>
        <w:bottom w:val="none" w:sz="0" w:space="0" w:color="auto"/>
        <w:right w:val="none" w:sz="0" w:space="0" w:color="auto"/>
      </w:divBdr>
    </w:div>
    <w:div w:id="1519349319">
      <w:bodyDiv w:val="1"/>
      <w:marLeft w:val="0"/>
      <w:marRight w:val="0"/>
      <w:marTop w:val="0"/>
      <w:marBottom w:val="0"/>
      <w:divBdr>
        <w:top w:val="none" w:sz="0" w:space="0" w:color="auto"/>
        <w:left w:val="none" w:sz="0" w:space="0" w:color="auto"/>
        <w:bottom w:val="none" w:sz="0" w:space="0" w:color="auto"/>
        <w:right w:val="none" w:sz="0" w:space="0" w:color="auto"/>
      </w:divBdr>
    </w:div>
    <w:div w:id="1519737499">
      <w:bodyDiv w:val="1"/>
      <w:marLeft w:val="0"/>
      <w:marRight w:val="0"/>
      <w:marTop w:val="0"/>
      <w:marBottom w:val="0"/>
      <w:divBdr>
        <w:top w:val="none" w:sz="0" w:space="0" w:color="auto"/>
        <w:left w:val="none" w:sz="0" w:space="0" w:color="auto"/>
        <w:bottom w:val="none" w:sz="0" w:space="0" w:color="auto"/>
        <w:right w:val="none" w:sz="0" w:space="0" w:color="auto"/>
      </w:divBdr>
    </w:div>
    <w:div w:id="1521627923">
      <w:bodyDiv w:val="1"/>
      <w:marLeft w:val="0"/>
      <w:marRight w:val="0"/>
      <w:marTop w:val="0"/>
      <w:marBottom w:val="0"/>
      <w:divBdr>
        <w:top w:val="none" w:sz="0" w:space="0" w:color="auto"/>
        <w:left w:val="none" w:sz="0" w:space="0" w:color="auto"/>
        <w:bottom w:val="none" w:sz="0" w:space="0" w:color="auto"/>
        <w:right w:val="none" w:sz="0" w:space="0" w:color="auto"/>
      </w:divBdr>
    </w:div>
    <w:div w:id="1521778543">
      <w:bodyDiv w:val="1"/>
      <w:marLeft w:val="0"/>
      <w:marRight w:val="0"/>
      <w:marTop w:val="0"/>
      <w:marBottom w:val="0"/>
      <w:divBdr>
        <w:top w:val="none" w:sz="0" w:space="0" w:color="auto"/>
        <w:left w:val="none" w:sz="0" w:space="0" w:color="auto"/>
        <w:bottom w:val="none" w:sz="0" w:space="0" w:color="auto"/>
        <w:right w:val="none" w:sz="0" w:space="0" w:color="auto"/>
      </w:divBdr>
    </w:div>
    <w:div w:id="1522622833">
      <w:bodyDiv w:val="1"/>
      <w:marLeft w:val="0"/>
      <w:marRight w:val="0"/>
      <w:marTop w:val="0"/>
      <w:marBottom w:val="0"/>
      <w:divBdr>
        <w:top w:val="none" w:sz="0" w:space="0" w:color="auto"/>
        <w:left w:val="none" w:sz="0" w:space="0" w:color="auto"/>
        <w:bottom w:val="none" w:sz="0" w:space="0" w:color="auto"/>
        <w:right w:val="none" w:sz="0" w:space="0" w:color="auto"/>
      </w:divBdr>
    </w:div>
    <w:div w:id="1522628513">
      <w:bodyDiv w:val="1"/>
      <w:marLeft w:val="0"/>
      <w:marRight w:val="0"/>
      <w:marTop w:val="0"/>
      <w:marBottom w:val="0"/>
      <w:divBdr>
        <w:top w:val="none" w:sz="0" w:space="0" w:color="auto"/>
        <w:left w:val="none" w:sz="0" w:space="0" w:color="auto"/>
        <w:bottom w:val="none" w:sz="0" w:space="0" w:color="auto"/>
        <w:right w:val="none" w:sz="0" w:space="0" w:color="auto"/>
      </w:divBdr>
    </w:div>
    <w:div w:id="1522668542">
      <w:bodyDiv w:val="1"/>
      <w:marLeft w:val="0"/>
      <w:marRight w:val="0"/>
      <w:marTop w:val="0"/>
      <w:marBottom w:val="0"/>
      <w:divBdr>
        <w:top w:val="none" w:sz="0" w:space="0" w:color="auto"/>
        <w:left w:val="none" w:sz="0" w:space="0" w:color="auto"/>
        <w:bottom w:val="none" w:sz="0" w:space="0" w:color="auto"/>
        <w:right w:val="none" w:sz="0" w:space="0" w:color="auto"/>
      </w:divBdr>
    </w:div>
    <w:div w:id="1523662165">
      <w:bodyDiv w:val="1"/>
      <w:marLeft w:val="0"/>
      <w:marRight w:val="0"/>
      <w:marTop w:val="0"/>
      <w:marBottom w:val="0"/>
      <w:divBdr>
        <w:top w:val="none" w:sz="0" w:space="0" w:color="auto"/>
        <w:left w:val="none" w:sz="0" w:space="0" w:color="auto"/>
        <w:bottom w:val="none" w:sz="0" w:space="0" w:color="auto"/>
        <w:right w:val="none" w:sz="0" w:space="0" w:color="auto"/>
      </w:divBdr>
    </w:div>
    <w:div w:id="1524438331">
      <w:bodyDiv w:val="1"/>
      <w:marLeft w:val="0"/>
      <w:marRight w:val="0"/>
      <w:marTop w:val="0"/>
      <w:marBottom w:val="0"/>
      <w:divBdr>
        <w:top w:val="none" w:sz="0" w:space="0" w:color="auto"/>
        <w:left w:val="none" w:sz="0" w:space="0" w:color="auto"/>
        <w:bottom w:val="none" w:sz="0" w:space="0" w:color="auto"/>
        <w:right w:val="none" w:sz="0" w:space="0" w:color="auto"/>
      </w:divBdr>
    </w:div>
    <w:div w:id="1524978636">
      <w:bodyDiv w:val="1"/>
      <w:marLeft w:val="0"/>
      <w:marRight w:val="0"/>
      <w:marTop w:val="0"/>
      <w:marBottom w:val="0"/>
      <w:divBdr>
        <w:top w:val="none" w:sz="0" w:space="0" w:color="auto"/>
        <w:left w:val="none" w:sz="0" w:space="0" w:color="auto"/>
        <w:bottom w:val="none" w:sz="0" w:space="0" w:color="auto"/>
        <w:right w:val="none" w:sz="0" w:space="0" w:color="auto"/>
      </w:divBdr>
    </w:div>
    <w:div w:id="1525437278">
      <w:bodyDiv w:val="1"/>
      <w:marLeft w:val="0"/>
      <w:marRight w:val="0"/>
      <w:marTop w:val="0"/>
      <w:marBottom w:val="0"/>
      <w:divBdr>
        <w:top w:val="none" w:sz="0" w:space="0" w:color="auto"/>
        <w:left w:val="none" w:sz="0" w:space="0" w:color="auto"/>
        <w:bottom w:val="none" w:sz="0" w:space="0" w:color="auto"/>
        <w:right w:val="none" w:sz="0" w:space="0" w:color="auto"/>
      </w:divBdr>
    </w:div>
    <w:div w:id="1527137199">
      <w:bodyDiv w:val="1"/>
      <w:marLeft w:val="0"/>
      <w:marRight w:val="0"/>
      <w:marTop w:val="0"/>
      <w:marBottom w:val="0"/>
      <w:divBdr>
        <w:top w:val="none" w:sz="0" w:space="0" w:color="auto"/>
        <w:left w:val="none" w:sz="0" w:space="0" w:color="auto"/>
        <w:bottom w:val="none" w:sz="0" w:space="0" w:color="auto"/>
        <w:right w:val="none" w:sz="0" w:space="0" w:color="auto"/>
      </w:divBdr>
    </w:div>
    <w:div w:id="1527869551">
      <w:bodyDiv w:val="1"/>
      <w:marLeft w:val="0"/>
      <w:marRight w:val="0"/>
      <w:marTop w:val="0"/>
      <w:marBottom w:val="0"/>
      <w:divBdr>
        <w:top w:val="none" w:sz="0" w:space="0" w:color="auto"/>
        <w:left w:val="none" w:sz="0" w:space="0" w:color="auto"/>
        <w:bottom w:val="none" w:sz="0" w:space="0" w:color="auto"/>
        <w:right w:val="none" w:sz="0" w:space="0" w:color="auto"/>
      </w:divBdr>
    </w:div>
    <w:div w:id="1528711657">
      <w:bodyDiv w:val="1"/>
      <w:marLeft w:val="0"/>
      <w:marRight w:val="0"/>
      <w:marTop w:val="0"/>
      <w:marBottom w:val="0"/>
      <w:divBdr>
        <w:top w:val="none" w:sz="0" w:space="0" w:color="auto"/>
        <w:left w:val="none" w:sz="0" w:space="0" w:color="auto"/>
        <w:bottom w:val="none" w:sz="0" w:space="0" w:color="auto"/>
        <w:right w:val="none" w:sz="0" w:space="0" w:color="auto"/>
      </w:divBdr>
    </w:div>
    <w:div w:id="1528714223">
      <w:bodyDiv w:val="1"/>
      <w:marLeft w:val="0"/>
      <w:marRight w:val="0"/>
      <w:marTop w:val="0"/>
      <w:marBottom w:val="0"/>
      <w:divBdr>
        <w:top w:val="none" w:sz="0" w:space="0" w:color="auto"/>
        <w:left w:val="none" w:sz="0" w:space="0" w:color="auto"/>
        <w:bottom w:val="none" w:sz="0" w:space="0" w:color="auto"/>
        <w:right w:val="none" w:sz="0" w:space="0" w:color="auto"/>
      </w:divBdr>
    </w:div>
    <w:div w:id="1529026141">
      <w:bodyDiv w:val="1"/>
      <w:marLeft w:val="0"/>
      <w:marRight w:val="0"/>
      <w:marTop w:val="0"/>
      <w:marBottom w:val="0"/>
      <w:divBdr>
        <w:top w:val="none" w:sz="0" w:space="0" w:color="auto"/>
        <w:left w:val="none" w:sz="0" w:space="0" w:color="auto"/>
        <w:bottom w:val="none" w:sz="0" w:space="0" w:color="auto"/>
        <w:right w:val="none" w:sz="0" w:space="0" w:color="auto"/>
      </w:divBdr>
    </w:div>
    <w:div w:id="1530332111">
      <w:bodyDiv w:val="1"/>
      <w:marLeft w:val="0"/>
      <w:marRight w:val="0"/>
      <w:marTop w:val="0"/>
      <w:marBottom w:val="0"/>
      <w:divBdr>
        <w:top w:val="none" w:sz="0" w:space="0" w:color="auto"/>
        <w:left w:val="none" w:sz="0" w:space="0" w:color="auto"/>
        <w:bottom w:val="none" w:sz="0" w:space="0" w:color="auto"/>
        <w:right w:val="none" w:sz="0" w:space="0" w:color="auto"/>
      </w:divBdr>
    </w:div>
    <w:div w:id="1532912969">
      <w:bodyDiv w:val="1"/>
      <w:marLeft w:val="0"/>
      <w:marRight w:val="0"/>
      <w:marTop w:val="0"/>
      <w:marBottom w:val="0"/>
      <w:divBdr>
        <w:top w:val="none" w:sz="0" w:space="0" w:color="auto"/>
        <w:left w:val="none" w:sz="0" w:space="0" w:color="auto"/>
        <w:bottom w:val="none" w:sz="0" w:space="0" w:color="auto"/>
        <w:right w:val="none" w:sz="0" w:space="0" w:color="auto"/>
      </w:divBdr>
    </w:div>
    <w:div w:id="1533105642">
      <w:bodyDiv w:val="1"/>
      <w:marLeft w:val="0"/>
      <w:marRight w:val="0"/>
      <w:marTop w:val="0"/>
      <w:marBottom w:val="0"/>
      <w:divBdr>
        <w:top w:val="none" w:sz="0" w:space="0" w:color="auto"/>
        <w:left w:val="none" w:sz="0" w:space="0" w:color="auto"/>
        <w:bottom w:val="none" w:sz="0" w:space="0" w:color="auto"/>
        <w:right w:val="none" w:sz="0" w:space="0" w:color="auto"/>
      </w:divBdr>
    </w:div>
    <w:div w:id="1533567736">
      <w:bodyDiv w:val="1"/>
      <w:marLeft w:val="0"/>
      <w:marRight w:val="0"/>
      <w:marTop w:val="0"/>
      <w:marBottom w:val="0"/>
      <w:divBdr>
        <w:top w:val="none" w:sz="0" w:space="0" w:color="auto"/>
        <w:left w:val="none" w:sz="0" w:space="0" w:color="auto"/>
        <w:bottom w:val="none" w:sz="0" w:space="0" w:color="auto"/>
        <w:right w:val="none" w:sz="0" w:space="0" w:color="auto"/>
      </w:divBdr>
    </w:div>
    <w:div w:id="1534079573">
      <w:bodyDiv w:val="1"/>
      <w:marLeft w:val="0"/>
      <w:marRight w:val="0"/>
      <w:marTop w:val="0"/>
      <w:marBottom w:val="0"/>
      <w:divBdr>
        <w:top w:val="none" w:sz="0" w:space="0" w:color="auto"/>
        <w:left w:val="none" w:sz="0" w:space="0" w:color="auto"/>
        <w:bottom w:val="none" w:sz="0" w:space="0" w:color="auto"/>
        <w:right w:val="none" w:sz="0" w:space="0" w:color="auto"/>
      </w:divBdr>
    </w:div>
    <w:div w:id="1534339339">
      <w:bodyDiv w:val="1"/>
      <w:marLeft w:val="0"/>
      <w:marRight w:val="0"/>
      <w:marTop w:val="0"/>
      <w:marBottom w:val="0"/>
      <w:divBdr>
        <w:top w:val="none" w:sz="0" w:space="0" w:color="auto"/>
        <w:left w:val="none" w:sz="0" w:space="0" w:color="auto"/>
        <w:bottom w:val="none" w:sz="0" w:space="0" w:color="auto"/>
        <w:right w:val="none" w:sz="0" w:space="0" w:color="auto"/>
      </w:divBdr>
    </w:div>
    <w:div w:id="1534608904">
      <w:bodyDiv w:val="1"/>
      <w:marLeft w:val="0"/>
      <w:marRight w:val="0"/>
      <w:marTop w:val="0"/>
      <w:marBottom w:val="0"/>
      <w:divBdr>
        <w:top w:val="none" w:sz="0" w:space="0" w:color="auto"/>
        <w:left w:val="none" w:sz="0" w:space="0" w:color="auto"/>
        <w:bottom w:val="none" w:sz="0" w:space="0" w:color="auto"/>
        <w:right w:val="none" w:sz="0" w:space="0" w:color="auto"/>
      </w:divBdr>
    </w:div>
    <w:div w:id="1535267406">
      <w:bodyDiv w:val="1"/>
      <w:marLeft w:val="0"/>
      <w:marRight w:val="0"/>
      <w:marTop w:val="0"/>
      <w:marBottom w:val="0"/>
      <w:divBdr>
        <w:top w:val="none" w:sz="0" w:space="0" w:color="auto"/>
        <w:left w:val="none" w:sz="0" w:space="0" w:color="auto"/>
        <w:bottom w:val="none" w:sz="0" w:space="0" w:color="auto"/>
        <w:right w:val="none" w:sz="0" w:space="0" w:color="auto"/>
      </w:divBdr>
    </w:div>
    <w:div w:id="1535656061">
      <w:bodyDiv w:val="1"/>
      <w:marLeft w:val="0"/>
      <w:marRight w:val="0"/>
      <w:marTop w:val="0"/>
      <w:marBottom w:val="0"/>
      <w:divBdr>
        <w:top w:val="none" w:sz="0" w:space="0" w:color="auto"/>
        <w:left w:val="none" w:sz="0" w:space="0" w:color="auto"/>
        <w:bottom w:val="none" w:sz="0" w:space="0" w:color="auto"/>
        <w:right w:val="none" w:sz="0" w:space="0" w:color="auto"/>
      </w:divBdr>
    </w:div>
    <w:div w:id="1535773678">
      <w:bodyDiv w:val="1"/>
      <w:marLeft w:val="0"/>
      <w:marRight w:val="0"/>
      <w:marTop w:val="0"/>
      <w:marBottom w:val="0"/>
      <w:divBdr>
        <w:top w:val="none" w:sz="0" w:space="0" w:color="auto"/>
        <w:left w:val="none" w:sz="0" w:space="0" w:color="auto"/>
        <w:bottom w:val="none" w:sz="0" w:space="0" w:color="auto"/>
        <w:right w:val="none" w:sz="0" w:space="0" w:color="auto"/>
      </w:divBdr>
    </w:div>
    <w:div w:id="1535776446">
      <w:bodyDiv w:val="1"/>
      <w:marLeft w:val="0"/>
      <w:marRight w:val="0"/>
      <w:marTop w:val="0"/>
      <w:marBottom w:val="0"/>
      <w:divBdr>
        <w:top w:val="none" w:sz="0" w:space="0" w:color="auto"/>
        <w:left w:val="none" w:sz="0" w:space="0" w:color="auto"/>
        <w:bottom w:val="none" w:sz="0" w:space="0" w:color="auto"/>
        <w:right w:val="none" w:sz="0" w:space="0" w:color="auto"/>
      </w:divBdr>
    </w:div>
    <w:div w:id="1536387974">
      <w:bodyDiv w:val="1"/>
      <w:marLeft w:val="0"/>
      <w:marRight w:val="0"/>
      <w:marTop w:val="0"/>
      <w:marBottom w:val="0"/>
      <w:divBdr>
        <w:top w:val="none" w:sz="0" w:space="0" w:color="auto"/>
        <w:left w:val="none" w:sz="0" w:space="0" w:color="auto"/>
        <w:bottom w:val="none" w:sz="0" w:space="0" w:color="auto"/>
        <w:right w:val="none" w:sz="0" w:space="0" w:color="auto"/>
      </w:divBdr>
    </w:div>
    <w:div w:id="1536426763">
      <w:bodyDiv w:val="1"/>
      <w:marLeft w:val="0"/>
      <w:marRight w:val="0"/>
      <w:marTop w:val="0"/>
      <w:marBottom w:val="0"/>
      <w:divBdr>
        <w:top w:val="none" w:sz="0" w:space="0" w:color="auto"/>
        <w:left w:val="none" w:sz="0" w:space="0" w:color="auto"/>
        <w:bottom w:val="none" w:sz="0" w:space="0" w:color="auto"/>
        <w:right w:val="none" w:sz="0" w:space="0" w:color="auto"/>
      </w:divBdr>
    </w:div>
    <w:div w:id="1536699057">
      <w:bodyDiv w:val="1"/>
      <w:marLeft w:val="0"/>
      <w:marRight w:val="0"/>
      <w:marTop w:val="0"/>
      <w:marBottom w:val="0"/>
      <w:divBdr>
        <w:top w:val="none" w:sz="0" w:space="0" w:color="auto"/>
        <w:left w:val="none" w:sz="0" w:space="0" w:color="auto"/>
        <w:bottom w:val="none" w:sz="0" w:space="0" w:color="auto"/>
        <w:right w:val="none" w:sz="0" w:space="0" w:color="auto"/>
      </w:divBdr>
    </w:div>
    <w:div w:id="1538199138">
      <w:bodyDiv w:val="1"/>
      <w:marLeft w:val="0"/>
      <w:marRight w:val="0"/>
      <w:marTop w:val="0"/>
      <w:marBottom w:val="0"/>
      <w:divBdr>
        <w:top w:val="none" w:sz="0" w:space="0" w:color="auto"/>
        <w:left w:val="none" w:sz="0" w:space="0" w:color="auto"/>
        <w:bottom w:val="none" w:sz="0" w:space="0" w:color="auto"/>
        <w:right w:val="none" w:sz="0" w:space="0" w:color="auto"/>
      </w:divBdr>
    </w:div>
    <w:div w:id="1539396400">
      <w:bodyDiv w:val="1"/>
      <w:marLeft w:val="0"/>
      <w:marRight w:val="0"/>
      <w:marTop w:val="0"/>
      <w:marBottom w:val="0"/>
      <w:divBdr>
        <w:top w:val="none" w:sz="0" w:space="0" w:color="auto"/>
        <w:left w:val="none" w:sz="0" w:space="0" w:color="auto"/>
        <w:bottom w:val="none" w:sz="0" w:space="0" w:color="auto"/>
        <w:right w:val="none" w:sz="0" w:space="0" w:color="auto"/>
      </w:divBdr>
    </w:div>
    <w:div w:id="1540045143">
      <w:bodyDiv w:val="1"/>
      <w:marLeft w:val="0"/>
      <w:marRight w:val="0"/>
      <w:marTop w:val="0"/>
      <w:marBottom w:val="0"/>
      <w:divBdr>
        <w:top w:val="none" w:sz="0" w:space="0" w:color="auto"/>
        <w:left w:val="none" w:sz="0" w:space="0" w:color="auto"/>
        <w:bottom w:val="none" w:sz="0" w:space="0" w:color="auto"/>
        <w:right w:val="none" w:sz="0" w:space="0" w:color="auto"/>
      </w:divBdr>
    </w:div>
    <w:div w:id="1540166940">
      <w:bodyDiv w:val="1"/>
      <w:marLeft w:val="0"/>
      <w:marRight w:val="0"/>
      <w:marTop w:val="0"/>
      <w:marBottom w:val="0"/>
      <w:divBdr>
        <w:top w:val="none" w:sz="0" w:space="0" w:color="auto"/>
        <w:left w:val="none" w:sz="0" w:space="0" w:color="auto"/>
        <w:bottom w:val="none" w:sz="0" w:space="0" w:color="auto"/>
        <w:right w:val="none" w:sz="0" w:space="0" w:color="auto"/>
      </w:divBdr>
    </w:div>
    <w:div w:id="1541211013">
      <w:bodyDiv w:val="1"/>
      <w:marLeft w:val="0"/>
      <w:marRight w:val="0"/>
      <w:marTop w:val="0"/>
      <w:marBottom w:val="0"/>
      <w:divBdr>
        <w:top w:val="none" w:sz="0" w:space="0" w:color="auto"/>
        <w:left w:val="none" w:sz="0" w:space="0" w:color="auto"/>
        <w:bottom w:val="none" w:sz="0" w:space="0" w:color="auto"/>
        <w:right w:val="none" w:sz="0" w:space="0" w:color="auto"/>
      </w:divBdr>
    </w:div>
    <w:div w:id="1541743505">
      <w:bodyDiv w:val="1"/>
      <w:marLeft w:val="0"/>
      <w:marRight w:val="0"/>
      <w:marTop w:val="0"/>
      <w:marBottom w:val="0"/>
      <w:divBdr>
        <w:top w:val="none" w:sz="0" w:space="0" w:color="auto"/>
        <w:left w:val="none" w:sz="0" w:space="0" w:color="auto"/>
        <w:bottom w:val="none" w:sz="0" w:space="0" w:color="auto"/>
        <w:right w:val="none" w:sz="0" w:space="0" w:color="auto"/>
      </w:divBdr>
    </w:div>
    <w:div w:id="1542211313">
      <w:bodyDiv w:val="1"/>
      <w:marLeft w:val="0"/>
      <w:marRight w:val="0"/>
      <w:marTop w:val="0"/>
      <w:marBottom w:val="0"/>
      <w:divBdr>
        <w:top w:val="none" w:sz="0" w:space="0" w:color="auto"/>
        <w:left w:val="none" w:sz="0" w:space="0" w:color="auto"/>
        <w:bottom w:val="none" w:sz="0" w:space="0" w:color="auto"/>
        <w:right w:val="none" w:sz="0" w:space="0" w:color="auto"/>
      </w:divBdr>
    </w:div>
    <w:div w:id="1543516922">
      <w:bodyDiv w:val="1"/>
      <w:marLeft w:val="0"/>
      <w:marRight w:val="0"/>
      <w:marTop w:val="0"/>
      <w:marBottom w:val="0"/>
      <w:divBdr>
        <w:top w:val="none" w:sz="0" w:space="0" w:color="auto"/>
        <w:left w:val="none" w:sz="0" w:space="0" w:color="auto"/>
        <w:bottom w:val="none" w:sz="0" w:space="0" w:color="auto"/>
        <w:right w:val="none" w:sz="0" w:space="0" w:color="auto"/>
      </w:divBdr>
    </w:div>
    <w:div w:id="1543665630">
      <w:bodyDiv w:val="1"/>
      <w:marLeft w:val="0"/>
      <w:marRight w:val="0"/>
      <w:marTop w:val="0"/>
      <w:marBottom w:val="0"/>
      <w:divBdr>
        <w:top w:val="none" w:sz="0" w:space="0" w:color="auto"/>
        <w:left w:val="none" w:sz="0" w:space="0" w:color="auto"/>
        <w:bottom w:val="none" w:sz="0" w:space="0" w:color="auto"/>
        <w:right w:val="none" w:sz="0" w:space="0" w:color="auto"/>
      </w:divBdr>
    </w:div>
    <w:div w:id="1543899758">
      <w:bodyDiv w:val="1"/>
      <w:marLeft w:val="0"/>
      <w:marRight w:val="0"/>
      <w:marTop w:val="0"/>
      <w:marBottom w:val="0"/>
      <w:divBdr>
        <w:top w:val="none" w:sz="0" w:space="0" w:color="auto"/>
        <w:left w:val="none" w:sz="0" w:space="0" w:color="auto"/>
        <w:bottom w:val="none" w:sz="0" w:space="0" w:color="auto"/>
        <w:right w:val="none" w:sz="0" w:space="0" w:color="auto"/>
      </w:divBdr>
    </w:div>
    <w:div w:id="1544052271">
      <w:bodyDiv w:val="1"/>
      <w:marLeft w:val="0"/>
      <w:marRight w:val="0"/>
      <w:marTop w:val="0"/>
      <w:marBottom w:val="0"/>
      <w:divBdr>
        <w:top w:val="none" w:sz="0" w:space="0" w:color="auto"/>
        <w:left w:val="none" w:sz="0" w:space="0" w:color="auto"/>
        <w:bottom w:val="none" w:sz="0" w:space="0" w:color="auto"/>
        <w:right w:val="none" w:sz="0" w:space="0" w:color="auto"/>
      </w:divBdr>
    </w:div>
    <w:div w:id="1544753891">
      <w:bodyDiv w:val="1"/>
      <w:marLeft w:val="0"/>
      <w:marRight w:val="0"/>
      <w:marTop w:val="0"/>
      <w:marBottom w:val="0"/>
      <w:divBdr>
        <w:top w:val="none" w:sz="0" w:space="0" w:color="auto"/>
        <w:left w:val="none" w:sz="0" w:space="0" w:color="auto"/>
        <w:bottom w:val="none" w:sz="0" w:space="0" w:color="auto"/>
        <w:right w:val="none" w:sz="0" w:space="0" w:color="auto"/>
      </w:divBdr>
    </w:div>
    <w:div w:id="1545171392">
      <w:bodyDiv w:val="1"/>
      <w:marLeft w:val="0"/>
      <w:marRight w:val="0"/>
      <w:marTop w:val="0"/>
      <w:marBottom w:val="0"/>
      <w:divBdr>
        <w:top w:val="none" w:sz="0" w:space="0" w:color="auto"/>
        <w:left w:val="none" w:sz="0" w:space="0" w:color="auto"/>
        <w:bottom w:val="none" w:sz="0" w:space="0" w:color="auto"/>
        <w:right w:val="none" w:sz="0" w:space="0" w:color="auto"/>
      </w:divBdr>
    </w:div>
    <w:div w:id="1545294631">
      <w:bodyDiv w:val="1"/>
      <w:marLeft w:val="0"/>
      <w:marRight w:val="0"/>
      <w:marTop w:val="0"/>
      <w:marBottom w:val="0"/>
      <w:divBdr>
        <w:top w:val="none" w:sz="0" w:space="0" w:color="auto"/>
        <w:left w:val="none" w:sz="0" w:space="0" w:color="auto"/>
        <w:bottom w:val="none" w:sz="0" w:space="0" w:color="auto"/>
        <w:right w:val="none" w:sz="0" w:space="0" w:color="auto"/>
      </w:divBdr>
    </w:div>
    <w:div w:id="1546064097">
      <w:bodyDiv w:val="1"/>
      <w:marLeft w:val="0"/>
      <w:marRight w:val="0"/>
      <w:marTop w:val="0"/>
      <w:marBottom w:val="0"/>
      <w:divBdr>
        <w:top w:val="none" w:sz="0" w:space="0" w:color="auto"/>
        <w:left w:val="none" w:sz="0" w:space="0" w:color="auto"/>
        <w:bottom w:val="none" w:sz="0" w:space="0" w:color="auto"/>
        <w:right w:val="none" w:sz="0" w:space="0" w:color="auto"/>
      </w:divBdr>
    </w:div>
    <w:div w:id="1548641852">
      <w:bodyDiv w:val="1"/>
      <w:marLeft w:val="0"/>
      <w:marRight w:val="0"/>
      <w:marTop w:val="0"/>
      <w:marBottom w:val="0"/>
      <w:divBdr>
        <w:top w:val="none" w:sz="0" w:space="0" w:color="auto"/>
        <w:left w:val="none" w:sz="0" w:space="0" w:color="auto"/>
        <w:bottom w:val="none" w:sz="0" w:space="0" w:color="auto"/>
        <w:right w:val="none" w:sz="0" w:space="0" w:color="auto"/>
      </w:divBdr>
    </w:div>
    <w:div w:id="1548950514">
      <w:bodyDiv w:val="1"/>
      <w:marLeft w:val="0"/>
      <w:marRight w:val="0"/>
      <w:marTop w:val="0"/>
      <w:marBottom w:val="0"/>
      <w:divBdr>
        <w:top w:val="none" w:sz="0" w:space="0" w:color="auto"/>
        <w:left w:val="none" w:sz="0" w:space="0" w:color="auto"/>
        <w:bottom w:val="none" w:sz="0" w:space="0" w:color="auto"/>
        <w:right w:val="none" w:sz="0" w:space="0" w:color="auto"/>
      </w:divBdr>
    </w:div>
    <w:div w:id="1549218193">
      <w:bodyDiv w:val="1"/>
      <w:marLeft w:val="0"/>
      <w:marRight w:val="0"/>
      <w:marTop w:val="0"/>
      <w:marBottom w:val="0"/>
      <w:divBdr>
        <w:top w:val="none" w:sz="0" w:space="0" w:color="auto"/>
        <w:left w:val="none" w:sz="0" w:space="0" w:color="auto"/>
        <w:bottom w:val="none" w:sz="0" w:space="0" w:color="auto"/>
        <w:right w:val="none" w:sz="0" w:space="0" w:color="auto"/>
      </w:divBdr>
    </w:div>
    <w:div w:id="1549293562">
      <w:bodyDiv w:val="1"/>
      <w:marLeft w:val="0"/>
      <w:marRight w:val="0"/>
      <w:marTop w:val="0"/>
      <w:marBottom w:val="0"/>
      <w:divBdr>
        <w:top w:val="none" w:sz="0" w:space="0" w:color="auto"/>
        <w:left w:val="none" w:sz="0" w:space="0" w:color="auto"/>
        <w:bottom w:val="none" w:sz="0" w:space="0" w:color="auto"/>
        <w:right w:val="none" w:sz="0" w:space="0" w:color="auto"/>
      </w:divBdr>
    </w:div>
    <w:div w:id="1549301895">
      <w:bodyDiv w:val="1"/>
      <w:marLeft w:val="0"/>
      <w:marRight w:val="0"/>
      <w:marTop w:val="0"/>
      <w:marBottom w:val="0"/>
      <w:divBdr>
        <w:top w:val="none" w:sz="0" w:space="0" w:color="auto"/>
        <w:left w:val="none" w:sz="0" w:space="0" w:color="auto"/>
        <w:bottom w:val="none" w:sz="0" w:space="0" w:color="auto"/>
        <w:right w:val="none" w:sz="0" w:space="0" w:color="auto"/>
      </w:divBdr>
    </w:div>
    <w:div w:id="1549485656">
      <w:bodyDiv w:val="1"/>
      <w:marLeft w:val="0"/>
      <w:marRight w:val="0"/>
      <w:marTop w:val="0"/>
      <w:marBottom w:val="0"/>
      <w:divBdr>
        <w:top w:val="none" w:sz="0" w:space="0" w:color="auto"/>
        <w:left w:val="none" w:sz="0" w:space="0" w:color="auto"/>
        <w:bottom w:val="none" w:sz="0" w:space="0" w:color="auto"/>
        <w:right w:val="none" w:sz="0" w:space="0" w:color="auto"/>
      </w:divBdr>
    </w:div>
    <w:div w:id="1549561270">
      <w:bodyDiv w:val="1"/>
      <w:marLeft w:val="0"/>
      <w:marRight w:val="0"/>
      <w:marTop w:val="0"/>
      <w:marBottom w:val="0"/>
      <w:divBdr>
        <w:top w:val="none" w:sz="0" w:space="0" w:color="auto"/>
        <w:left w:val="none" w:sz="0" w:space="0" w:color="auto"/>
        <w:bottom w:val="none" w:sz="0" w:space="0" w:color="auto"/>
        <w:right w:val="none" w:sz="0" w:space="0" w:color="auto"/>
      </w:divBdr>
    </w:div>
    <w:div w:id="1550990043">
      <w:bodyDiv w:val="1"/>
      <w:marLeft w:val="0"/>
      <w:marRight w:val="0"/>
      <w:marTop w:val="0"/>
      <w:marBottom w:val="0"/>
      <w:divBdr>
        <w:top w:val="none" w:sz="0" w:space="0" w:color="auto"/>
        <w:left w:val="none" w:sz="0" w:space="0" w:color="auto"/>
        <w:bottom w:val="none" w:sz="0" w:space="0" w:color="auto"/>
        <w:right w:val="none" w:sz="0" w:space="0" w:color="auto"/>
      </w:divBdr>
    </w:div>
    <w:div w:id="1552157496">
      <w:bodyDiv w:val="1"/>
      <w:marLeft w:val="0"/>
      <w:marRight w:val="0"/>
      <w:marTop w:val="0"/>
      <w:marBottom w:val="0"/>
      <w:divBdr>
        <w:top w:val="none" w:sz="0" w:space="0" w:color="auto"/>
        <w:left w:val="none" w:sz="0" w:space="0" w:color="auto"/>
        <w:bottom w:val="none" w:sz="0" w:space="0" w:color="auto"/>
        <w:right w:val="none" w:sz="0" w:space="0" w:color="auto"/>
      </w:divBdr>
    </w:div>
    <w:div w:id="1555386729">
      <w:bodyDiv w:val="1"/>
      <w:marLeft w:val="0"/>
      <w:marRight w:val="0"/>
      <w:marTop w:val="0"/>
      <w:marBottom w:val="0"/>
      <w:divBdr>
        <w:top w:val="none" w:sz="0" w:space="0" w:color="auto"/>
        <w:left w:val="none" w:sz="0" w:space="0" w:color="auto"/>
        <w:bottom w:val="none" w:sz="0" w:space="0" w:color="auto"/>
        <w:right w:val="none" w:sz="0" w:space="0" w:color="auto"/>
      </w:divBdr>
    </w:div>
    <w:div w:id="1556235492">
      <w:bodyDiv w:val="1"/>
      <w:marLeft w:val="0"/>
      <w:marRight w:val="0"/>
      <w:marTop w:val="0"/>
      <w:marBottom w:val="0"/>
      <w:divBdr>
        <w:top w:val="none" w:sz="0" w:space="0" w:color="auto"/>
        <w:left w:val="none" w:sz="0" w:space="0" w:color="auto"/>
        <w:bottom w:val="none" w:sz="0" w:space="0" w:color="auto"/>
        <w:right w:val="none" w:sz="0" w:space="0" w:color="auto"/>
      </w:divBdr>
    </w:div>
    <w:div w:id="1556430700">
      <w:bodyDiv w:val="1"/>
      <w:marLeft w:val="0"/>
      <w:marRight w:val="0"/>
      <w:marTop w:val="0"/>
      <w:marBottom w:val="0"/>
      <w:divBdr>
        <w:top w:val="none" w:sz="0" w:space="0" w:color="auto"/>
        <w:left w:val="none" w:sz="0" w:space="0" w:color="auto"/>
        <w:bottom w:val="none" w:sz="0" w:space="0" w:color="auto"/>
        <w:right w:val="none" w:sz="0" w:space="0" w:color="auto"/>
      </w:divBdr>
    </w:div>
    <w:div w:id="1556816618">
      <w:bodyDiv w:val="1"/>
      <w:marLeft w:val="0"/>
      <w:marRight w:val="0"/>
      <w:marTop w:val="0"/>
      <w:marBottom w:val="0"/>
      <w:divBdr>
        <w:top w:val="none" w:sz="0" w:space="0" w:color="auto"/>
        <w:left w:val="none" w:sz="0" w:space="0" w:color="auto"/>
        <w:bottom w:val="none" w:sz="0" w:space="0" w:color="auto"/>
        <w:right w:val="none" w:sz="0" w:space="0" w:color="auto"/>
      </w:divBdr>
    </w:div>
    <w:div w:id="1557231984">
      <w:bodyDiv w:val="1"/>
      <w:marLeft w:val="0"/>
      <w:marRight w:val="0"/>
      <w:marTop w:val="0"/>
      <w:marBottom w:val="0"/>
      <w:divBdr>
        <w:top w:val="none" w:sz="0" w:space="0" w:color="auto"/>
        <w:left w:val="none" w:sz="0" w:space="0" w:color="auto"/>
        <w:bottom w:val="none" w:sz="0" w:space="0" w:color="auto"/>
        <w:right w:val="none" w:sz="0" w:space="0" w:color="auto"/>
      </w:divBdr>
    </w:div>
    <w:div w:id="1557859864">
      <w:bodyDiv w:val="1"/>
      <w:marLeft w:val="0"/>
      <w:marRight w:val="0"/>
      <w:marTop w:val="0"/>
      <w:marBottom w:val="0"/>
      <w:divBdr>
        <w:top w:val="none" w:sz="0" w:space="0" w:color="auto"/>
        <w:left w:val="none" w:sz="0" w:space="0" w:color="auto"/>
        <w:bottom w:val="none" w:sz="0" w:space="0" w:color="auto"/>
        <w:right w:val="none" w:sz="0" w:space="0" w:color="auto"/>
      </w:divBdr>
    </w:div>
    <w:div w:id="1558857128">
      <w:bodyDiv w:val="1"/>
      <w:marLeft w:val="0"/>
      <w:marRight w:val="0"/>
      <w:marTop w:val="0"/>
      <w:marBottom w:val="0"/>
      <w:divBdr>
        <w:top w:val="none" w:sz="0" w:space="0" w:color="auto"/>
        <w:left w:val="none" w:sz="0" w:space="0" w:color="auto"/>
        <w:bottom w:val="none" w:sz="0" w:space="0" w:color="auto"/>
        <w:right w:val="none" w:sz="0" w:space="0" w:color="auto"/>
      </w:divBdr>
    </w:div>
    <w:div w:id="1559246349">
      <w:bodyDiv w:val="1"/>
      <w:marLeft w:val="0"/>
      <w:marRight w:val="0"/>
      <w:marTop w:val="0"/>
      <w:marBottom w:val="0"/>
      <w:divBdr>
        <w:top w:val="none" w:sz="0" w:space="0" w:color="auto"/>
        <w:left w:val="none" w:sz="0" w:space="0" w:color="auto"/>
        <w:bottom w:val="none" w:sz="0" w:space="0" w:color="auto"/>
        <w:right w:val="none" w:sz="0" w:space="0" w:color="auto"/>
      </w:divBdr>
    </w:div>
    <w:div w:id="1559435177">
      <w:bodyDiv w:val="1"/>
      <w:marLeft w:val="0"/>
      <w:marRight w:val="0"/>
      <w:marTop w:val="0"/>
      <w:marBottom w:val="0"/>
      <w:divBdr>
        <w:top w:val="none" w:sz="0" w:space="0" w:color="auto"/>
        <w:left w:val="none" w:sz="0" w:space="0" w:color="auto"/>
        <w:bottom w:val="none" w:sz="0" w:space="0" w:color="auto"/>
        <w:right w:val="none" w:sz="0" w:space="0" w:color="auto"/>
      </w:divBdr>
    </w:div>
    <w:div w:id="1559780631">
      <w:bodyDiv w:val="1"/>
      <w:marLeft w:val="0"/>
      <w:marRight w:val="0"/>
      <w:marTop w:val="0"/>
      <w:marBottom w:val="0"/>
      <w:divBdr>
        <w:top w:val="none" w:sz="0" w:space="0" w:color="auto"/>
        <w:left w:val="none" w:sz="0" w:space="0" w:color="auto"/>
        <w:bottom w:val="none" w:sz="0" w:space="0" w:color="auto"/>
        <w:right w:val="none" w:sz="0" w:space="0" w:color="auto"/>
      </w:divBdr>
    </w:div>
    <w:div w:id="1559974255">
      <w:bodyDiv w:val="1"/>
      <w:marLeft w:val="0"/>
      <w:marRight w:val="0"/>
      <w:marTop w:val="0"/>
      <w:marBottom w:val="0"/>
      <w:divBdr>
        <w:top w:val="none" w:sz="0" w:space="0" w:color="auto"/>
        <w:left w:val="none" w:sz="0" w:space="0" w:color="auto"/>
        <w:bottom w:val="none" w:sz="0" w:space="0" w:color="auto"/>
        <w:right w:val="none" w:sz="0" w:space="0" w:color="auto"/>
      </w:divBdr>
    </w:div>
    <w:div w:id="1560046655">
      <w:bodyDiv w:val="1"/>
      <w:marLeft w:val="0"/>
      <w:marRight w:val="0"/>
      <w:marTop w:val="0"/>
      <w:marBottom w:val="0"/>
      <w:divBdr>
        <w:top w:val="none" w:sz="0" w:space="0" w:color="auto"/>
        <w:left w:val="none" w:sz="0" w:space="0" w:color="auto"/>
        <w:bottom w:val="none" w:sz="0" w:space="0" w:color="auto"/>
        <w:right w:val="none" w:sz="0" w:space="0" w:color="auto"/>
      </w:divBdr>
    </w:div>
    <w:div w:id="1562207191">
      <w:bodyDiv w:val="1"/>
      <w:marLeft w:val="0"/>
      <w:marRight w:val="0"/>
      <w:marTop w:val="0"/>
      <w:marBottom w:val="0"/>
      <w:divBdr>
        <w:top w:val="none" w:sz="0" w:space="0" w:color="auto"/>
        <w:left w:val="none" w:sz="0" w:space="0" w:color="auto"/>
        <w:bottom w:val="none" w:sz="0" w:space="0" w:color="auto"/>
        <w:right w:val="none" w:sz="0" w:space="0" w:color="auto"/>
      </w:divBdr>
    </w:div>
    <w:div w:id="1562985733">
      <w:bodyDiv w:val="1"/>
      <w:marLeft w:val="0"/>
      <w:marRight w:val="0"/>
      <w:marTop w:val="0"/>
      <w:marBottom w:val="0"/>
      <w:divBdr>
        <w:top w:val="none" w:sz="0" w:space="0" w:color="auto"/>
        <w:left w:val="none" w:sz="0" w:space="0" w:color="auto"/>
        <w:bottom w:val="none" w:sz="0" w:space="0" w:color="auto"/>
        <w:right w:val="none" w:sz="0" w:space="0" w:color="auto"/>
      </w:divBdr>
    </w:div>
    <w:div w:id="1563103774">
      <w:bodyDiv w:val="1"/>
      <w:marLeft w:val="0"/>
      <w:marRight w:val="0"/>
      <w:marTop w:val="0"/>
      <w:marBottom w:val="0"/>
      <w:divBdr>
        <w:top w:val="none" w:sz="0" w:space="0" w:color="auto"/>
        <w:left w:val="none" w:sz="0" w:space="0" w:color="auto"/>
        <w:bottom w:val="none" w:sz="0" w:space="0" w:color="auto"/>
        <w:right w:val="none" w:sz="0" w:space="0" w:color="auto"/>
      </w:divBdr>
    </w:div>
    <w:div w:id="1564635186">
      <w:bodyDiv w:val="1"/>
      <w:marLeft w:val="0"/>
      <w:marRight w:val="0"/>
      <w:marTop w:val="0"/>
      <w:marBottom w:val="0"/>
      <w:divBdr>
        <w:top w:val="none" w:sz="0" w:space="0" w:color="auto"/>
        <w:left w:val="none" w:sz="0" w:space="0" w:color="auto"/>
        <w:bottom w:val="none" w:sz="0" w:space="0" w:color="auto"/>
        <w:right w:val="none" w:sz="0" w:space="0" w:color="auto"/>
      </w:divBdr>
    </w:div>
    <w:div w:id="1565674685">
      <w:bodyDiv w:val="1"/>
      <w:marLeft w:val="0"/>
      <w:marRight w:val="0"/>
      <w:marTop w:val="0"/>
      <w:marBottom w:val="0"/>
      <w:divBdr>
        <w:top w:val="none" w:sz="0" w:space="0" w:color="auto"/>
        <w:left w:val="none" w:sz="0" w:space="0" w:color="auto"/>
        <w:bottom w:val="none" w:sz="0" w:space="0" w:color="auto"/>
        <w:right w:val="none" w:sz="0" w:space="0" w:color="auto"/>
      </w:divBdr>
    </w:div>
    <w:div w:id="1565871566">
      <w:bodyDiv w:val="1"/>
      <w:marLeft w:val="0"/>
      <w:marRight w:val="0"/>
      <w:marTop w:val="0"/>
      <w:marBottom w:val="0"/>
      <w:divBdr>
        <w:top w:val="none" w:sz="0" w:space="0" w:color="auto"/>
        <w:left w:val="none" w:sz="0" w:space="0" w:color="auto"/>
        <w:bottom w:val="none" w:sz="0" w:space="0" w:color="auto"/>
        <w:right w:val="none" w:sz="0" w:space="0" w:color="auto"/>
      </w:divBdr>
    </w:div>
    <w:div w:id="1565988649">
      <w:bodyDiv w:val="1"/>
      <w:marLeft w:val="0"/>
      <w:marRight w:val="0"/>
      <w:marTop w:val="0"/>
      <w:marBottom w:val="0"/>
      <w:divBdr>
        <w:top w:val="none" w:sz="0" w:space="0" w:color="auto"/>
        <w:left w:val="none" w:sz="0" w:space="0" w:color="auto"/>
        <w:bottom w:val="none" w:sz="0" w:space="0" w:color="auto"/>
        <w:right w:val="none" w:sz="0" w:space="0" w:color="auto"/>
      </w:divBdr>
    </w:div>
    <w:div w:id="1566573331">
      <w:bodyDiv w:val="1"/>
      <w:marLeft w:val="0"/>
      <w:marRight w:val="0"/>
      <w:marTop w:val="0"/>
      <w:marBottom w:val="0"/>
      <w:divBdr>
        <w:top w:val="none" w:sz="0" w:space="0" w:color="auto"/>
        <w:left w:val="none" w:sz="0" w:space="0" w:color="auto"/>
        <w:bottom w:val="none" w:sz="0" w:space="0" w:color="auto"/>
        <w:right w:val="none" w:sz="0" w:space="0" w:color="auto"/>
      </w:divBdr>
    </w:div>
    <w:div w:id="1566717166">
      <w:bodyDiv w:val="1"/>
      <w:marLeft w:val="0"/>
      <w:marRight w:val="0"/>
      <w:marTop w:val="0"/>
      <w:marBottom w:val="0"/>
      <w:divBdr>
        <w:top w:val="none" w:sz="0" w:space="0" w:color="auto"/>
        <w:left w:val="none" w:sz="0" w:space="0" w:color="auto"/>
        <w:bottom w:val="none" w:sz="0" w:space="0" w:color="auto"/>
        <w:right w:val="none" w:sz="0" w:space="0" w:color="auto"/>
      </w:divBdr>
    </w:div>
    <w:div w:id="1567302157">
      <w:bodyDiv w:val="1"/>
      <w:marLeft w:val="0"/>
      <w:marRight w:val="0"/>
      <w:marTop w:val="0"/>
      <w:marBottom w:val="0"/>
      <w:divBdr>
        <w:top w:val="none" w:sz="0" w:space="0" w:color="auto"/>
        <w:left w:val="none" w:sz="0" w:space="0" w:color="auto"/>
        <w:bottom w:val="none" w:sz="0" w:space="0" w:color="auto"/>
        <w:right w:val="none" w:sz="0" w:space="0" w:color="auto"/>
      </w:divBdr>
    </w:div>
    <w:div w:id="1567303151">
      <w:bodyDiv w:val="1"/>
      <w:marLeft w:val="0"/>
      <w:marRight w:val="0"/>
      <w:marTop w:val="0"/>
      <w:marBottom w:val="0"/>
      <w:divBdr>
        <w:top w:val="none" w:sz="0" w:space="0" w:color="auto"/>
        <w:left w:val="none" w:sz="0" w:space="0" w:color="auto"/>
        <w:bottom w:val="none" w:sz="0" w:space="0" w:color="auto"/>
        <w:right w:val="none" w:sz="0" w:space="0" w:color="auto"/>
      </w:divBdr>
    </w:div>
    <w:div w:id="1567642253">
      <w:bodyDiv w:val="1"/>
      <w:marLeft w:val="0"/>
      <w:marRight w:val="0"/>
      <w:marTop w:val="0"/>
      <w:marBottom w:val="0"/>
      <w:divBdr>
        <w:top w:val="none" w:sz="0" w:space="0" w:color="auto"/>
        <w:left w:val="none" w:sz="0" w:space="0" w:color="auto"/>
        <w:bottom w:val="none" w:sz="0" w:space="0" w:color="auto"/>
        <w:right w:val="none" w:sz="0" w:space="0" w:color="auto"/>
      </w:divBdr>
    </w:div>
    <w:div w:id="1568877986">
      <w:bodyDiv w:val="1"/>
      <w:marLeft w:val="0"/>
      <w:marRight w:val="0"/>
      <w:marTop w:val="0"/>
      <w:marBottom w:val="0"/>
      <w:divBdr>
        <w:top w:val="none" w:sz="0" w:space="0" w:color="auto"/>
        <w:left w:val="none" w:sz="0" w:space="0" w:color="auto"/>
        <w:bottom w:val="none" w:sz="0" w:space="0" w:color="auto"/>
        <w:right w:val="none" w:sz="0" w:space="0" w:color="auto"/>
      </w:divBdr>
    </w:div>
    <w:div w:id="1569028967">
      <w:bodyDiv w:val="1"/>
      <w:marLeft w:val="0"/>
      <w:marRight w:val="0"/>
      <w:marTop w:val="0"/>
      <w:marBottom w:val="0"/>
      <w:divBdr>
        <w:top w:val="none" w:sz="0" w:space="0" w:color="auto"/>
        <w:left w:val="none" w:sz="0" w:space="0" w:color="auto"/>
        <w:bottom w:val="none" w:sz="0" w:space="0" w:color="auto"/>
        <w:right w:val="none" w:sz="0" w:space="0" w:color="auto"/>
      </w:divBdr>
    </w:div>
    <w:div w:id="1569226718">
      <w:bodyDiv w:val="1"/>
      <w:marLeft w:val="0"/>
      <w:marRight w:val="0"/>
      <w:marTop w:val="0"/>
      <w:marBottom w:val="0"/>
      <w:divBdr>
        <w:top w:val="none" w:sz="0" w:space="0" w:color="auto"/>
        <w:left w:val="none" w:sz="0" w:space="0" w:color="auto"/>
        <w:bottom w:val="none" w:sz="0" w:space="0" w:color="auto"/>
        <w:right w:val="none" w:sz="0" w:space="0" w:color="auto"/>
      </w:divBdr>
    </w:div>
    <w:div w:id="1569808647">
      <w:bodyDiv w:val="1"/>
      <w:marLeft w:val="0"/>
      <w:marRight w:val="0"/>
      <w:marTop w:val="0"/>
      <w:marBottom w:val="0"/>
      <w:divBdr>
        <w:top w:val="none" w:sz="0" w:space="0" w:color="auto"/>
        <w:left w:val="none" w:sz="0" w:space="0" w:color="auto"/>
        <w:bottom w:val="none" w:sz="0" w:space="0" w:color="auto"/>
        <w:right w:val="none" w:sz="0" w:space="0" w:color="auto"/>
      </w:divBdr>
    </w:div>
    <w:div w:id="1571042166">
      <w:bodyDiv w:val="1"/>
      <w:marLeft w:val="0"/>
      <w:marRight w:val="0"/>
      <w:marTop w:val="0"/>
      <w:marBottom w:val="0"/>
      <w:divBdr>
        <w:top w:val="none" w:sz="0" w:space="0" w:color="auto"/>
        <w:left w:val="none" w:sz="0" w:space="0" w:color="auto"/>
        <w:bottom w:val="none" w:sz="0" w:space="0" w:color="auto"/>
        <w:right w:val="none" w:sz="0" w:space="0" w:color="auto"/>
      </w:divBdr>
    </w:div>
    <w:div w:id="1572499098">
      <w:bodyDiv w:val="1"/>
      <w:marLeft w:val="0"/>
      <w:marRight w:val="0"/>
      <w:marTop w:val="0"/>
      <w:marBottom w:val="0"/>
      <w:divBdr>
        <w:top w:val="none" w:sz="0" w:space="0" w:color="auto"/>
        <w:left w:val="none" w:sz="0" w:space="0" w:color="auto"/>
        <w:bottom w:val="none" w:sz="0" w:space="0" w:color="auto"/>
        <w:right w:val="none" w:sz="0" w:space="0" w:color="auto"/>
      </w:divBdr>
    </w:div>
    <w:div w:id="1572618483">
      <w:bodyDiv w:val="1"/>
      <w:marLeft w:val="0"/>
      <w:marRight w:val="0"/>
      <w:marTop w:val="0"/>
      <w:marBottom w:val="0"/>
      <w:divBdr>
        <w:top w:val="none" w:sz="0" w:space="0" w:color="auto"/>
        <w:left w:val="none" w:sz="0" w:space="0" w:color="auto"/>
        <w:bottom w:val="none" w:sz="0" w:space="0" w:color="auto"/>
        <w:right w:val="none" w:sz="0" w:space="0" w:color="auto"/>
      </w:divBdr>
    </w:div>
    <w:div w:id="1572734893">
      <w:bodyDiv w:val="1"/>
      <w:marLeft w:val="0"/>
      <w:marRight w:val="0"/>
      <w:marTop w:val="0"/>
      <w:marBottom w:val="0"/>
      <w:divBdr>
        <w:top w:val="none" w:sz="0" w:space="0" w:color="auto"/>
        <w:left w:val="none" w:sz="0" w:space="0" w:color="auto"/>
        <w:bottom w:val="none" w:sz="0" w:space="0" w:color="auto"/>
        <w:right w:val="none" w:sz="0" w:space="0" w:color="auto"/>
      </w:divBdr>
    </w:div>
    <w:div w:id="1572811448">
      <w:bodyDiv w:val="1"/>
      <w:marLeft w:val="0"/>
      <w:marRight w:val="0"/>
      <w:marTop w:val="0"/>
      <w:marBottom w:val="0"/>
      <w:divBdr>
        <w:top w:val="none" w:sz="0" w:space="0" w:color="auto"/>
        <w:left w:val="none" w:sz="0" w:space="0" w:color="auto"/>
        <w:bottom w:val="none" w:sz="0" w:space="0" w:color="auto"/>
        <w:right w:val="none" w:sz="0" w:space="0" w:color="auto"/>
      </w:divBdr>
    </w:div>
    <w:div w:id="1574006839">
      <w:bodyDiv w:val="1"/>
      <w:marLeft w:val="0"/>
      <w:marRight w:val="0"/>
      <w:marTop w:val="0"/>
      <w:marBottom w:val="0"/>
      <w:divBdr>
        <w:top w:val="none" w:sz="0" w:space="0" w:color="auto"/>
        <w:left w:val="none" w:sz="0" w:space="0" w:color="auto"/>
        <w:bottom w:val="none" w:sz="0" w:space="0" w:color="auto"/>
        <w:right w:val="none" w:sz="0" w:space="0" w:color="auto"/>
      </w:divBdr>
    </w:div>
    <w:div w:id="1574242696">
      <w:bodyDiv w:val="1"/>
      <w:marLeft w:val="0"/>
      <w:marRight w:val="0"/>
      <w:marTop w:val="0"/>
      <w:marBottom w:val="0"/>
      <w:divBdr>
        <w:top w:val="none" w:sz="0" w:space="0" w:color="auto"/>
        <w:left w:val="none" w:sz="0" w:space="0" w:color="auto"/>
        <w:bottom w:val="none" w:sz="0" w:space="0" w:color="auto"/>
        <w:right w:val="none" w:sz="0" w:space="0" w:color="auto"/>
      </w:divBdr>
    </w:div>
    <w:div w:id="1574244515">
      <w:bodyDiv w:val="1"/>
      <w:marLeft w:val="0"/>
      <w:marRight w:val="0"/>
      <w:marTop w:val="0"/>
      <w:marBottom w:val="0"/>
      <w:divBdr>
        <w:top w:val="none" w:sz="0" w:space="0" w:color="auto"/>
        <w:left w:val="none" w:sz="0" w:space="0" w:color="auto"/>
        <w:bottom w:val="none" w:sz="0" w:space="0" w:color="auto"/>
        <w:right w:val="none" w:sz="0" w:space="0" w:color="auto"/>
      </w:divBdr>
    </w:div>
    <w:div w:id="1574655581">
      <w:bodyDiv w:val="1"/>
      <w:marLeft w:val="0"/>
      <w:marRight w:val="0"/>
      <w:marTop w:val="0"/>
      <w:marBottom w:val="0"/>
      <w:divBdr>
        <w:top w:val="none" w:sz="0" w:space="0" w:color="auto"/>
        <w:left w:val="none" w:sz="0" w:space="0" w:color="auto"/>
        <w:bottom w:val="none" w:sz="0" w:space="0" w:color="auto"/>
        <w:right w:val="none" w:sz="0" w:space="0" w:color="auto"/>
      </w:divBdr>
    </w:div>
    <w:div w:id="1575162648">
      <w:bodyDiv w:val="1"/>
      <w:marLeft w:val="0"/>
      <w:marRight w:val="0"/>
      <w:marTop w:val="0"/>
      <w:marBottom w:val="0"/>
      <w:divBdr>
        <w:top w:val="none" w:sz="0" w:space="0" w:color="auto"/>
        <w:left w:val="none" w:sz="0" w:space="0" w:color="auto"/>
        <w:bottom w:val="none" w:sz="0" w:space="0" w:color="auto"/>
        <w:right w:val="none" w:sz="0" w:space="0" w:color="auto"/>
      </w:divBdr>
    </w:div>
    <w:div w:id="1575699655">
      <w:bodyDiv w:val="1"/>
      <w:marLeft w:val="0"/>
      <w:marRight w:val="0"/>
      <w:marTop w:val="0"/>
      <w:marBottom w:val="0"/>
      <w:divBdr>
        <w:top w:val="none" w:sz="0" w:space="0" w:color="auto"/>
        <w:left w:val="none" w:sz="0" w:space="0" w:color="auto"/>
        <w:bottom w:val="none" w:sz="0" w:space="0" w:color="auto"/>
        <w:right w:val="none" w:sz="0" w:space="0" w:color="auto"/>
      </w:divBdr>
    </w:div>
    <w:div w:id="1575703920">
      <w:bodyDiv w:val="1"/>
      <w:marLeft w:val="0"/>
      <w:marRight w:val="0"/>
      <w:marTop w:val="0"/>
      <w:marBottom w:val="0"/>
      <w:divBdr>
        <w:top w:val="none" w:sz="0" w:space="0" w:color="auto"/>
        <w:left w:val="none" w:sz="0" w:space="0" w:color="auto"/>
        <w:bottom w:val="none" w:sz="0" w:space="0" w:color="auto"/>
        <w:right w:val="none" w:sz="0" w:space="0" w:color="auto"/>
      </w:divBdr>
    </w:div>
    <w:div w:id="1576016004">
      <w:bodyDiv w:val="1"/>
      <w:marLeft w:val="0"/>
      <w:marRight w:val="0"/>
      <w:marTop w:val="0"/>
      <w:marBottom w:val="0"/>
      <w:divBdr>
        <w:top w:val="none" w:sz="0" w:space="0" w:color="auto"/>
        <w:left w:val="none" w:sz="0" w:space="0" w:color="auto"/>
        <w:bottom w:val="none" w:sz="0" w:space="0" w:color="auto"/>
        <w:right w:val="none" w:sz="0" w:space="0" w:color="auto"/>
      </w:divBdr>
    </w:div>
    <w:div w:id="1576822831">
      <w:bodyDiv w:val="1"/>
      <w:marLeft w:val="0"/>
      <w:marRight w:val="0"/>
      <w:marTop w:val="0"/>
      <w:marBottom w:val="0"/>
      <w:divBdr>
        <w:top w:val="none" w:sz="0" w:space="0" w:color="auto"/>
        <w:left w:val="none" w:sz="0" w:space="0" w:color="auto"/>
        <w:bottom w:val="none" w:sz="0" w:space="0" w:color="auto"/>
        <w:right w:val="none" w:sz="0" w:space="0" w:color="auto"/>
      </w:divBdr>
    </w:div>
    <w:div w:id="1576937302">
      <w:bodyDiv w:val="1"/>
      <w:marLeft w:val="0"/>
      <w:marRight w:val="0"/>
      <w:marTop w:val="0"/>
      <w:marBottom w:val="0"/>
      <w:divBdr>
        <w:top w:val="none" w:sz="0" w:space="0" w:color="auto"/>
        <w:left w:val="none" w:sz="0" w:space="0" w:color="auto"/>
        <w:bottom w:val="none" w:sz="0" w:space="0" w:color="auto"/>
        <w:right w:val="none" w:sz="0" w:space="0" w:color="auto"/>
      </w:divBdr>
    </w:div>
    <w:div w:id="1577546725">
      <w:bodyDiv w:val="1"/>
      <w:marLeft w:val="0"/>
      <w:marRight w:val="0"/>
      <w:marTop w:val="0"/>
      <w:marBottom w:val="0"/>
      <w:divBdr>
        <w:top w:val="none" w:sz="0" w:space="0" w:color="auto"/>
        <w:left w:val="none" w:sz="0" w:space="0" w:color="auto"/>
        <w:bottom w:val="none" w:sz="0" w:space="0" w:color="auto"/>
        <w:right w:val="none" w:sz="0" w:space="0" w:color="auto"/>
      </w:divBdr>
    </w:div>
    <w:div w:id="1578977020">
      <w:bodyDiv w:val="1"/>
      <w:marLeft w:val="0"/>
      <w:marRight w:val="0"/>
      <w:marTop w:val="0"/>
      <w:marBottom w:val="0"/>
      <w:divBdr>
        <w:top w:val="none" w:sz="0" w:space="0" w:color="auto"/>
        <w:left w:val="none" w:sz="0" w:space="0" w:color="auto"/>
        <w:bottom w:val="none" w:sz="0" w:space="0" w:color="auto"/>
        <w:right w:val="none" w:sz="0" w:space="0" w:color="auto"/>
      </w:divBdr>
    </w:div>
    <w:div w:id="1579049842">
      <w:bodyDiv w:val="1"/>
      <w:marLeft w:val="0"/>
      <w:marRight w:val="0"/>
      <w:marTop w:val="0"/>
      <w:marBottom w:val="0"/>
      <w:divBdr>
        <w:top w:val="none" w:sz="0" w:space="0" w:color="auto"/>
        <w:left w:val="none" w:sz="0" w:space="0" w:color="auto"/>
        <w:bottom w:val="none" w:sz="0" w:space="0" w:color="auto"/>
        <w:right w:val="none" w:sz="0" w:space="0" w:color="auto"/>
      </w:divBdr>
    </w:div>
    <w:div w:id="1579286992">
      <w:bodyDiv w:val="1"/>
      <w:marLeft w:val="0"/>
      <w:marRight w:val="0"/>
      <w:marTop w:val="0"/>
      <w:marBottom w:val="0"/>
      <w:divBdr>
        <w:top w:val="none" w:sz="0" w:space="0" w:color="auto"/>
        <w:left w:val="none" w:sz="0" w:space="0" w:color="auto"/>
        <w:bottom w:val="none" w:sz="0" w:space="0" w:color="auto"/>
        <w:right w:val="none" w:sz="0" w:space="0" w:color="auto"/>
      </w:divBdr>
    </w:div>
    <w:div w:id="1581718810">
      <w:bodyDiv w:val="1"/>
      <w:marLeft w:val="0"/>
      <w:marRight w:val="0"/>
      <w:marTop w:val="0"/>
      <w:marBottom w:val="0"/>
      <w:divBdr>
        <w:top w:val="none" w:sz="0" w:space="0" w:color="auto"/>
        <w:left w:val="none" w:sz="0" w:space="0" w:color="auto"/>
        <w:bottom w:val="none" w:sz="0" w:space="0" w:color="auto"/>
        <w:right w:val="none" w:sz="0" w:space="0" w:color="auto"/>
      </w:divBdr>
    </w:div>
    <w:div w:id="1582446903">
      <w:bodyDiv w:val="1"/>
      <w:marLeft w:val="0"/>
      <w:marRight w:val="0"/>
      <w:marTop w:val="0"/>
      <w:marBottom w:val="0"/>
      <w:divBdr>
        <w:top w:val="none" w:sz="0" w:space="0" w:color="auto"/>
        <w:left w:val="none" w:sz="0" w:space="0" w:color="auto"/>
        <w:bottom w:val="none" w:sz="0" w:space="0" w:color="auto"/>
        <w:right w:val="none" w:sz="0" w:space="0" w:color="auto"/>
      </w:divBdr>
    </w:div>
    <w:div w:id="1582719761">
      <w:bodyDiv w:val="1"/>
      <w:marLeft w:val="0"/>
      <w:marRight w:val="0"/>
      <w:marTop w:val="0"/>
      <w:marBottom w:val="0"/>
      <w:divBdr>
        <w:top w:val="none" w:sz="0" w:space="0" w:color="auto"/>
        <w:left w:val="none" w:sz="0" w:space="0" w:color="auto"/>
        <w:bottom w:val="none" w:sz="0" w:space="0" w:color="auto"/>
        <w:right w:val="none" w:sz="0" w:space="0" w:color="auto"/>
      </w:divBdr>
    </w:div>
    <w:div w:id="1582792052">
      <w:bodyDiv w:val="1"/>
      <w:marLeft w:val="0"/>
      <w:marRight w:val="0"/>
      <w:marTop w:val="0"/>
      <w:marBottom w:val="0"/>
      <w:divBdr>
        <w:top w:val="none" w:sz="0" w:space="0" w:color="auto"/>
        <w:left w:val="none" w:sz="0" w:space="0" w:color="auto"/>
        <w:bottom w:val="none" w:sz="0" w:space="0" w:color="auto"/>
        <w:right w:val="none" w:sz="0" w:space="0" w:color="auto"/>
      </w:divBdr>
    </w:div>
    <w:div w:id="1582837184">
      <w:bodyDiv w:val="1"/>
      <w:marLeft w:val="0"/>
      <w:marRight w:val="0"/>
      <w:marTop w:val="0"/>
      <w:marBottom w:val="0"/>
      <w:divBdr>
        <w:top w:val="none" w:sz="0" w:space="0" w:color="auto"/>
        <w:left w:val="none" w:sz="0" w:space="0" w:color="auto"/>
        <w:bottom w:val="none" w:sz="0" w:space="0" w:color="auto"/>
        <w:right w:val="none" w:sz="0" w:space="0" w:color="auto"/>
      </w:divBdr>
    </w:div>
    <w:div w:id="1582838546">
      <w:bodyDiv w:val="1"/>
      <w:marLeft w:val="0"/>
      <w:marRight w:val="0"/>
      <w:marTop w:val="0"/>
      <w:marBottom w:val="0"/>
      <w:divBdr>
        <w:top w:val="none" w:sz="0" w:space="0" w:color="auto"/>
        <w:left w:val="none" w:sz="0" w:space="0" w:color="auto"/>
        <w:bottom w:val="none" w:sz="0" w:space="0" w:color="auto"/>
        <w:right w:val="none" w:sz="0" w:space="0" w:color="auto"/>
      </w:divBdr>
    </w:div>
    <w:div w:id="1583219470">
      <w:bodyDiv w:val="1"/>
      <w:marLeft w:val="0"/>
      <w:marRight w:val="0"/>
      <w:marTop w:val="0"/>
      <w:marBottom w:val="0"/>
      <w:divBdr>
        <w:top w:val="none" w:sz="0" w:space="0" w:color="auto"/>
        <w:left w:val="none" w:sz="0" w:space="0" w:color="auto"/>
        <w:bottom w:val="none" w:sz="0" w:space="0" w:color="auto"/>
        <w:right w:val="none" w:sz="0" w:space="0" w:color="auto"/>
      </w:divBdr>
    </w:div>
    <w:div w:id="1583837433">
      <w:bodyDiv w:val="1"/>
      <w:marLeft w:val="0"/>
      <w:marRight w:val="0"/>
      <w:marTop w:val="0"/>
      <w:marBottom w:val="0"/>
      <w:divBdr>
        <w:top w:val="none" w:sz="0" w:space="0" w:color="auto"/>
        <w:left w:val="none" w:sz="0" w:space="0" w:color="auto"/>
        <w:bottom w:val="none" w:sz="0" w:space="0" w:color="auto"/>
        <w:right w:val="none" w:sz="0" w:space="0" w:color="auto"/>
      </w:divBdr>
    </w:div>
    <w:div w:id="1584997117">
      <w:bodyDiv w:val="1"/>
      <w:marLeft w:val="0"/>
      <w:marRight w:val="0"/>
      <w:marTop w:val="0"/>
      <w:marBottom w:val="0"/>
      <w:divBdr>
        <w:top w:val="none" w:sz="0" w:space="0" w:color="auto"/>
        <w:left w:val="none" w:sz="0" w:space="0" w:color="auto"/>
        <w:bottom w:val="none" w:sz="0" w:space="0" w:color="auto"/>
        <w:right w:val="none" w:sz="0" w:space="0" w:color="auto"/>
      </w:divBdr>
    </w:div>
    <w:div w:id="1585996044">
      <w:bodyDiv w:val="1"/>
      <w:marLeft w:val="0"/>
      <w:marRight w:val="0"/>
      <w:marTop w:val="0"/>
      <w:marBottom w:val="0"/>
      <w:divBdr>
        <w:top w:val="none" w:sz="0" w:space="0" w:color="auto"/>
        <w:left w:val="none" w:sz="0" w:space="0" w:color="auto"/>
        <w:bottom w:val="none" w:sz="0" w:space="0" w:color="auto"/>
        <w:right w:val="none" w:sz="0" w:space="0" w:color="auto"/>
      </w:divBdr>
    </w:div>
    <w:div w:id="1586499154">
      <w:bodyDiv w:val="1"/>
      <w:marLeft w:val="0"/>
      <w:marRight w:val="0"/>
      <w:marTop w:val="0"/>
      <w:marBottom w:val="0"/>
      <w:divBdr>
        <w:top w:val="none" w:sz="0" w:space="0" w:color="auto"/>
        <w:left w:val="none" w:sz="0" w:space="0" w:color="auto"/>
        <w:bottom w:val="none" w:sz="0" w:space="0" w:color="auto"/>
        <w:right w:val="none" w:sz="0" w:space="0" w:color="auto"/>
      </w:divBdr>
    </w:div>
    <w:div w:id="1587225641">
      <w:bodyDiv w:val="1"/>
      <w:marLeft w:val="0"/>
      <w:marRight w:val="0"/>
      <w:marTop w:val="0"/>
      <w:marBottom w:val="0"/>
      <w:divBdr>
        <w:top w:val="none" w:sz="0" w:space="0" w:color="auto"/>
        <w:left w:val="none" w:sz="0" w:space="0" w:color="auto"/>
        <w:bottom w:val="none" w:sz="0" w:space="0" w:color="auto"/>
        <w:right w:val="none" w:sz="0" w:space="0" w:color="auto"/>
      </w:divBdr>
    </w:div>
    <w:div w:id="1587615620">
      <w:bodyDiv w:val="1"/>
      <w:marLeft w:val="0"/>
      <w:marRight w:val="0"/>
      <w:marTop w:val="0"/>
      <w:marBottom w:val="0"/>
      <w:divBdr>
        <w:top w:val="none" w:sz="0" w:space="0" w:color="auto"/>
        <w:left w:val="none" w:sz="0" w:space="0" w:color="auto"/>
        <w:bottom w:val="none" w:sz="0" w:space="0" w:color="auto"/>
        <w:right w:val="none" w:sz="0" w:space="0" w:color="auto"/>
      </w:divBdr>
    </w:div>
    <w:div w:id="1588153113">
      <w:bodyDiv w:val="1"/>
      <w:marLeft w:val="0"/>
      <w:marRight w:val="0"/>
      <w:marTop w:val="0"/>
      <w:marBottom w:val="0"/>
      <w:divBdr>
        <w:top w:val="none" w:sz="0" w:space="0" w:color="auto"/>
        <w:left w:val="none" w:sz="0" w:space="0" w:color="auto"/>
        <w:bottom w:val="none" w:sz="0" w:space="0" w:color="auto"/>
        <w:right w:val="none" w:sz="0" w:space="0" w:color="auto"/>
      </w:divBdr>
    </w:div>
    <w:div w:id="1589072581">
      <w:bodyDiv w:val="1"/>
      <w:marLeft w:val="0"/>
      <w:marRight w:val="0"/>
      <w:marTop w:val="0"/>
      <w:marBottom w:val="0"/>
      <w:divBdr>
        <w:top w:val="none" w:sz="0" w:space="0" w:color="auto"/>
        <w:left w:val="none" w:sz="0" w:space="0" w:color="auto"/>
        <w:bottom w:val="none" w:sz="0" w:space="0" w:color="auto"/>
        <w:right w:val="none" w:sz="0" w:space="0" w:color="auto"/>
      </w:divBdr>
    </w:div>
    <w:div w:id="1590309955">
      <w:bodyDiv w:val="1"/>
      <w:marLeft w:val="0"/>
      <w:marRight w:val="0"/>
      <w:marTop w:val="0"/>
      <w:marBottom w:val="0"/>
      <w:divBdr>
        <w:top w:val="none" w:sz="0" w:space="0" w:color="auto"/>
        <w:left w:val="none" w:sz="0" w:space="0" w:color="auto"/>
        <w:bottom w:val="none" w:sz="0" w:space="0" w:color="auto"/>
        <w:right w:val="none" w:sz="0" w:space="0" w:color="auto"/>
      </w:divBdr>
    </w:div>
    <w:div w:id="1590578496">
      <w:bodyDiv w:val="1"/>
      <w:marLeft w:val="0"/>
      <w:marRight w:val="0"/>
      <w:marTop w:val="0"/>
      <w:marBottom w:val="0"/>
      <w:divBdr>
        <w:top w:val="none" w:sz="0" w:space="0" w:color="auto"/>
        <w:left w:val="none" w:sz="0" w:space="0" w:color="auto"/>
        <w:bottom w:val="none" w:sz="0" w:space="0" w:color="auto"/>
        <w:right w:val="none" w:sz="0" w:space="0" w:color="auto"/>
      </w:divBdr>
    </w:div>
    <w:div w:id="1590774508">
      <w:bodyDiv w:val="1"/>
      <w:marLeft w:val="0"/>
      <w:marRight w:val="0"/>
      <w:marTop w:val="0"/>
      <w:marBottom w:val="0"/>
      <w:divBdr>
        <w:top w:val="none" w:sz="0" w:space="0" w:color="auto"/>
        <w:left w:val="none" w:sz="0" w:space="0" w:color="auto"/>
        <w:bottom w:val="none" w:sz="0" w:space="0" w:color="auto"/>
        <w:right w:val="none" w:sz="0" w:space="0" w:color="auto"/>
      </w:divBdr>
    </w:div>
    <w:div w:id="1590774900">
      <w:bodyDiv w:val="1"/>
      <w:marLeft w:val="0"/>
      <w:marRight w:val="0"/>
      <w:marTop w:val="0"/>
      <w:marBottom w:val="0"/>
      <w:divBdr>
        <w:top w:val="none" w:sz="0" w:space="0" w:color="auto"/>
        <w:left w:val="none" w:sz="0" w:space="0" w:color="auto"/>
        <w:bottom w:val="none" w:sz="0" w:space="0" w:color="auto"/>
        <w:right w:val="none" w:sz="0" w:space="0" w:color="auto"/>
      </w:divBdr>
    </w:div>
    <w:div w:id="1590849734">
      <w:bodyDiv w:val="1"/>
      <w:marLeft w:val="0"/>
      <w:marRight w:val="0"/>
      <w:marTop w:val="0"/>
      <w:marBottom w:val="0"/>
      <w:divBdr>
        <w:top w:val="none" w:sz="0" w:space="0" w:color="auto"/>
        <w:left w:val="none" w:sz="0" w:space="0" w:color="auto"/>
        <w:bottom w:val="none" w:sz="0" w:space="0" w:color="auto"/>
        <w:right w:val="none" w:sz="0" w:space="0" w:color="auto"/>
      </w:divBdr>
    </w:div>
    <w:div w:id="1590962875">
      <w:bodyDiv w:val="1"/>
      <w:marLeft w:val="0"/>
      <w:marRight w:val="0"/>
      <w:marTop w:val="0"/>
      <w:marBottom w:val="0"/>
      <w:divBdr>
        <w:top w:val="none" w:sz="0" w:space="0" w:color="auto"/>
        <w:left w:val="none" w:sz="0" w:space="0" w:color="auto"/>
        <w:bottom w:val="none" w:sz="0" w:space="0" w:color="auto"/>
        <w:right w:val="none" w:sz="0" w:space="0" w:color="auto"/>
      </w:divBdr>
    </w:div>
    <w:div w:id="1591085847">
      <w:bodyDiv w:val="1"/>
      <w:marLeft w:val="0"/>
      <w:marRight w:val="0"/>
      <w:marTop w:val="0"/>
      <w:marBottom w:val="0"/>
      <w:divBdr>
        <w:top w:val="none" w:sz="0" w:space="0" w:color="auto"/>
        <w:left w:val="none" w:sz="0" w:space="0" w:color="auto"/>
        <w:bottom w:val="none" w:sz="0" w:space="0" w:color="auto"/>
        <w:right w:val="none" w:sz="0" w:space="0" w:color="auto"/>
      </w:divBdr>
    </w:div>
    <w:div w:id="1591159071">
      <w:bodyDiv w:val="1"/>
      <w:marLeft w:val="0"/>
      <w:marRight w:val="0"/>
      <w:marTop w:val="0"/>
      <w:marBottom w:val="0"/>
      <w:divBdr>
        <w:top w:val="none" w:sz="0" w:space="0" w:color="auto"/>
        <w:left w:val="none" w:sz="0" w:space="0" w:color="auto"/>
        <w:bottom w:val="none" w:sz="0" w:space="0" w:color="auto"/>
        <w:right w:val="none" w:sz="0" w:space="0" w:color="auto"/>
      </w:divBdr>
    </w:div>
    <w:div w:id="1592347016">
      <w:bodyDiv w:val="1"/>
      <w:marLeft w:val="0"/>
      <w:marRight w:val="0"/>
      <w:marTop w:val="0"/>
      <w:marBottom w:val="0"/>
      <w:divBdr>
        <w:top w:val="none" w:sz="0" w:space="0" w:color="auto"/>
        <w:left w:val="none" w:sz="0" w:space="0" w:color="auto"/>
        <w:bottom w:val="none" w:sz="0" w:space="0" w:color="auto"/>
        <w:right w:val="none" w:sz="0" w:space="0" w:color="auto"/>
      </w:divBdr>
    </w:div>
    <w:div w:id="1592465045">
      <w:bodyDiv w:val="1"/>
      <w:marLeft w:val="0"/>
      <w:marRight w:val="0"/>
      <w:marTop w:val="0"/>
      <w:marBottom w:val="0"/>
      <w:divBdr>
        <w:top w:val="none" w:sz="0" w:space="0" w:color="auto"/>
        <w:left w:val="none" w:sz="0" w:space="0" w:color="auto"/>
        <w:bottom w:val="none" w:sz="0" w:space="0" w:color="auto"/>
        <w:right w:val="none" w:sz="0" w:space="0" w:color="auto"/>
      </w:divBdr>
    </w:div>
    <w:div w:id="1592852865">
      <w:bodyDiv w:val="1"/>
      <w:marLeft w:val="0"/>
      <w:marRight w:val="0"/>
      <w:marTop w:val="0"/>
      <w:marBottom w:val="0"/>
      <w:divBdr>
        <w:top w:val="none" w:sz="0" w:space="0" w:color="auto"/>
        <w:left w:val="none" w:sz="0" w:space="0" w:color="auto"/>
        <w:bottom w:val="none" w:sz="0" w:space="0" w:color="auto"/>
        <w:right w:val="none" w:sz="0" w:space="0" w:color="auto"/>
      </w:divBdr>
    </w:div>
    <w:div w:id="1593006433">
      <w:bodyDiv w:val="1"/>
      <w:marLeft w:val="0"/>
      <w:marRight w:val="0"/>
      <w:marTop w:val="0"/>
      <w:marBottom w:val="0"/>
      <w:divBdr>
        <w:top w:val="none" w:sz="0" w:space="0" w:color="auto"/>
        <w:left w:val="none" w:sz="0" w:space="0" w:color="auto"/>
        <w:bottom w:val="none" w:sz="0" w:space="0" w:color="auto"/>
        <w:right w:val="none" w:sz="0" w:space="0" w:color="auto"/>
      </w:divBdr>
    </w:div>
    <w:div w:id="1593389490">
      <w:bodyDiv w:val="1"/>
      <w:marLeft w:val="0"/>
      <w:marRight w:val="0"/>
      <w:marTop w:val="0"/>
      <w:marBottom w:val="0"/>
      <w:divBdr>
        <w:top w:val="none" w:sz="0" w:space="0" w:color="auto"/>
        <w:left w:val="none" w:sz="0" w:space="0" w:color="auto"/>
        <w:bottom w:val="none" w:sz="0" w:space="0" w:color="auto"/>
        <w:right w:val="none" w:sz="0" w:space="0" w:color="auto"/>
      </w:divBdr>
    </w:div>
    <w:div w:id="1593733420">
      <w:bodyDiv w:val="1"/>
      <w:marLeft w:val="0"/>
      <w:marRight w:val="0"/>
      <w:marTop w:val="0"/>
      <w:marBottom w:val="0"/>
      <w:divBdr>
        <w:top w:val="none" w:sz="0" w:space="0" w:color="auto"/>
        <w:left w:val="none" w:sz="0" w:space="0" w:color="auto"/>
        <w:bottom w:val="none" w:sz="0" w:space="0" w:color="auto"/>
        <w:right w:val="none" w:sz="0" w:space="0" w:color="auto"/>
      </w:divBdr>
    </w:div>
    <w:div w:id="1594240079">
      <w:bodyDiv w:val="1"/>
      <w:marLeft w:val="0"/>
      <w:marRight w:val="0"/>
      <w:marTop w:val="0"/>
      <w:marBottom w:val="0"/>
      <w:divBdr>
        <w:top w:val="none" w:sz="0" w:space="0" w:color="auto"/>
        <w:left w:val="none" w:sz="0" w:space="0" w:color="auto"/>
        <w:bottom w:val="none" w:sz="0" w:space="0" w:color="auto"/>
        <w:right w:val="none" w:sz="0" w:space="0" w:color="auto"/>
      </w:divBdr>
    </w:div>
    <w:div w:id="1594438551">
      <w:bodyDiv w:val="1"/>
      <w:marLeft w:val="0"/>
      <w:marRight w:val="0"/>
      <w:marTop w:val="0"/>
      <w:marBottom w:val="0"/>
      <w:divBdr>
        <w:top w:val="none" w:sz="0" w:space="0" w:color="auto"/>
        <w:left w:val="none" w:sz="0" w:space="0" w:color="auto"/>
        <w:bottom w:val="none" w:sz="0" w:space="0" w:color="auto"/>
        <w:right w:val="none" w:sz="0" w:space="0" w:color="auto"/>
      </w:divBdr>
    </w:div>
    <w:div w:id="1594778640">
      <w:bodyDiv w:val="1"/>
      <w:marLeft w:val="0"/>
      <w:marRight w:val="0"/>
      <w:marTop w:val="0"/>
      <w:marBottom w:val="0"/>
      <w:divBdr>
        <w:top w:val="none" w:sz="0" w:space="0" w:color="auto"/>
        <w:left w:val="none" w:sz="0" w:space="0" w:color="auto"/>
        <w:bottom w:val="none" w:sz="0" w:space="0" w:color="auto"/>
        <w:right w:val="none" w:sz="0" w:space="0" w:color="auto"/>
      </w:divBdr>
    </w:div>
    <w:div w:id="1594970072">
      <w:bodyDiv w:val="1"/>
      <w:marLeft w:val="0"/>
      <w:marRight w:val="0"/>
      <w:marTop w:val="0"/>
      <w:marBottom w:val="0"/>
      <w:divBdr>
        <w:top w:val="none" w:sz="0" w:space="0" w:color="auto"/>
        <w:left w:val="none" w:sz="0" w:space="0" w:color="auto"/>
        <w:bottom w:val="none" w:sz="0" w:space="0" w:color="auto"/>
        <w:right w:val="none" w:sz="0" w:space="0" w:color="auto"/>
      </w:divBdr>
    </w:div>
    <w:div w:id="1595556579">
      <w:bodyDiv w:val="1"/>
      <w:marLeft w:val="0"/>
      <w:marRight w:val="0"/>
      <w:marTop w:val="0"/>
      <w:marBottom w:val="0"/>
      <w:divBdr>
        <w:top w:val="none" w:sz="0" w:space="0" w:color="auto"/>
        <w:left w:val="none" w:sz="0" w:space="0" w:color="auto"/>
        <w:bottom w:val="none" w:sz="0" w:space="0" w:color="auto"/>
        <w:right w:val="none" w:sz="0" w:space="0" w:color="auto"/>
      </w:divBdr>
    </w:div>
    <w:div w:id="1596788400">
      <w:bodyDiv w:val="1"/>
      <w:marLeft w:val="0"/>
      <w:marRight w:val="0"/>
      <w:marTop w:val="0"/>
      <w:marBottom w:val="0"/>
      <w:divBdr>
        <w:top w:val="none" w:sz="0" w:space="0" w:color="auto"/>
        <w:left w:val="none" w:sz="0" w:space="0" w:color="auto"/>
        <w:bottom w:val="none" w:sz="0" w:space="0" w:color="auto"/>
        <w:right w:val="none" w:sz="0" w:space="0" w:color="auto"/>
      </w:divBdr>
    </w:div>
    <w:div w:id="1597326207">
      <w:bodyDiv w:val="1"/>
      <w:marLeft w:val="0"/>
      <w:marRight w:val="0"/>
      <w:marTop w:val="0"/>
      <w:marBottom w:val="0"/>
      <w:divBdr>
        <w:top w:val="none" w:sz="0" w:space="0" w:color="auto"/>
        <w:left w:val="none" w:sz="0" w:space="0" w:color="auto"/>
        <w:bottom w:val="none" w:sz="0" w:space="0" w:color="auto"/>
        <w:right w:val="none" w:sz="0" w:space="0" w:color="auto"/>
      </w:divBdr>
    </w:div>
    <w:div w:id="1597520038">
      <w:bodyDiv w:val="1"/>
      <w:marLeft w:val="0"/>
      <w:marRight w:val="0"/>
      <w:marTop w:val="0"/>
      <w:marBottom w:val="0"/>
      <w:divBdr>
        <w:top w:val="none" w:sz="0" w:space="0" w:color="auto"/>
        <w:left w:val="none" w:sz="0" w:space="0" w:color="auto"/>
        <w:bottom w:val="none" w:sz="0" w:space="0" w:color="auto"/>
        <w:right w:val="none" w:sz="0" w:space="0" w:color="auto"/>
      </w:divBdr>
    </w:div>
    <w:div w:id="1598052432">
      <w:bodyDiv w:val="1"/>
      <w:marLeft w:val="0"/>
      <w:marRight w:val="0"/>
      <w:marTop w:val="0"/>
      <w:marBottom w:val="0"/>
      <w:divBdr>
        <w:top w:val="none" w:sz="0" w:space="0" w:color="auto"/>
        <w:left w:val="none" w:sz="0" w:space="0" w:color="auto"/>
        <w:bottom w:val="none" w:sz="0" w:space="0" w:color="auto"/>
        <w:right w:val="none" w:sz="0" w:space="0" w:color="auto"/>
      </w:divBdr>
    </w:div>
    <w:div w:id="1598559441">
      <w:bodyDiv w:val="1"/>
      <w:marLeft w:val="0"/>
      <w:marRight w:val="0"/>
      <w:marTop w:val="0"/>
      <w:marBottom w:val="0"/>
      <w:divBdr>
        <w:top w:val="none" w:sz="0" w:space="0" w:color="auto"/>
        <w:left w:val="none" w:sz="0" w:space="0" w:color="auto"/>
        <w:bottom w:val="none" w:sz="0" w:space="0" w:color="auto"/>
        <w:right w:val="none" w:sz="0" w:space="0" w:color="auto"/>
      </w:divBdr>
    </w:div>
    <w:div w:id="1598630764">
      <w:bodyDiv w:val="1"/>
      <w:marLeft w:val="0"/>
      <w:marRight w:val="0"/>
      <w:marTop w:val="0"/>
      <w:marBottom w:val="0"/>
      <w:divBdr>
        <w:top w:val="none" w:sz="0" w:space="0" w:color="auto"/>
        <w:left w:val="none" w:sz="0" w:space="0" w:color="auto"/>
        <w:bottom w:val="none" w:sz="0" w:space="0" w:color="auto"/>
        <w:right w:val="none" w:sz="0" w:space="0" w:color="auto"/>
      </w:divBdr>
    </w:div>
    <w:div w:id="1598830045">
      <w:bodyDiv w:val="1"/>
      <w:marLeft w:val="0"/>
      <w:marRight w:val="0"/>
      <w:marTop w:val="0"/>
      <w:marBottom w:val="0"/>
      <w:divBdr>
        <w:top w:val="none" w:sz="0" w:space="0" w:color="auto"/>
        <w:left w:val="none" w:sz="0" w:space="0" w:color="auto"/>
        <w:bottom w:val="none" w:sz="0" w:space="0" w:color="auto"/>
        <w:right w:val="none" w:sz="0" w:space="0" w:color="auto"/>
      </w:divBdr>
    </w:div>
    <w:div w:id="1598904030">
      <w:bodyDiv w:val="1"/>
      <w:marLeft w:val="0"/>
      <w:marRight w:val="0"/>
      <w:marTop w:val="0"/>
      <w:marBottom w:val="0"/>
      <w:divBdr>
        <w:top w:val="none" w:sz="0" w:space="0" w:color="auto"/>
        <w:left w:val="none" w:sz="0" w:space="0" w:color="auto"/>
        <w:bottom w:val="none" w:sz="0" w:space="0" w:color="auto"/>
        <w:right w:val="none" w:sz="0" w:space="0" w:color="auto"/>
      </w:divBdr>
    </w:div>
    <w:div w:id="1599364436">
      <w:bodyDiv w:val="1"/>
      <w:marLeft w:val="0"/>
      <w:marRight w:val="0"/>
      <w:marTop w:val="0"/>
      <w:marBottom w:val="0"/>
      <w:divBdr>
        <w:top w:val="none" w:sz="0" w:space="0" w:color="auto"/>
        <w:left w:val="none" w:sz="0" w:space="0" w:color="auto"/>
        <w:bottom w:val="none" w:sz="0" w:space="0" w:color="auto"/>
        <w:right w:val="none" w:sz="0" w:space="0" w:color="auto"/>
      </w:divBdr>
    </w:div>
    <w:div w:id="1599481245">
      <w:bodyDiv w:val="1"/>
      <w:marLeft w:val="0"/>
      <w:marRight w:val="0"/>
      <w:marTop w:val="0"/>
      <w:marBottom w:val="0"/>
      <w:divBdr>
        <w:top w:val="none" w:sz="0" w:space="0" w:color="auto"/>
        <w:left w:val="none" w:sz="0" w:space="0" w:color="auto"/>
        <w:bottom w:val="none" w:sz="0" w:space="0" w:color="auto"/>
        <w:right w:val="none" w:sz="0" w:space="0" w:color="auto"/>
      </w:divBdr>
    </w:div>
    <w:div w:id="1599559673">
      <w:bodyDiv w:val="1"/>
      <w:marLeft w:val="0"/>
      <w:marRight w:val="0"/>
      <w:marTop w:val="0"/>
      <w:marBottom w:val="0"/>
      <w:divBdr>
        <w:top w:val="none" w:sz="0" w:space="0" w:color="auto"/>
        <w:left w:val="none" w:sz="0" w:space="0" w:color="auto"/>
        <w:bottom w:val="none" w:sz="0" w:space="0" w:color="auto"/>
        <w:right w:val="none" w:sz="0" w:space="0" w:color="auto"/>
      </w:divBdr>
    </w:div>
    <w:div w:id="1600139111">
      <w:bodyDiv w:val="1"/>
      <w:marLeft w:val="0"/>
      <w:marRight w:val="0"/>
      <w:marTop w:val="0"/>
      <w:marBottom w:val="0"/>
      <w:divBdr>
        <w:top w:val="none" w:sz="0" w:space="0" w:color="auto"/>
        <w:left w:val="none" w:sz="0" w:space="0" w:color="auto"/>
        <w:bottom w:val="none" w:sz="0" w:space="0" w:color="auto"/>
        <w:right w:val="none" w:sz="0" w:space="0" w:color="auto"/>
      </w:divBdr>
    </w:div>
    <w:div w:id="1600527771">
      <w:bodyDiv w:val="1"/>
      <w:marLeft w:val="0"/>
      <w:marRight w:val="0"/>
      <w:marTop w:val="0"/>
      <w:marBottom w:val="0"/>
      <w:divBdr>
        <w:top w:val="none" w:sz="0" w:space="0" w:color="auto"/>
        <w:left w:val="none" w:sz="0" w:space="0" w:color="auto"/>
        <w:bottom w:val="none" w:sz="0" w:space="0" w:color="auto"/>
        <w:right w:val="none" w:sz="0" w:space="0" w:color="auto"/>
      </w:divBdr>
    </w:div>
    <w:div w:id="1600793395">
      <w:bodyDiv w:val="1"/>
      <w:marLeft w:val="0"/>
      <w:marRight w:val="0"/>
      <w:marTop w:val="0"/>
      <w:marBottom w:val="0"/>
      <w:divBdr>
        <w:top w:val="none" w:sz="0" w:space="0" w:color="auto"/>
        <w:left w:val="none" w:sz="0" w:space="0" w:color="auto"/>
        <w:bottom w:val="none" w:sz="0" w:space="0" w:color="auto"/>
        <w:right w:val="none" w:sz="0" w:space="0" w:color="auto"/>
      </w:divBdr>
    </w:div>
    <w:div w:id="1602488210">
      <w:bodyDiv w:val="1"/>
      <w:marLeft w:val="0"/>
      <w:marRight w:val="0"/>
      <w:marTop w:val="0"/>
      <w:marBottom w:val="0"/>
      <w:divBdr>
        <w:top w:val="none" w:sz="0" w:space="0" w:color="auto"/>
        <w:left w:val="none" w:sz="0" w:space="0" w:color="auto"/>
        <w:bottom w:val="none" w:sz="0" w:space="0" w:color="auto"/>
        <w:right w:val="none" w:sz="0" w:space="0" w:color="auto"/>
      </w:divBdr>
    </w:div>
    <w:div w:id="1604148978">
      <w:bodyDiv w:val="1"/>
      <w:marLeft w:val="0"/>
      <w:marRight w:val="0"/>
      <w:marTop w:val="0"/>
      <w:marBottom w:val="0"/>
      <w:divBdr>
        <w:top w:val="none" w:sz="0" w:space="0" w:color="auto"/>
        <w:left w:val="none" w:sz="0" w:space="0" w:color="auto"/>
        <w:bottom w:val="none" w:sz="0" w:space="0" w:color="auto"/>
        <w:right w:val="none" w:sz="0" w:space="0" w:color="auto"/>
      </w:divBdr>
    </w:div>
    <w:div w:id="1604454887">
      <w:bodyDiv w:val="1"/>
      <w:marLeft w:val="0"/>
      <w:marRight w:val="0"/>
      <w:marTop w:val="0"/>
      <w:marBottom w:val="0"/>
      <w:divBdr>
        <w:top w:val="none" w:sz="0" w:space="0" w:color="auto"/>
        <w:left w:val="none" w:sz="0" w:space="0" w:color="auto"/>
        <w:bottom w:val="none" w:sz="0" w:space="0" w:color="auto"/>
        <w:right w:val="none" w:sz="0" w:space="0" w:color="auto"/>
      </w:divBdr>
    </w:div>
    <w:div w:id="1606499040">
      <w:bodyDiv w:val="1"/>
      <w:marLeft w:val="0"/>
      <w:marRight w:val="0"/>
      <w:marTop w:val="0"/>
      <w:marBottom w:val="0"/>
      <w:divBdr>
        <w:top w:val="none" w:sz="0" w:space="0" w:color="auto"/>
        <w:left w:val="none" w:sz="0" w:space="0" w:color="auto"/>
        <w:bottom w:val="none" w:sz="0" w:space="0" w:color="auto"/>
        <w:right w:val="none" w:sz="0" w:space="0" w:color="auto"/>
      </w:divBdr>
    </w:div>
    <w:div w:id="1607150236">
      <w:bodyDiv w:val="1"/>
      <w:marLeft w:val="0"/>
      <w:marRight w:val="0"/>
      <w:marTop w:val="0"/>
      <w:marBottom w:val="0"/>
      <w:divBdr>
        <w:top w:val="none" w:sz="0" w:space="0" w:color="auto"/>
        <w:left w:val="none" w:sz="0" w:space="0" w:color="auto"/>
        <w:bottom w:val="none" w:sz="0" w:space="0" w:color="auto"/>
        <w:right w:val="none" w:sz="0" w:space="0" w:color="auto"/>
      </w:divBdr>
    </w:div>
    <w:div w:id="1608778755">
      <w:bodyDiv w:val="1"/>
      <w:marLeft w:val="0"/>
      <w:marRight w:val="0"/>
      <w:marTop w:val="0"/>
      <w:marBottom w:val="0"/>
      <w:divBdr>
        <w:top w:val="none" w:sz="0" w:space="0" w:color="auto"/>
        <w:left w:val="none" w:sz="0" w:space="0" w:color="auto"/>
        <w:bottom w:val="none" w:sz="0" w:space="0" w:color="auto"/>
        <w:right w:val="none" w:sz="0" w:space="0" w:color="auto"/>
      </w:divBdr>
    </w:div>
    <w:div w:id="1608779167">
      <w:bodyDiv w:val="1"/>
      <w:marLeft w:val="0"/>
      <w:marRight w:val="0"/>
      <w:marTop w:val="0"/>
      <w:marBottom w:val="0"/>
      <w:divBdr>
        <w:top w:val="none" w:sz="0" w:space="0" w:color="auto"/>
        <w:left w:val="none" w:sz="0" w:space="0" w:color="auto"/>
        <w:bottom w:val="none" w:sz="0" w:space="0" w:color="auto"/>
        <w:right w:val="none" w:sz="0" w:space="0" w:color="auto"/>
      </w:divBdr>
    </w:div>
    <w:div w:id="1608931416">
      <w:bodyDiv w:val="1"/>
      <w:marLeft w:val="0"/>
      <w:marRight w:val="0"/>
      <w:marTop w:val="0"/>
      <w:marBottom w:val="0"/>
      <w:divBdr>
        <w:top w:val="none" w:sz="0" w:space="0" w:color="auto"/>
        <w:left w:val="none" w:sz="0" w:space="0" w:color="auto"/>
        <w:bottom w:val="none" w:sz="0" w:space="0" w:color="auto"/>
        <w:right w:val="none" w:sz="0" w:space="0" w:color="auto"/>
      </w:divBdr>
    </w:div>
    <w:div w:id="1609237475">
      <w:bodyDiv w:val="1"/>
      <w:marLeft w:val="0"/>
      <w:marRight w:val="0"/>
      <w:marTop w:val="0"/>
      <w:marBottom w:val="0"/>
      <w:divBdr>
        <w:top w:val="none" w:sz="0" w:space="0" w:color="auto"/>
        <w:left w:val="none" w:sz="0" w:space="0" w:color="auto"/>
        <w:bottom w:val="none" w:sz="0" w:space="0" w:color="auto"/>
        <w:right w:val="none" w:sz="0" w:space="0" w:color="auto"/>
      </w:divBdr>
    </w:div>
    <w:div w:id="1609313640">
      <w:bodyDiv w:val="1"/>
      <w:marLeft w:val="0"/>
      <w:marRight w:val="0"/>
      <w:marTop w:val="0"/>
      <w:marBottom w:val="0"/>
      <w:divBdr>
        <w:top w:val="none" w:sz="0" w:space="0" w:color="auto"/>
        <w:left w:val="none" w:sz="0" w:space="0" w:color="auto"/>
        <w:bottom w:val="none" w:sz="0" w:space="0" w:color="auto"/>
        <w:right w:val="none" w:sz="0" w:space="0" w:color="auto"/>
      </w:divBdr>
    </w:div>
    <w:div w:id="1609775628">
      <w:bodyDiv w:val="1"/>
      <w:marLeft w:val="0"/>
      <w:marRight w:val="0"/>
      <w:marTop w:val="0"/>
      <w:marBottom w:val="0"/>
      <w:divBdr>
        <w:top w:val="none" w:sz="0" w:space="0" w:color="auto"/>
        <w:left w:val="none" w:sz="0" w:space="0" w:color="auto"/>
        <w:bottom w:val="none" w:sz="0" w:space="0" w:color="auto"/>
        <w:right w:val="none" w:sz="0" w:space="0" w:color="auto"/>
      </w:divBdr>
    </w:div>
    <w:div w:id="1610964739">
      <w:bodyDiv w:val="1"/>
      <w:marLeft w:val="0"/>
      <w:marRight w:val="0"/>
      <w:marTop w:val="0"/>
      <w:marBottom w:val="0"/>
      <w:divBdr>
        <w:top w:val="none" w:sz="0" w:space="0" w:color="auto"/>
        <w:left w:val="none" w:sz="0" w:space="0" w:color="auto"/>
        <w:bottom w:val="none" w:sz="0" w:space="0" w:color="auto"/>
        <w:right w:val="none" w:sz="0" w:space="0" w:color="auto"/>
      </w:divBdr>
    </w:div>
    <w:div w:id="1611355436">
      <w:bodyDiv w:val="1"/>
      <w:marLeft w:val="0"/>
      <w:marRight w:val="0"/>
      <w:marTop w:val="0"/>
      <w:marBottom w:val="0"/>
      <w:divBdr>
        <w:top w:val="none" w:sz="0" w:space="0" w:color="auto"/>
        <w:left w:val="none" w:sz="0" w:space="0" w:color="auto"/>
        <w:bottom w:val="none" w:sz="0" w:space="0" w:color="auto"/>
        <w:right w:val="none" w:sz="0" w:space="0" w:color="auto"/>
      </w:divBdr>
    </w:div>
    <w:div w:id="1611859484">
      <w:bodyDiv w:val="1"/>
      <w:marLeft w:val="0"/>
      <w:marRight w:val="0"/>
      <w:marTop w:val="0"/>
      <w:marBottom w:val="0"/>
      <w:divBdr>
        <w:top w:val="none" w:sz="0" w:space="0" w:color="auto"/>
        <w:left w:val="none" w:sz="0" w:space="0" w:color="auto"/>
        <w:bottom w:val="none" w:sz="0" w:space="0" w:color="auto"/>
        <w:right w:val="none" w:sz="0" w:space="0" w:color="auto"/>
      </w:divBdr>
    </w:div>
    <w:div w:id="1612007857">
      <w:bodyDiv w:val="1"/>
      <w:marLeft w:val="0"/>
      <w:marRight w:val="0"/>
      <w:marTop w:val="0"/>
      <w:marBottom w:val="0"/>
      <w:divBdr>
        <w:top w:val="none" w:sz="0" w:space="0" w:color="auto"/>
        <w:left w:val="none" w:sz="0" w:space="0" w:color="auto"/>
        <w:bottom w:val="none" w:sz="0" w:space="0" w:color="auto"/>
        <w:right w:val="none" w:sz="0" w:space="0" w:color="auto"/>
      </w:divBdr>
    </w:div>
    <w:div w:id="1612278153">
      <w:bodyDiv w:val="1"/>
      <w:marLeft w:val="0"/>
      <w:marRight w:val="0"/>
      <w:marTop w:val="0"/>
      <w:marBottom w:val="0"/>
      <w:divBdr>
        <w:top w:val="none" w:sz="0" w:space="0" w:color="auto"/>
        <w:left w:val="none" w:sz="0" w:space="0" w:color="auto"/>
        <w:bottom w:val="none" w:sz="0" w:space="0" w:color="auto"/>
        <w:right w:val="none" w:sz="0" w:space="0" w:color="auto"/>
      </w:divBdr>
    </w:div>
    <w:div w:id="1612779583">
      <w:bodyDiv w:val="1"/>
      <w:marLeft w:val="0"/>
      <w:marRight w:val="0"/>
      <w:marTop w:val="0"/>
      <w:marBottom w:val="0"/>
      <w:divBdr>
        <w:top w:val="none" w:sz="0" w:space="0" w:color="auto"/>
        <w:left w:val="none" w:sz="0" w:space="0" w:color="auto"/>
        <w:bottom w:val="none" w:sz="0" w:space="0" w:color="auto"/>
        <w:right w:val="none" w:sz="0" w:space="0" w:color="auto"/>
      </w:divBdr>
    </w:div>
    <w:div w:id="1613514898">
      <w:bodyDiv w:val="1"/>
      <w:marLeft w:val="0"/>
      <w:marRight w:val="0"/>
      <w:marTop w:val="0"/>
      <w:marBottom w:val="0"/>
      <w:divBdr>
        <w:top w:val="none" w:sz="0" w:space="0" w:color="auto"/>
        <w:left w:val="none" w:sz="0" w:space="0" w:color="auto"/>
        <w:bottom w:val="none" w:sz="0" w:space="0" w:color="auto"/>
        <w:right w:val="none" w:sz="0" w:space="0" w:color="auto"/>
      </w:divBdr>
    </w:div>
    <w:div w:id="1615358990">
      <w:bodyDiv w:val="1"/>
      <w:marLeft w:val="0"/>
      <w:marRight w:val="0"/>
      <w:marTop w:val="0"/>
      <w:marBottom w:val="0"/>
      <w:divBdr>
        <w:top w:val="none" w:sz="0" w:space="0" w:color="auto"/>
        <w:left w:val="none" w:sz="0" w:space="0" w:color="auto"/>
        <w:bottom w:val="none" w:sz="0" w:space="0" w:color="auto"/>
        <w:right w:val="none" w:sz="0" w:space="0" w:color="auto"/>
      </w:divBdr>
    </w:div>
    <w:div w:id="1615867697">
      <w:bodyDiv w:val="1"/>
      <w:marLeft w:val="0"/>
      <w:marRight w:val="0"/>
      <w:marTop w:val="0"/>
      <w:marBottom w:val="0"/>
      <w:divBdr>
        <w:top w:val="none" w:sz="0" w:space="0" w:color="auto"/>
        <w:left w:val="none" w:sz="0" w:space="0" w:color="auto"/>
        <w:bottom w:val="none" w:sz="0" w:space="0" w:color="auto"/>
        <w:right w:val="none" w:sz="0" w:space="0" w:color="auto"/>
      </w:divBdr>
    </w:div>
    <w:div w:id="1615944640">
      <w:bodyDiv w:val="1"/>
      <w:marLeft w:val="0"/>
      <w:marRight w:val="0"/>
      <w:marTop w:val="0"/>
      <w:marBottom w:val="0"/>
      <w:divBdr>
        <w:top w:val="none" w:sz="0" w:space="0" w:color="auto"/>
        <w:left w:val="none" w:sz="0" w:space="0" w:color="auto"/>
        <w:bottom w:val="none" w:sz="0" w:space="0" w:color="auto"/>
        <w:right w:val="none" w:sz="0" w:space="0" w:color="auto"/>
      </w:divBdr>
    </w:div>
    <w:div w:id="1616063676">
      <w:bodyDiv w:val="1"/>
      <w:marLeft w:val="0"/>
      <w:marRight w:val="0"/>
      <w:marTop w:val="0"/>
      <w:marBottom w:val="0"/>
      <w:divBdr>
        <w:top w:val="none" w:sz="0" w:space="0" w:color="auto"/>
        <w:left w:val="none" w:sz="0" w:space="0" w:color="auto"/>
        <w:bottom w:val="none" w:sz="0" w:space="0" w:color="auto"/>
        <w:right w:val="none" w:sz="0" w:space="0" w:color="auto"/>
      </w:divBdr>
    </w:div>
    <w:div w:id="1616904774">
      <w:bodyDiv w:val="1"/>
      <w:marLeft w:val="0"/>
      <w:marRight w:val="0"/>
      <w:marTop w:val="0"/>
      <w:marBottom w:val="0"/>
      <w:divBdr>
        <w:top w:val="none" w:sz="0" w:space="0" w:color="auto"/>
        <w:left w:val="none" w:sz="0" w:space="0" w:color="auto"/>
        <w:bottom w:val="none" w:sz="0" w:space="0" w:color="auto"/>
        <w:right w:val="none" w:sz="0" w:space="0" w:color="auto"/>
      </w:divBdr>
    </w:div>
    <w:div w:id="1617440829">
      <w:bodyDiv w:val="1"/>
      <w:marLeft w:val="0"/>
      <w:marRight w:val="0"/>
      <w:marTop w:val="0"/>
      <w:marBottom w:val="0"/>
      <w:divBdr>
        <w:top w:val="none" w:sz="0" w:space="0" w:color="auto"/>
        <w:left w:val="none" w:sz="0" w:space="0" w:color="auto"/>
        <w:bottom w:val="none" w:sz="0" w:space="0" w:color="auto"/>
        <w:right w:val="none" w:sz="0" w:space="0" w:color="auto"/>
      </w:divBdr>
    </w:div>
    <w:div w:id="1618104160">
      <w:bodyDiv w:val="1"/>
      <w:marLeft w:val="0"/>
      <w:marRight w:val="0"/>
      <w:marTop w:val="0"/>
      <w:marBottom w:val="0"/>
      <w:divBdr>
        <w:top w:val="none" w:sz="0" w:space="0" w:color="auto"/>
        <w:left w:val="none" w:sz="0" w:space="0" w:color="auto"/>
        <w:bottom w:val="none" w:sz="0" w:space="0" w:color="auto"/>
        <w:right w:val="none" w:sz="0" w:space="0" w:color="auto"/>
      </w:divBdr>
    </w:div>
    <w:div w:id="1618684612">
      <w:bodyDiv w:val="1"/>
      <w:marLeft w:val="0"/>
      <w:marRight w:val="0"/>
      <w:marTop w:val="0"/>
      <w:marBottom w:val="0"/>
      <w:divBdr>
        <w:top w:val="none" w:sz="0" w:space="0" w:color="auto"/>
        <w:left w:val="none" w:sz="0" w:space="0" w:color="auto"/>
        <w:bottom w:val="none" w:sz="0" w:space="0" w:color="auto"/>
        <w:right w:val="none" w:sz="0" w:space="0" w:color="auto"/>
      </w:divBdr>
    </w:div>
    <w:div w:id="1618835548">
      <w:bodyDiv w:val="1"/>
      <w:marLeft w:val="0"/>
      <w:marRight w:val="0"/>
      <w:marTop w:val="0"/>
      <w:marBottom w:val="0"/>
      <w:divBdr>
        <w:top w:val="none" w:sz="0" w:space="0" w:color="auto"/>
        <w:left w:val="none" w:sz="0" w:space="0" w:color="auto"/>
        <w:bottom w:val="none" w:sz="0" w:space="0" w:color="auto"/>
        <w:right w:val="none" w:sz="0" w:space="0" w:color="auto"/>
      </w:divBdr>
    </w:div>
    <w:div w:id="1619873474">
      <w:bodyDiv w:val="1"/>
      <w:marLeft w:val="0"/>
      <w:marRight w:val="0"/>
      <w:marTop w:val="0"/>
      <w:marBottom w:val="0"/>
      <w:divBdr>
        <w:top w:val="none" w:sz="0" w:space="0" w:color="auto"/>
        <w:left w:val="none" w:sz="0" w:space="0" w:color="auto"/>
        <w:bottom w:val="none" w:sz="0" w:space="0" w:color="auto"/>
        <w:right w:val="none" w:sz="0" w:space="0" w:color="auto"/>
      </w:divBdr>
    </w:div>
    <w:div w:id="1619994651">
      <w:bodyDiv w:val="1"/>
      <w:marLeft w:val="0"/>
      <w:marRight w:val="0"/>
      <w:marTop w:val="0"/>
      <w:marBottom w:val="0"/>
      <w:divBdr>
        <w:top w:val="none" w:sz="0" w:space="0" w:color="auto"/>
        <w:left w:val="none" w:sz="0" w:space="0" w:color="auto"/>
        <w:bottom w:val="none" w:sz="0" w:space="0" w:color="auto"/>
        <w:right w:val="none" w:sz="0" w:space="0" w:color="auto"/>
      </w:divBdr>
    </w:div>
    <w:div w:id="1620722335">
      <w:bodyDiv w:val="1"/>
      <w:marLeft w:val="0"/>
      <w:marRight w:val="0"/>
      <w:marTop w:val="0"/>
      <w:marBottom w:val="0"/>
      <w:divBdr>
        <w:top w:val="none" w:sz="0" w:space="0" w:color="auto"/>
        <w:left w:val="none" w:sz="0" w:space="0" w:color="auto"/>
        <w:bottom w:val="none" w:sz="0" w:space="0" w:color="auto"/>
        <w:right w:val="none" w:sz="0" w:space="0" w:color="auto"/>
      </w:divBdr>
    </w:div>
    <w:div w:id="1621300086">
      <w:bodyDiv w:val="1"/>
      <w:marLeft w:val="0"/>
      <w:marRight w:val="0"/>
      <w:marTop w:val="0"/>
      <w:marBottom w:val="0"/>
      <w:divBdr>
        <w:top w:val="none" w:sz="0" w:space="0" w:color="auto"/>
        <w:left w:val="none" w:sz="0" w:space="0" w:color="auto"/>
        <w:bottom w:val="none" w:sz="0" w:space="0" w:color="auto"/>
        <w:right w:val="none" w:sz="0" w:space="0" w:color="auto"/>
      </w:divBdr>
    </w:div>
    <w:div w:id="1621573127">
      <w:bodyDiv w:val="1"/>
      <w:marLeft w:val="0"/>
      <w:marRight w:val="0"/>
      <w:marTop w:val="0"/>
      <w:marBottom w:val="0"/>
      <w:divBdr>
        <w:top w:val="none" w:sz="0" w:space="0" w:color="auto"/>
        <w:left w:val="none" w:sz="0" w:space="0" w:color="auto"/>
        <w:bottom w:val="none" w:sz="0" w:space="0" w:color="auto"/>
        <w:right w:val="none" w:sz="0" w:space="0" w:color="auto"/>
      </w:divBdr>
    </w:div>
    <w:div w:id="1622765814">
      <w:bodyDiv w:val="1"/>
      <w:marLeft w:val="0"/>
      <w:marRight w:val="0"/>
      <w:marTop w:val="0"/>
      <w:marBottom w:val="0"/>
      <w:divBdr>
        <w:top w:val="none" w:sz="0" w:space="0" w:color="auto"/>
        <w:left w:val="none" w:sz="0" w:space="0" w:color="auto"/>
        <w:bottom w:val="none" w:sz="0" w:space="0" w:color="auto"/>
        <w:right w:val="none" w:sz="0" w:space="0" w:color="auto"/>
      </w:divBdr>
    </w:div>
    <w:div w:id="1623069188">
      <w:bodyDiv w:val="1"/>
      <w:marLeft w:val="0"/>
      <w:marRight w:val="0"/>
      <w:marTop w:val="0"/>
      <w:marBottom w:val="0"/>
      <w:divBdr>
        <w:top w:val="none" w:sz="0" w:space="0" w:color="auto"/>
        <w:left w:val="none" w:sz="0" w:space="0" w:color="auto"/>
        <w:bottom w:val="none" w:sz="0" w:space="0" w:color="auto"/>
        <w:right w:val="none" w:sz="0" w:space="0" w:color="auto"/>
      </w:divBdr>
    </w:div>
    <w:div w:id="1623415088">
      <w:bodyDiv w:val="1"/>
      <w:marLeft w:val="0"/>
      <w:marRight w:val="0"/>
      <w:marTop w:val="0"/>
      <w:marBottom w:val="0"/>
      <w:divBdr>
        <w:top w:val="none" w:sz="0" w:space="0" w:color="auto"/>
        <w:left w:val="none" w:sz="0" w:space="0" w:color="auto"/>
        <w:bottom w:val="none" w:sz="0" w:space="0" w:color="auto"/>
        <w:right w:val="none" w:sz="0" w:space="0" w:color="auto"/>
      </w:divBdr>
    </w:div>
    <w:div w:id="1623924246">
      <w:bodyDiv w:val="1"/>
      <w:marLeft w:val="0"/>
      <w:marRight w:val="0"/>
      <w:marTop w:val="0"/>
      <w:marBottom w:val="0"/>
      <w:divBdr>
        <w:top w:val="none" w:sz="0" w:space="0" w:color="auto"/>
        <w:left w:val="none" w:sz="0" w:space="0" w:color="auto"/>
        <w:bottom w:val="none" w:sz="0" w:space="0" w:color="auto"/>
        <w:right w:val="none" w:sz="0" w:space="0" w:color="auto"/>
      </w:divBdr>
    </w:div>
    <w:div w:id="1623993914">
      <w:bodyDiv w:val="1"/>
      <w:marLeft w:val="0"/>
      <w:marRight w:val="0"/>
      <w:marTop w:val="0"/>
      <w:marBottom w:val="0"/>
      <w:divBdr>
        <w:top w:val="none" w:sz="0" w:space="0" w:color="auto"/>
        <w:left w:val="none" w:sz="0" w:space="0" w:color="auto"/>
        <w:bottom w:val="none" w:sz="0" w:space="0" w:color="auto"/>
        <w:right w:val="none" w:sz="0" w:space="0" w:color="auto"/>
      </w:divBdr>
    </w:div>
    <w:div w:id="1624775202">
      <w:bodyDiv w:val="1"/>
      <w:marLeft w:val="0"/>
      <w:marRight w:val="0"/>
      <w:marTop w:val="0"/>
      <w:marBottom w:val="0"/>
      <w:divBdr>
        <w:top w:val="none" w:sz="0" w:space="0" w:color="auto"/>
        <w:left w:val="none" w:sz="0" w:space="0" w:color="auto"/>
        <w:bottom w:val="none" w:sz="0" w:space="0" w:color="auto"/>
        <w:right w:val="none" w:sz="0" w:space="0" w:color="auto"/>
      </w:divBdr>
    </w:div>
    <w:div w:id="1624846834">
      <w:bodyDiv w:val="1"/>
      <w:marLeft w:val="0"/>
      <w:marRight w:val="0"/>
      <w:marTop w:val="0"/>
      <w:marBottom w:val="0"/>
      <w:divBdr>
        <w:top w:val="none" w:sz="0" w:space="0" w:color="auto"/>
        <w:left w:val="none" w:sz="0" w:space="0" w:color="auto"/>
        <w:bottom w:val="none" w:sz="0" w:space="0" w:color="auto"/>
        <w:right w:val="none" w:sz="0" w:space="0" w:color="auto"/>
      </w:divBdr>
    </w:div>
    <w:div w:id="1625428366">
      <w:bodyDiv w:val="1"/>
      <w:marLeft w:val="0"/>
      <w:marRight w:val="0"/>
      <w:marTop w:val="0"/>
      <w:marBottom w:val="0"/>
      <w:divBdr>
        <w:top w:val="none" w:sz="0" w:space="0" w:color="auto"/>
        <w:left w:val="none" w:sz="0" w:space="0" w:color="auto"/>
        <w:bottom w:val="none" w:sz="0" w:space="0" w:color="auto"/>
        <w:right w:val="none" w:sz="0" w:space="0" w:color="auto"/>
      </w:divBdr>
    </w:div>
    <w:div w:id="1625576221">
      <w:bodyDiv w:val="1"/>
      <w:marLeft w:val="0"/>
      <w:marRight w:val="0"/>
      <w:marTop w:val="0"/>
      <w:marBottom w:val="0"/>
      <w:divBdr>
        <w:top w:val="none" w:sz="0" w:space="0" w:color="auto"/>
        <w:left w:val="none" w:sz="0" w:space="0" w:color="auto"/>
        <w:bottom w:val="none" w:sz="0" w:space="0" w:color="auto"/>
        <w:right w:val="none" w:sz="0" w:space="0" w:color="auto"/>
      </w:divBdr>
    </w:div>
    <w:div w:id="1626500440">
      <w:bodyDiv w:val="1"/>
      <w:marLeft w:val="0"/>
      <w:marRight w:val="0"/>
      <w:marTop w:val="0"/>
      <w:marBottom w:val="0"/>
      <w:divBdr>
        <w:top w:val="none" w:sz="0" w:space="0" w:color="auto"/>
        <w:left w:val="none" w:sz="0" w:space="0" w:color="auto"/>
        <w:bottom w:val="none" w:sz="0" w:space="0" w:color="auto"/>
        <w:right w:val="none" w:sz="0" w:space="0" w:color="auto"/>
      </w:divBdr>
    </w:div>
    <w:div w:id="1626619497">
      <w:bodyDiv w:val="1"/>
      <w:marLeft w:val="0"/>
      <w:marRight w:val="0"/>
      <w:marTop w:val="0"/>
      <w:marBottom w:val="0"/>
      <w:divBdr>
        <w:top w:val="none" w:sz="0" w:space="0" w:color="auto"/>
        <w:left w:val="none" w:sz="0" w:space="0" w:color="auto"/>
        <w:bottom w:val="none" w:sz="0" w:space="0" w:color="auto"/>
        <w:right w:val="none" w:sz="0" w:space="0" w:color="auto"/>
      </w:divBdr>
    </w:div>
    <w:div w:id="1626812113">
      <w:bodyDiv w:val="1"/>
      <w:marLeft w:val="0"/>
      <w:marRight w:val="0"/>
      <w:marTop w:val="0"/>
      <w:marBottom w:val="0"/>
      <w:divBdr>
        <w:top w:val="none" w:sz="0" w:space="0" w:color="auto"/>
        <w:left w:val="none" w:sz="0" w:space="0" w:color="auto"/>
        <w:bottom w:val="none" w:sz="0" w:space="0" w:color="auto"/>
        <w:right w:val="none" w:sz="0" w:space="0" w:color="auto"/>
      </w:divBdr>
    </w:div>
    <w:div w:id="1626959304">
      <w:bodyDiv w:val="1"/>
      <w:marLeft w:val="0"/>
      <w:marRight w:val="0"/>
      <w:marTop w:val="0"/>
      <w:marBottom w:val="0"/>
      <w:divBdr>
        <w:top w:val="none" w:sz="0" w:space="0" w:color="auto"/>
        <w:left w:val="none" w:sz="0" w:space="0" w:color="auto"/>
        <w:bottom w:val="none" w:sz="0" w:space="0" w:color="auto"/>
        <w:right w:val="none" w:sz="0" w:space="0" w:color="auto"/>
      </w:divBdr>
    </w:div>
    <w:div w:id="1627470618">
      <w:bodyDiv w:val="1"/>
      <w:marLeft w:val="0"/>
      <w:marRight w:val="0"/>
      <w:marTop w:val="0"/>
      <w:marBottom w:val="0"/>
      <w:divBdr>
        <w:top w:val="none" w:sz="0" w:space="0" w:color="auto"/>
        <w:left w:val="none" w:sz="0" w:space="0" w:color="auto"/>
        <w:bottom w:val="none" w:sz="0" w:space="0" w:color="auto"/>
        <w:right w:val="none" w:sz="0" w:space="0" w:color="auto"/>
      </w:divBdr>
    </w:div>
    <w:div w:id="1628658230">
      <w:bodyDiv w:val="1"/>
      <w:marLeft w:val="0"/>
      <w:marRight w:val="0"/>
      <w:marTop w:val="0"/>
      <w:marBottom w:val="0"/>
      <w:divBdr>
        <w:top w:val="none" w:sz="0" w:space="0" w:color="auto"/>
        <w:left w:val="none" w:sz="0" w:space="0" w:color="auto"/>
        <w:bottom w:val="none" w:sz="0" w:space="0" w:color="auto"/>
        <w:right w:val="none" w:sz="0" w:space="0" w:color="auto"/>
      </w:divBdr>
    </w:div>
    <w:div w:id="1629627941">
      <w:bodyDiv w:val="1"/>
      <w:marLeft w:val="0"/>
      <w:marRight w:val="0"/>
      <w:marTop w:val="0"/>
      <w:marBottom w:val="0"/>
      <w:divBdr>
        <w:top w:val="none" w:sz="0" w:space="0" w:color="auto"/>
        <w:left w:val="none" w:sz="0" w:space="0" w:color="auto"/>
        <w:bottom w:val="none" w:sz="0" w:space="0" w:color="auto"/>
        <w:right w:val="none" w:sz="0" w:space="0" w:color="auto"/>
      </w:divBdr>
    </w:div>
    <w:div w:id="1630208623">
      <w:bodyDiv w:val="1"/>
      <w:marLeft w:val="0"/>
      <w:marRight w:val="0"/>
      <w:marTop w:val="0"/>
      <w:marBottom w:val="0"/>
      <w:divBdr>
        <w:top w:val="none" w:sz="0" w:space="0" w:color="auto"/>
        <w:left w:val="none" w:sz="0" w:space="0" w:color="auto"/>
        <w:bottom w:val="none" w:sz="0" w:space="0" w:color="auto"/>
        <w:right w:val="none" w:sz="0" w:space="0" w:color="auto"/>
      </w:divBdr>
    </w:div>
    <w:div w:id="1631009707">
      <w:bodyDiv w:val="1"/>
      <w:marLeft w:val="0"/>
      <w:marRight w:val="0"/>
      <w:marTop w:val="0"/>
      <w:marBottom w:val="0"/>
      <w:divBdr>
        <w:top w:val="none" w:sz="0" w:space="0" w:color="auto"/>
        <w:left w:val="none" w:sz="0" w:space="0" w:color="auto"/>
        <w:bottom w:val="none" w:sz="0" w:space="0" w:color="auto"/>
        <w:right w:val="none" w:sz="0" w:space="0" w:color="auto"/>
      </w:divBdr>
    </w:div>
    <w:div w:id="1632590684">
      <w:bodyDiv w:val="1"/>
      <w:marLeft w:val="0"/>
      <w:marRight w:val="0"/>
      <w:marTop w:val="0"/>
      <w:marBottom w:val="0"/>
      <w:divBdr>
        <w:top w:val="none" w:sz="0" w:space="0" w:color="auto"/>
        <w:left w:val="none" w:sz="0" w:space="0" w:color="auto"/>
        <w:bottom w:val="none" w:sz="0" w:space="0" w:color="auto"/>
        <w:right w:val="none" w:sz="0" w:space="0" w:color="auto"/>
      </w:divBdr>
    </w:div>
    <w:div w:id="1632904639">
      <w:bodyDiv w:val="1"/>
      <w:marLeft w:val="0"/>
      <w:marRight w:val="0"/>
      <w:marTop w:val="0"/>
      <w:marBottom w:val="0"/>
      <w:divBdr>
        <w:top w:val="none" w:sz="0" w:space="0" w:color="auto"/>
        <w:left w:val="none" w:sz="0" w:space="0" w:color="auto"/>
        <w:bottom w:val="none" w:sz="0" w:space="0" w:color="auto"/>
        <w:right w:val="none" w:sz="0" w:space="0" w:color="auto"/>
      </w:divBdr>
    </w:div>
    <w:div w:id="1634017345">
      <w:bodyDiv w:val="1"/>
      <w:marLeft w:val="0"/>
      <w:marRight w:val="0"/>
      <w:marTop w:val="0"/>
      <w:marBottom w:val="0"/>
      <w:divBdr>
        <w:top w:val="none" w:sz="0" w:space="0" w:color="auto"/>
        <w:left w:val="none" w:sz="0" w:space="0" w:color="auto"/>
        <w:bottom w:val="none" w:sz="0" w:space="0" w:color="auto"/>
        <w:right w:val="none" w:sz="0" w:space="0" w:color="auto"/>
      </w:divBdr>
    </w:div>
    <w:div w:id="1635017772">
      <w:bodyDiv w:val="1"/>
      <w:marLeft w:val="0"/>
      <w:marRight w:val="0"/>
      <w:marTop w:val="0"/>
      <w:marBottom w:val="0"/>
      <w:divBdr>
        <w:top w:val="none" w:sz="0" w:space="0" w:color="auto"/>
        <w:left w:val="none" w:sz="0" w:space="0" w:color="auto"/>
        <w:bottom w:val="none" w:sz="0" w:space="0" w:color="auto"/>
        <w:right w:val="none" w:sz="0" w:space="0" w:color="auto"/>
      </w:divBdr>
    </w:div>
    <w:div w:id="1635523859">
      <w:bodyDiv w:val="1"/>
      <w:marLeft w:val="0"/>
      <w:marRight w:val="0"/>
      <w:marTop w:val="0"/>
      <w:marBottom w:val="0"/>
      <w:divBdr>
        <w:top w:val="none" w:sz="0" w:space="0" w:color="auto"/>
        <w:left w:val="none" w:sz="0" w:space="0" w:color="auto"/>
        <w:bottom w:val="none" w:sz="0" w:space="0" w:color="auto"/>
        <w:right w:val="none" w:sz="0" w:space="0" w:color="auto"/>
      </w:divBdr>
    </w:div>
    <w:div w:id="1635672813">
      <w:bodyDiv w:val="1"/>
      <w:marLeft w:val="0"/>
      <w:marRight w:val="0"/>
      <w:marTop w:val="0"/>
      <w:marBottom w:val="0"/>
      <w:divBdr>
        <w:top w:val="none" w:sz="0" w:space="0" w:color="auto"/>
        <w:left w:val="none" w:sz="0" w:space="0" w:color="auto"/>
        <w:bottom w:val="none" w:sz="0" w:space="0" w:color="auto"/>
        <w:right w:val="none" w:sz="0" w:space="0" w:color="auto"/>
      </w:divBdr>
    </w:div>
    <w:div w:id="1635914659">
      <w:bodyDiv w:val="1"/>
      <w:marLeft w:val="0"/>
      <w:marRight w:val="0"/>
      <w:marTop w:val="0"/>
      <w:marBottom w:val="0"/>
      <w:divBdr>
        <w:top w:val="none" w:sz="0" w:space="0" w:color="auto"/>
        <w:left w:val="none" w:sz="0" w:space="0" w:color="auto"/>
        <w:bottom w:val="none" w:sz="0" w:space="0" w:color="auto"/>
        <w:right w:val="none" w:sz="0" w:space="0" w:color="auto"/>
      </w:divBdr>
    </w:div>
    <w:div w:id="1636179462">
      <w:bodyDiv w:val="1"/>
      <w:marLeft w:val="0"/>
      <w:marRight w:val="0"/>
      <w:marTop w:val="0"/>
      <w:marBottom w:val="0"/>
      <w:divBdr>
        <w:top w:val="none" w:sz="0" w:space="0" w:color="auto"/>
        <w:left w:val="none" w:sz="0" w:space="0" w:color="auto"/>
        <w:bottom w:val="none" w:sz="0" w:space="0" w:color="auto"/>
        <w:right w:val="none" w:sz="0" w:space="0" w:color="auto"/>
      </w:divBdr>
    </w:div>
    <w:div w:id="1636525629">
      <w:bodyDiv w:val="1"/>
      <w:marLeft w:val="0"/>
      <w:marRight w:val="0"/>
      <w:marTop w:val="0"/>
      <w:marBottom w:val="0"/>
      <w:divBdr>
        <w:top w:val="none" w:sz="0" w:space="0" w:color="auto"/>
        <w:left w:val="none" w:sz="0" w:space="0" w:color="auto"/>
        <w:bottom w:val="none" w:sz="0" w:space="0" w:color="auto"/>
        <w:right w:val="none" w:sz="0" w:space="0" w:color="auto"/>
      </w:divBdr>
    </w:div>
    <w:div w:id="1636791609">
      <w:bodyDiv w:val="1"/>
      <w:marLeft w:val="0"/>
      <w:marRight w:val="0"/>
      <w:marTop w:val="0"/>
      <w:marBottom w:val="0"/>
      <w:divBdr>
        <w:top w:val="none" w:sz="0" w:space="0" w:color="auto"/>
        <w:left w:val="none" w:sz="0" w:space="0" w:color="auto"/>
        <w:bottom w:val="none" w:sz="0" w:space="0" w:color="auto"/>
        <w:right w:val="none" w:sz="0" w:space="0" w:color="auto"/>
      </w:divBdr>
    </w:div>
    <w:div w:id="1637370441">
      <w:bodyDiv w:val="1"/>
      <w:marLeft w:val="0"/>
      <w:marRight w:val="0"/>
      <w:marTop w:val="0"/>
      <w:marBottom w:val="0"/>
      <w:divBdr>
        <w:top w:val="none" w:sz="0" w:space="0" w:color="auto"/>
        <w:left w:val="none" w:sz="0" w:space="0" w:color="auto"/>
        <w:bottom w:val="none" w:sz="0" w:space="0" w:color="auto"/>
        <w:right w:val="none" w:sz="0" w:space="0" w:color="auto"/>
      </w:divBdr>
    </w:div>
    <w:div w:id="1637569110">
      <w:bodyDiv w:val="1"/>
      <w:marLeft w:val="0"/>
      <w:marRight w:val="0"/>
      <w:marTop w:val="0"/>
      <w:marBottom w:val="0"/>
      <w:divBdr>
        <w:top w:val="none" w:sz="0" w:space="0" w:color="auto"/>
        <w:left w:val="none" w:sz="0" w:space="0" w:color="auto"/>
        <w:bottom w:val="none" w:sz="0" w:space="0" w:color="auto"/>
        <w:right w:val="none" w:sz="0" w:space="0" w:color="auto"/>
      </w:divBdr>
    </w:div>
    <w:div w:id="1638299212">
      <w:bodyDiv w:val="1"/>
      <w:marLeft w:val="0"/>
      <w:marRight w:val="0"/>
      <w:marTop w:val="0"/>
      <w:marBottom w:val="0"/>
      <w:divBdr>
        <w:top w:val="none" w:sz="0" w:space="0" w:color="auto"/>
        <w:left w:val="none" w:sz="0" w:space="0" w:color="auto"/>
        <w:bottom w:val="none" w:sz="0" w:space="0" w:color="auto"/>
        <w:right w:val="none" w:sz="0" w:space="0" w:color="auto"/>
      </w:divBdr>
    </w:div>
    <w:div w:id="1638795440">
      <w:bodyDiv w:val="1"/>
      <w:marLeft w:val="0"/>
      <w:marRight w:val="0"/>
      <w:marTop w:val="0"/>
      <w:marBottom w:val="0"/>
      <w:divBdr>
        <w:top w:val="none" w:sz="0" w:space="0" w:color="auto"/>
        <w:left w:val="none" w:sz="0" w:space="0" w:color="auto"/>
        <w:bottom w:val="none" w:sz="0" w:space="0" w:color="auto"/>
        <w:right w:val="none" w:sz="0" w:space="0" w:color="auto"/>
      </w:divBdr>
    </w:div>
    <w:div w:id="1639384677">
      <w:bodyDiv w:val="1"/>
      <w:marLeft w:val="0"/>
      <w:marRight w:val="0"/>
      <w:marTop w:val="0"/>
      <w:marBottom w:val="0"/>
      <w:divBdr>
        <w:top w:val="none" w:sz="0" w:space="0" w:color="auto"/>
        <w:left w:val="none" w:sz="0" w:space="0" w:color="auto"/>
        <w:bottom w:val="none" w:sz="0" w:space="0" w:color="auto"/>
        <w:right w:val="none" w:sz="0" w:space="0" w:color="auto"/>
      </w:divBdr>
    </w:div>
    <w:div w:id="1640955926">
      <w:bodyDiv w:val="1"/>
      <w:marLeft w:val="0"/>
      <w:marRight w:val="0"/>
      <w:marTop w:val="0"/>
      <w:marBottom w:val="0"/>
      <w:divBdr>
        <w:top w:val="none" w:sz="0" w:space="0" w:color="auto"/>
        <w:left w:val="none" w:sz="0" w:space="0" w:color="auto"/>
        <w:bottom w:val="none" w:sz="0" w:space="0" w:color="auto"/>
        <w:right w:val="none" w:sz="0" w:space="0" w:color="auto"/>
      </w:divBdr>
    </w:div>
    <w:div w:id="1641501614">
      <w:bodyDiv w:val="1"/>
      <w:marLeft w:val="0"/>
      <w:marRight w:val="0"/>
      <w:marTop w:val="0"/>
      <w:marBottom w:val="0"/>
      <w:divBdr>
        <w:top w:val="none" w:sz="0" w:space="0" w:color="auto"/>
        <w:left w:val="none" w:sz="0" w:space="0" w:color="auto"/>
        <w:bottom w:val="none" w:sz="0" w:space="0" w:color="auto"/>
        <w:right w:val="none" w:sz="0" w:space="0" w:color="auto"/>
      </w:divBdr>
    </w:div>
    <w:div w:id="1641570676">
      <w:bodyDiv w:val="1"/>
      <w:marLeft w:val="0"/>
      <w:marRight w:val="0"/>
      <w:marTop w:val="0"/>
      <w:marBottom w:val="0"/>
      <w:divBdr>
        <w:top w:val="none" w:sz="0" w:space="0" w:color="auto"/>
        <w:left w:val="none" w:sz="0" w:space="0" w:color="auto"/>
        <w:bottom w:val="none" w:sz="0" w:space="0" w:color="auto"/>
        <w:right w:val="none" w:sz="0" w:space="0" w:color="auto"/>
      </w:divBdr>
    </w:div>
    <w:div w:id="1642492416">
      <w:bodyDiv w:val="1"/>
      <w:marLeft w:val="0"/>
      <w:marRight w:val="0"/>
      <w:marTop w:val="0"/>
      <w:marBottom w:val="0"/>
      <w:divBdr>
        <w:top w:val="none" w:sz="0" w:space="0" w:color="auto"/>
        <w:left w:val="none" w:sz="0" w:space="0" w:color="auto"/>
        <w:bottom w:val="none" w:sz="0" w:space="0" w:color="auto"/>
        <w:right w:val="none" w:sz="0" w:space="0" w:color="auto"/>
      </w:divBdr>
    </w:div>
    <w:div w:id="1643264829">
      <w:bodyDiv w:val="1"/>
      <w:marLeft w:val="0"/>
      <w:marRight w:val="0"/>
      <w:marTop w:val="0"/>
      <w:marBottom w:val="0"/>
      <w:divBdr>
        <w:top w:val="none" w:sz="0" w:space="0" w:color="auto"/>
        <w:left w:val="none" w:sz="0" w:space="0" w:color="auto"/>
        <w:bottom w:val="none" w:sz="0" w:space="0" w:color="auto"/>
        <w:right w:val="none" w:sz="0" w:space="0" w:color="auto"/>
      </w:divBdr>
    </w:div>
    <w:div w:id="1643538750">
      <w:bodyDiv w:val="1"/>
      <w:marLeft w:val="0"/>
      <w:marRight w:val="0"/>
      <w:marTop w:val="0"/>
      <w:marBottom w:val="0"/>
      <w:divBdr>
        <w:top w:val="none" w:sz="0" w:space="0" w:color="auto"/>
        <w:left w:val="none" w:sz="0" w:space="0" w:color="auto"/>
        <w:bottom w:val="none" w:sz="0" w:space="0" w:color="auto"/>
        <w:right w:val="none" w:sz="0" w:space="0" w:color="auto"/>
      </w:divBdr>
    </w:div>
    <w:div w:id="1645767593">
      <w:bodyDiv w:val="1"/>
      <w:marLeft w:val="0"/>
      <w:marRight w:val="0"/>
      <w:marTop w:val="0"/>
      <w:marBottom w:val="0"/>
      <w:divBdr>
        <w:top w:val="none" w:sz="0" w:space="0" w:color="auto"/>
        <w:left w:val="none" w:sz="0" w:space="0" w:color="auto"/>
        <w:bottom w:val="none" w:sz="0" w:space="0" w:color="auto"/>
        <w:right w:val="none" w:sz="0" w:space="0" w:color="auto"/>
      </w:divBdr>
    </w:div>
    <w:div w:id="1646079210">
      <w:bodyDiv w:val="1"/>
      <w:marLeft w:val="0"/>
      <w:marRight w:val="0"/>
      <w:marTop w:val="0"/>
      <w:marBottom w:val="0"/>
      <w:divBdr>
        <w:top w:val="none" w:sz="0" w:space="0" w:color="auto"/>
        <w:left w:val="none" w:sz="0" w:space="0" w:color="auto"/>
        <w:bottom w:val="none" w:sz="0" w:space="0" w:color="auto"/>
        <w:right w:val="none" w:sz="0" w:space="0" w:color="auto"/>
      </w:divBdr>
    </w:div>
    <w:div w:id="1646158393">
      <w:bodyDiv w:val="1"/>
      <w:marLeft w:val="0"/>
      <w:marRight w:val="0"/>
      <w:marTop w:val="0"/>
      <w:marBottom w:val="0"/>
      <w:divBdr>
        <w:top w:val="none" w:sz="0" w:space="0" w:color="auto"/>
        <w:left w:val="none" w:sz="0" w:space="0" w:color="auto"/>
        <w:bottom w:val="none" w:sz="0" w:space="0" w:color="auto"/>
        <w:right w:val="none" w:sz="0" w:space="0" w:color="auto"/>
      </w:divBdr>
    </w:div>
    <w:div w:id="1646617357">
      <w:bodyDiv w:val="1"/>
      <w:marLeft w:val="0"/>
      <w:marRight w:val="0"/>
      <w:marTop w:val="0"/>
      <w:marBottom w:val="0"/>
      <w:divBdr>
        <w:top w:val="none" w:sz="0" w:space="0" w:color="auto"/>
        <w:left w:val="none" w:sz="0" w:space="0" w:color="auto"/>
        <w:bottom w:val="none" w:sz="0" w:space="0" w:color="auto"/>
        <w:right w:val="none" w:sz="0" w:space="0" w:color="auto"/>
      </w:divBdr>
    </w:div>
    <w:div w:id="1648362769">
      <w:bodyDiv w:val="1"/>
      <w:marLeft w:val="0"/>
      <w:marRight w:val="0"/>
      <w:marTop w:val="0"/>
      <w:marBottom w:val="0"/>
      <w:divBdr>
        <w:top w:val="none" w:sz="0" w:space="0" w:color="auto"/>
        <w:left w:val="none" w:sz="0" w:space="0" w:color="auto"/>
        <w:bottom w:val="none" w:sz="0" w:space="0" w:color="auto"/>
        <w:right w:val="none" w:sz="0" w:space="0" w:color="auto"/>
      </w:divBdr>
    </w:div>
    <w:div w:id="1648628764">
      <w:bodyDiv w:val="1"/>
      <w:marLeft w:val="0"/>
      <w:marRight w:val="0"/>
      <w:marTop w:val="0"/>
      <w:marBottom w:val="0"/>
      <w:divBdr>
        <w:top w:val="none" w:sz="0" w:space="0" w:color="auto"/>
        <w:left w:val="none" w:sz="0" w:space="0" w:color="auto"/>
        <w:bottom w:val="none" w:sz="0" w:space="0" w:color="auto"/>
        <w:right w:val="none" w:sz="0" w:space="0" w:color="auto"/>
      </w:divBdr>
    </w:div>
    <w:div w:id="1649165424">
      <w:bodyDiv w:val="1"/>
      <w:marLeft w:val="0"/>
      <w:marRight w:val="0"/>
      <w:marTop w:val="0"/>
      <w:marBottom w:val="0"/>
      <w:divBdr>
        <w:top w:val="none" w:sz="0" w:space="0" w:color="auto"/>
        <w:left w:val="none" w:sz="0" w:space="0" w:color="auto"/>
        <w:bottom w:val="none" w:sz="0" w:space="0" w:color="auto"/>
        <w:right w:val="none" w:sz="0" w:space="0" w:color="auto"/>
      </w:divBdr>
    </w:div>
    <w:div w:id="1650283982">
      <w:bodyDiv w:val="1"/>
      <w:marLeft w:val="0"/>
      <w:marRight w:val="0"/>
      <w:marTop w:val="0"/>
      <w:marBottom w:val="0"/>
      <w:divBdr>
        <w:top w:val="none" w:sz="0" w:space="0" w:color="auto"/>
        <w:left w:val="none" w:sz="0" w:space="0" w:color="auto"/>
        <w:bottom w:val="none" w:sz="0" w:space="0" w:color="auto"/>
        <w:right w:val="none" w:sz="0" w:space="0" w:color="auto"/>
      </w:divBdr>
    </w:div>
    <w:div w:id="1651862957">
      <w:bodyDiv w:val="1"/>
      <w:marLeft w:val="0"/>
      <w:marRight w:val="0"/>
      <w:marTop w:val="0"/>
      <w:marBottom w:val="0"/>
      <w:divBdr>
        <w:top w:val="none" w:sz="0" w:space="0" w:color="auto"/>
        <w:left w:val="none" w:sz="0" w:space="0" w:color="auto"/>
        <w:bottom w:val="none" w:sz="0" w:space="0" w:color="auto"/>
        <w:right w:val="none" w:sz="0" w:space="0" w:color="auto"/>
      </w:divBdr>
    </w:div>
    <w:div w:id="1653219212">
      <w:bodyDiv w:val="1"/>
      <w:marLeft w:val="0"/>
      <w:marRight w:val="0"/>
      <w:marTop w:val="0"/>
      <w:marBottom w:val="0"/>
      <w:divBdr>
        <w:top w:val="none" w:sz="0" w:space="0" w:color="auto"/>
        <w:left w:val="none" w:sz="0" w:space="0" w:color="auto"/>
        <w:bottom w:val="none" w:sz="0" w:space="0" w:color="auto"/>
        <w:right w:val="none" w:sz="0" w:space="0" w:color="auto"/>
      </w:divBdr>
    </w:div>
    <w:div w:id="1653409471">
      <w:bodyDiv w:val="1"/>
      <w:marLeft w:val="0"/>
      <w:marRight w:val="0"/>
      <w:marTop w:val="0"/>
      <w:marBottom w:val="0"/>
      <w:divBdr>
        <w:top w:val="none" w:sz="0" w:space="0" w:color="auto"/>
        <w:left w:val="none" w:sz="0" w:space="0" w:color="auto"/>
        <w:bottom w:val="none" w:sz="0" w:space="0" w:color="auto"/>
        <w:right w:val="none" w:sz="0" w:space="0" w:color="auto"/>
      </w:divBdr>
    </w:div>
    <w:div w:id="1653632258">
      <w:bodyDiv w:val="1"/>
      <w:marLeft w:val="0"/>
      <w:marRight w:val="0"/>
      <w:marTop w:val="0"/>
      <w:marBottom w:val="0"/>
      <w:divBdr>
        <w:top w:val="none" w:sz="0" w:space="0" w:color="auto"/>
        <w:left w:val="none" w:sz="0" w:space="0" w:color="auto"/>
        <w:bottom w:val="none" w:sz="0" w:space="0" w:color="auto"/>
        <w:right w:val="none" w:sz="0" w:space="0" w:color="auto"/>
      </w:divBdr>
    </w:div>
    <w:div w:id="1653755110">
      <w:bodyDiv w:val="1"/>
      <w:marLeft w:val="0"/>
      <w:marRight w:val="0"/>
      <w:marTop w:val="0"/>
      <w:marBottom w:val="0"/>
      <w:divBdr>
        <w:top w:val="none" w:sz="0" w:space="0" w:color="auto"/>
        <w:left w:val="none" w:sz="0" w:space="0" w:color="auto"/>
        <w:bottom w:val="none" w:sz="0" w:space="0" w:color="auto"/>
        <w:right w:val="none" w:sz="0" w:space="0" w:color="auto"/>
      </w:divBdr>
    </w:div>
    <w:div w:id="1654022031">
      <w:bodyDiv w:val="1"/>
      <w:marLeft w:val="0"/>
      <w:marRight w:val="0"/>
      <w:marTop w:val="0"/>
      <w:marBottom w:val="0"/>
      <w:divBdr>
        <w:top w:val="none" w:sz="0" w:space="0" w:color="auto"/>
        <w:left w:val="none" w:sz="0" w:space="0" w:color="auto"/>
        <w:bottom w:val="none" w:sz="0" w:space="0" w:color="auto"/>
        <w:right w:val="none" w:sz="0" w:space="0" w:color="auto"/>
      </w:divBdr>
    </w:div>
    <w:div w:id="1655572966">
      <w:bodyDiv w:val="1"/>
      <w:marLeft w:val="0"/>
      <w:marRight w:val="0"/>
      <w:marTop w:val="0"/>
      <w:marBottom w:val="0"/>
      <w:divBdr>
        <w:top w:val="none" w:sz="0" w:space="0" w:color="auto"/>
        <w:left w:val="none" w:sz="0" w:space="0" w:color="auto"/>
        <w:bottom w:val="none" w:sz="0" w:space="0" w:color="auto"/>
        <w:right w:val="none" w:sz="0" w:space="0" w:color="auto"/>
      </w:divBdr>
    </w:div>
    <w:div w:id="1656492207">
      <w:bodyDiv w:val="1"/>
      <w:marLeft w:val="0"/>
      <w:marRight w:val="0"/>
      <w:marTop w:val="0"/>
      <w:marBottom w:val="0"/>
      <w:divBdr>
        <w:top w:val="none" w:sz="0" w:space="0" w:color="auto"/>
        <w:left w:val="none" w:sz="0" w:space="0" w:color="auto"/>
        <w:bottom w:val="none" w:sz="0" w:space="0" w:color="auto"/>
        <w:right w:val="none" w:sz="0" w:space="0" w:color="auto"/>
      </w:divBdr>
    </w:div>
    <w:div w:id="1656644322">
      <w:bodyDiv w:val="1"/>
      <w:marLeft w:val="0"/>
      <w:marRight w:val="0"/>
      <w:marTop w:val="0"/>
      <w:marBottom w:val="0"/>
      <w:divBdr>
        <w:top w:val="none" w:sz="0" w:space="0" w:color="auto"/>
        <w:left w:val="none" w:sz="0" w:space="0" w:color="auto"/>
        <w:bottom w:val="none" w:sz="0" w:space="0" w:color="auto"/>
        <w:right w:val="none" w:sz="0" w:space="0" w:color="auto"/>
      </w:divBdr>
    </w:div>
    <w:div w:id="1656713841">
      <w:bodyDiv w:val="1"/>
      <w:marLeft w:val="0"/>
      <w:marRight w:val="0"/>
      <w:marTop w:val="0"/>
      <w:marBottom w:val="0"/>
      <w:divBdr>
        <w:top w:val="none" w:sz="0" w:space="0" w:color="auto"/>
        <w:left w:val="none" w:sz="0" w:space="0" w:color="auto"/>
        <w:bottom w:val="none" w:sz="0" w:space="0" w:color="auto"/>
        <w:right w:val="none" w:sz="0" w:space="0" w:color="auto"/>
      </w:divBdr>
    </w:div>
    <w:div w:id="1656760983">
      <w:bodyDiv w:val="1"/>
      <w:marLeft w:val="0"/>
      <w:marRight w:val="0"/>
      <w:marTop w:val="0"/>
      <w:marBottom w:val="0"/>
      <w:divBdr>
        <w:top w:val="none" w:sz="0" w:space="0" w:color="auto"/>
        <w:left w:val="none" w:sz="0" w:space="0" w:color="auto"/>
        <w:bottom w:val="none" w:sz="0" w:space="0" w:color="auto"/>
        <w:right w:val="none" w:sz="0" w:space="0" w:color="auto"/>
      </w:divBdr>
    </w:div>
    <w:div w:id="1657806880">
      <w:bodyDiv w:val="1"/>
      <w:marLeft w:val="0"/>
      <w:marRight w:val="0"/>
      <w:marTop w:val="0"/>
      <w:marBottom w:val="0"/>
      <w:divBdr>
        <w:top w:val="none" w:sz="0" w:space="0" w:color="auto"/>
        <w:left w:val="none" w:sz="0" w:space="0" w:color="auto"/>
        <w:bottom w:val="none" w:sz="0" w:space="0" w:color="auto"/>
        <w:right w:val="none" w:sz="0" w:space="0" w:color="auto"/>
      </w:divBdr>
    </w:div>
    <w:div w:id="1657950004">
      <w:bodyDiv w:val="1"/>
      <w:marLeft w:val="0"/>
      <w:marRight w:val="0"/>
      <w:marTop w:val="0"/>
      <w:marBottom w:val="0"/>
      <w:divBdr>
        <w:top w:val="none" w:sz="0" w:space="0" w:color="auto"/>
        <w:left w:val="none" w:sz="0" w:space="0" w:color="auto"/>
        <w:bottom w:val="none" w:sz="0" w:space="0" w:color="auto"/>
        <w:right w:val="none" w:sz="0" w:space="0" w:color="auto"/>
      </w:divBdr>
    </w:div>
    <w:div w:id="1658071392">
      <w:bodyDiv w:val="1"/>
      <w:marLeft w:val="0"/>
      <w:marRight w:val="0"/>
      <w:marTop w:val="0"/>
      <w:marBottom w:val="0"/>
      <w:divBdr>
        <w:top w:val="none" w:sz="0" w:space="0" w:color="auto"/>
        <w:left w:val="none" w:sz="0" w:space="0" w:color="auto"/>
        <w:bottom w:val="none" w:sz="0" w:space="0" w:color="auto"/>
        <w:right w:val="none" w:sz="0" w:space="0" w:color="auto"/>
      </w:divBdr>
    </w:div>
    <w:div w:id="1660693113">
      <w:bodyDiv w:val="1"/>
      <w:marLeft w:val="0"/>
      <w:marRight w:val="0"/>
      <w:marTop w:val="0"/>
      <w:marBottom w:val="0"/>
      <w:divBdr>
        <w:top w:val="none" w:sz="0" w:space="0" w:color="auto"/>
        <w:left w:val="none" w:sz="0" w:space="0" w:color="auto"/>
        <w:bottom w:val="none" w:sz="0" w:space="0" w:color="auto"/>
        <w:right w:val="none" w:sz="0" w:space="0" w:color="auto"/>
      </w:divBdr>
    </w:div>
    <w:div w:id="1662276942">
      <w:bodyDiv w:val="1"/>
      <w:marLeft w:val="0"/>
      <w:marRight w:val="0"/>
      <w:marTop w:val="0"/>
      <w:marBottom w:val="0"/>
      <w:divBdr>
        <w:top w:val="none" w:sz="0" w:space="0" w:color="auto"/>
        <w:left w:val="none" w:sz="0" w:space="0" w:color="auto"/>
        <w:bottom w:val="none" w:sz="0" w:space="0" w:color="auto"/>
        <w:right w:val="none" w:sz="0" w:space="0" w:color="auto"/>
      </w:divBdr>
    </w:div>
    <w:div w:id="1663122553">
      <w:bodyDiv w:val="1"/>
      <w:marLeft w:val="0"/>
      <w:marRight w:val="0"/>
      <w:marTop w:val="0"/>
      <w:marBottom w:val="0"/>
      <w:divBdr>
        <w:top w:val="none" w:sz="0" w:space="0" w:color="auto"/>
        <w:left w:val="none" w:sz="0" w:space="0" w:color="auto"/>
        <w:bottom w:val="none" w:sz="0" w:space="0" w:color="auto"/>
        <w:right w:val="none" w:sz="0" w:space="0" w:color="auto"/>
      </w:divBdr>
    </w:div>
    <w:div w:id="1663313143">
      <w:bodyDiv w:val="1"/>
      <w:marLeft w:val="0"/>
      <w:marRight w:val="0"/>
      <w:marTop w:val="0"/>
      <w:marBottom w:val="0"/>
      <w:divBdr>
        <w:top w:val="none" w:sz="0" w:space="0" w:color="auto"/>
        <w:left w:val="none" w:sz="0" w:space="0" w:color="auto"/>
        <w:bottom w:val="none" w:sz="0" w:space="0" w:color="auto"/>
        <w:right w:val="none" w:sz="0" w:space="0" w:color="auto"/>
      </w:divBdr>
    </w:div>
    <w:div w:id="1663317423">
      <w:bodyDiv w:val="1"/>
      <w:marLeft w:val="0"/>
      <w:marRight w:val="0"/>
      <w:marTop w:val="0"/>
      <w:marBottom w:val="0"/>
      <w:divBdr>
        <w:top w:val="none" w:sz="0" w:space="0" w:color="auto"/>
        <w:left w:val="none" w:sz="0" w:space="0" w:color="auto"/>
        <w:bottom w:val="none" w:sz="0" w:space="0" w:color="auto"/>
        <w:right w:val="none" w:sz="0" w:space="0" w:color="auto"/>
      </w:divBdr>
    </w:div>
    <w:div w:id="1664237219">
      <w:bodyDiv w:val="1"/>
      <w:marLeft w:val="0"/>
      <w:marRight w:val="0"/>
      <w:marTop w:val="0"/>
      <w:marBottom w:val="0"/>
      <w:divBdr>
        <w:top w:val="none" w:sz="0" w:space="0" w:color="auto"/>
        <w:left w:val="none" w:sz="0" w:space="0" w:color="auto"/>
        <w:bottom w:val="none" w:sz="0" w:space="0" w:color="auto"/>
        <w:right w:val="none" w:sz="0" w:space="0" w:color="auto"/>
      </w:divBdr>
    </w:div>
    <w:div w:id="1664357890">
      <w:bodyDiv w:val="1"/>
      <w:marLeft w:val="0"/>
      <w:marRight w:val="0"/>
      <w:marTop w:val="0"/>
      <w:marBottom w:val="0"/>
      <w:divBdr>
        <w:top w:val="none" w:sz="0" w:space="0" w:color="auto"/>
        <w:left w:val="none" w:sz="0" w:space="0" w:color="auto"/>
        <w:bottom w:val="none" w:sz="0" w:space="0" w:color="auto"/>
        <w:right w:val="none" w:sz="0" w:space="0" w:color="auto"/>
      </w:divBdr>
    </w:div>
    <w:div w:id="1664433793">
      <w:bodyDiv w:val="1"/>
      <w:marLeft w:val="0"/>
      <w:marRight w:val="0"/>
      <w:marTop w:val="0"/>
      <w:marBottom w:val="0"/>
      <w:divBdr>
        <w:top w:val="none" w:sz="0" w:space="0" w:color="auto"/>
        <w:left w:val="none" w:sz="0" w:space="0" w:color="auto"/>
        <w:bottom w:val="none" w:sz="0" w:space="0" w:color="auto"/>
        <w:right w:val="none" w:sz="0" w:space="0" w:color="auto"/>
      </w:divBdr>
    </w:div>
    <w:div w:id="1665013497">
      <w:bodyDiv w:val="1"/>
      <w:marLeft w:val="0"/>
      <w:marRight w:val="0"/>
      <w:marTop w:val="0"/>
      <w:marBottom w:val="0"/>
      <w:divBdr>
        <w:top w:val="none" w:sz="0" w:space="0" w:color="auto"/>
        <w:left w:val="none" w:sz="0" w:space="0" w:color="auto"/>
        <w:bottom w:val="none" w:sz="0" w:space="0" w:color="auto"/>
        <w:right w:val="none" w:sz="0" w:space="0" w:color="auto"/>
      </w:divBdr>
    </w:div>
    <w:div w:id="1666006797">
      <w:bodyDiv w:val="1"/>
      <w:marLeft w:val="0"/>
      <w:marRight w:val="0"/>
      <w:marTop w:val="0"/>
      <w:marBottom w:val="0"/>
      <w:divBdr>
        <w:top w:val="none" w:sz="0" w:space="0" w:color="auto"/>
        <w:left w:val="none" w:sz="0" w:space="0" w:color="auto"/>
        <w:bottom w:val="none" w:sz="0" w:space="0" w:color="auto"/>
        <w:right w:val="none" w:sz="0" w:space="0" w:color="auto"/>
      </w:divBdr>
    </w:div>
    <w:div w:id="1668094008">
      <w:bodyDiv w:val="1"/>
      <w:marLeft w:val="0"/>
      <w:marRight w:val="0"/>
      <w:marTop w:val="0"/>
      <w:marBottom w:val="0"/>
      <w:divBdr>
        <w:top w:val="none" w:sz="0" w:space="0" w:color="auto"/>
        <w:left w:val="none" w:sz="0" w:space="0" w:color="auto"/>
        <w:bottom w:val="none" w:sz="0" w:space="0" w:color="auto"/>
        <w:right w:val="none" w:sz="0" w:space="0" w:color="auto"/>
      </w:divBdr>
    </w:div>
    <w:div w:id="1668437599">
      <w:bodyDiv w:val="1"/>
      <w:marLeft w:val="0"/>
      <w:marRight w:val="0"/>
      <w:marTop w:val="0"/>
      <w:marBottom w:val="0"/>
      <w:divBdr>
        <w:top w:val="none" w:sz="0" w:space="0" w:color="auto"/>
        <w:left w:val="none" w:sz="0" w:space="0" w:color="auto"/>
        <w:bottom w:val="none" w:sz="0" w:space="0" w:color="auto"/>
        <w:right w:val="none" w:sz="0" w:space="0" w:color="auto"/>
      </w:divBdr>
    </w:div>
    <w:div w:id="1670984876">
      <w:bodyDiv w:val="1"/>
      <w:marLeft w:val="0"/>
      <w:marRight w:val="0"/>
      <w:marTop w:val="0"/>
      <w:marBottom w:val="0"/>
      <w:divBdr>
        <w:top w:val="none" w:sz="0" w:space="0" w:color="auto"/>
        <w:left w:val="none" w:sz="0" w:space="0" w:color="auto"/>
        <w:bottom w:val="none" w:sz="0" w:space="0" w:color="auto"/>
        <w:right w:val="none" w:sz="0" w:space="0" w:color="auto"/>
      </w:divBdr>
    </w:div>
    <w:div w:id="1670985900">
      <w:bodyDiv w:val="1"/>
      <w:marLeft w:val="0"/>
      <w:marRight w:val="0"/>
      <w:marTop w:val="0"/>
      <w:marBottom w:val="0"/>
      <w:divBdr>
        <w:top w:val="none" w:sz="0" w:space="0" w:color="auto"/>
        <w:left w:val="none" w:sz="0" w:space="0" w:color="auto"/>
        <w:bottom w:val="none" w:sz="0" w:space="0" w:color="auto"/>
        <w:right w:val="none" w:sz="0" w:space="0" w:color="auto"/>
      </w:divBdr>
    </w:div>
    <w:div w:id="1671055394">
      <w:bodyDiv w:val="1"/>
      <w:marLeft w:val="0"/>
      <w:marRight w:val="0"/>
      <w:marTop w:val="0"/>
      <w:marBottom w:val="0"/>
      <w:divBdr>
        <w:top w:val="none" w:sz="0" w:space="0" w:color="auto"/>
        <w:left w:val="none" w:sz="0" w:space="0" w:color="auto"/>
        <w:bottom w:val="none" w:sz="0" w:space="0" w:color="auto"/>
        <w:right w:val="none" w:sz="0" w:space="0" w:color="auto"/>
      </w:divBdr>
    </w:div>
    <w:div w:id="1671248215">
      <w:bodyDiv w:val="1"/>
      <w:marLeft w:val="0"/>
      <w:marRight w:val="0"/>
      <w:marTop w:val="0"/>
      <w:marBottom w:val="0"/>
      <w:divBdr>
        <w:top w:val="none" w:sz="0" w:space="0" w:color="auto"/>
        <w:left w:val="none" w:sz="0" w:space="0" w:color="auto"/>
        <w:bottom w:val="none" w:sz="0" w:space="0" w:color="auto"/>
        <w:right w:val="none" w:sz="0" w:space="0" w:color="auto"/>
      </w:divBdr>
    </w:div>
    <w:div w:id="1672177219">
      <w:bodyDiv w:val="1"/>
      <w:marLeft w:val="0"/>
      <w:marRight w:val="0"/>
      <w:marTop w:val="0"/>
      <w:marBottom w:val="0"/>
      <w:divBdr>
        <w:top w:val="none" w:sz="0" w:space="0" w:color="auto"/>
        <w:left w:val="none" w:sz="0" w:space="0" w:color="auto"/>
        <w:bottom w:val="none" w:sz="0" w:space="0" w:color="auto"/>
        <w:right w:val="none" w:sz="0" w:space="0" w:color="auto"/>
      </w:divBdr>
    </w:div>
    <w:div w:id="1672567681">
      <w:bodyDiv w:val="1"/>
      <w:marLeft w:val="0"/>
      <w:marRight w:val="0"/>
      <w:marTop w:val="0"/>
      <w:marBottom w:val="0"/>
      <w:divBdr>
        <w:top w:val="none" w:sz="0" w:space="0" w:color="auto"/>
        <w:left w:val="none" w:sz="0" w:space="0" w:color="auto"/>
        <w:bottom w:val="none" w:sz="0" w:space="0" w:color="auto"/>
        <w:right w:val="none" w:sz="0" w:space="0" w:color="auto"/>
      </w:divBdr>
    </w:div>
    <w:div w:id="1672755113">
      <w:bodyDiv w:val="1"/>
      <w:marLeft w:val="0"/>
      <w:marRight w:val="0"/>
      <w:marTop w:val="0"/>
      <w:marBottom w:val="0"/>
      <w:divBdr>
        <w:top w:val="none" w:sz="0" w:space="0" w:color="auto"/>
        <w:left w:val="none" w:sz="0" w:space="0" w:color="auto"/>
        <w:bottom w:val="none" w:sz="0" w:space="0" w:color="auto"/>
        <w:right w:val="none" w:sz="0" w:space="0" w:color="auto"/>
      </w:divBdr>
    </w:div>
    <w:div w:id="1673216420">
      <w:bodyDiv w:val="1"/>
      <w:marLeft w:val="0"/>
      <w:marRight w:val="0"/>
      <w:marTop w:val="0"/>
      <w:marBottom w:val="0"/>
      <w:divBdr>
        <w:top w:val="none" w:sz="0" w:space="0" w:color="auto"/>
        <w:left w:val="none" w:sz="0" w:space="0" w:color="auto"/>
        <w:bottom w:val="none" w:sz="0" w:space="0" w:color="auto"/>
        <w:right w:val="none" w:sz="0" w:space="0" w:color="auto"/>
      </w:divBdr>
    </w:div>
    <w:div w:id="1675379107">
      <w:bodyDiv w:val="1"/>
      <w:marLeft w:val="0"/>
      <w:marRight w:val="0"/>
      <w:marTop w:val="0"/>
      <w:marBottom w:val="0"/>
      <w:divBdr>
        <w:top w:val="none" w:sz="0" w:space="0" w:color="auto"/>
        <w:left w:val="none" w:sz="0" w:space="0" w:color="auto"/>
        <w:bottom w:val="none" w:sz="0" w:space="0" w:color="auto"/>
        <w:right w:val="none" w:sz="0" w:space="0" w:color="auto"/>
      </w:divBdr>
    </w:div>
    <w:div w:id="1675719605">
      <w:bodyDiv w:val="1"/>
      <w:marLeft w:val="0"/>
      <w:marRight w:val="0"/>
      <w:marTop w:val="0"/>
      <w:marBottom w:val="0"/>
      <w:divBdr>
        <w:top w:val="none" w:sz="0" w:space="0" w:color="auto"/>
        <w:left w:val="none" w:sz="0" w:space="0" w:color="auto"/>
        <w:bottom w:val="none" w:sz="0" w:space="0" w:color="auto"/>
        <w:right w:val="none" w:sz="0" w:space="0" w:color="auto"/>
      </w:divBdr>
    </w:div>
    <w:div w:id="1675842396">
      <w:bodyDiv w:val="1"/>
      <w:marLeft w:val="0"/>
      <w:marRight w:val="0"/>
      <w:marTop w:val="0"/>
      <w:marBottom w:val="0"/>
      <w:divBdr>
        <w:top w:val="none" w:sz="0" w:space="0" w:color="auto"/>
        <w:left w:val="none" w:sz="0" w:space="0" w:color="auto"/>
        <w:bottom w:val="none" w:sz="0" w:space="0" w:color="auto"/>
        <w:right w:val="none" w:sz="0" w:space="0" w:color="auto"/>
      </w:divBdr>
    </w:div>
    <w:div w:id="1676153049">
      <w:bodyDiv w:val="1"/>
      <w:marLeft w:val="0"/>
      <w:marRight w:val="0"/>
      <w:marTop w:val="0"/>
      <w:marBottom w:val="0"/>
      <w:divBdr>
        <w:top w:val="none" w:sz="0" w:space="0" w:color="auto"/>
        <w:left w:val="none" w:sz="0" w:space="0" w:color="auto"/>
        <w:bottom w:val="none" w:sz="0" w:space="0" w:color="auto"/>
        <w:right w:val="none" w:sz="0" w:space="0" w:color="auto"/>
      </w:divBdr>
    </w:div>
    <w:div w:id="1676686540">
      <w:bodyDiv w:val="1"/>
      <w:marLeft w:val="0"/>
      <w:marRight w:val="0"/>
      <w:marTop w:val="0"/>
      <w:marBottom w:val="0"/>
      <w:divBdr>
        <w:top w:val="none" w:sz="0" w:space="0" w:color="auto"/>
        <w:left w:val="none" w:sz="0" w:space="0" w:color="auto"/>
        <w:bottom w:val="none" w:sz="0" w:space="0" w:color="auto"/>
        <w:right w:val="none" w:sz="0" w:space="0" w:color="auto"/>
      </w:divBdr>
    </w:div>
    <w:div w:id="1676764157">
      <w:bodyDiv w:val="1"/>
      <w:marLeft w:val="0"/>
      <w:marRight w:val="0"/>
      <w:marTop w:val="0"/>
      <w:marBottom w:val="0"/>
      <w:divBdr>
        <w:top w:val="none" w:sz="0" w:space="0" w:color="auto"/>
        <w:left w:val="none" w:sz="0" w:space="0" w:color="auto"/>
        <w:bottom w:val="none" w:sz="0" w:space="0" w:color="auto"/>
        <w:right w:val="none" w:sz="0" w:space="0" w:color="auto"/>
      </w:divBdr>
    </w:div>
    <w:div w:id="1676952025">
      <w:bodyDiv w:val="1"/>
      <w:marLeft w:val="0"/>
      <w:marRight w:val="0"/>
      <w:marTop w:val="0"/>
      <w:marBottom w:val="0"/>
      <w:divBdr>
        <w:top w:val="none" w:sz="0" w:space="0" w:color="auto"/>
        <w:left w:val="none" w:sz="0" w:space="0" w:color="auto"/>
        <w:bottom w:val="none" w:sz="0" w:space="0" w:color="auto"/>
        <w:right w:val="none" w:sz="0" w:space="0" w:color="auto"/>
      </w:divBdr>
    </w:div>
    <w:div w:id="1676960218">
      <w:bodyDiv w:val="1"/>
      <w:marLeft w:val="0"/>
      <w:marRight w:val="0"/>
      <w:marTop w:val="0"/>
      <w:marBottom w:val="0"/>
      <w:divBdr>
        <w:top w:val="none" w:sz="0" w:space="0" w:color="auto"/>
        <w:left w:val="none" w:sz="0" w:space="0" w:color="auto"/>
        <w:bottom w:val="none" w:sz="0" w:space="0" w:color="auto"/>
        <w:right w:val="none" w:sz="0" w:space="0" w:color="auto"/>
      </w:divBdr>
    </w:div>
    <w:div w:id="1677417887">
      <w:bodyDiv w:val="1"/>
      <w:marLeft w:val="0"/>
      <w:marRight w:val="0"/>
      <w:marTop w:val="0"/>
      <w:marBottom w:val="0"/>
      <w:divBdr>
        <w:top w:val="none" w:sz="0" w:space="0" w:color="auto"/>
        <w:left w:val="none" w:sz="0" w:space="0" w:color="auto"/>
        <w:bottom w:val="none" w:sz="0" w:space="0" w:color="auto"/>
        <w:right w:val="none" w:sz="0" w:space="0" w:color="auto"/>
      </w:divBdr>
    </w:div>
    <w:div w:id="1678999277">
      <w:bodyDiv w:val="1"/>
      <w:marLeft w:val="0"/>
      <w:marRight w:val="0"/>
      <w:marTop w:val="0"/>
      <w:marBottom w:val="0"/>
      <w:divBdr>
        <w:top w:val="none" w:sz="0" w:space="0" w:color="auto"/>
        <w:left w:val="none" w:sz="0" w:space="0" w:color="auto"/>
        <w:bottom w:val="none" w:sz="0" w:space="0" w:color="auto"/>
        <w:right w:val="none" w:sz="0" w:space="0" w:color="auto"/>
      </w:divBdr>
    </w:div>
    <w:div w:id="1679505759">
      <w:bodyDiv w:val="1"/>
      <w:marLeft w:val="0"/>
      <w:marRight w:val="0"/>
      <w:marTop w:val="0"/>
      <w:marBottom w:val="0"/>
      <w:divBdr>
        <w:top w:val="none" w:sz="0" w:space="0" w:color="auto"/>
        <w:left w:val="none" w:sz="0" w:space="0" w:color="auto"/>
        <w:bottom w:val="none" w:sz="0" w:space="0" w:color="auto"/>
        <w:right w:val="none" w:sz="0" w:space="0" w:color="auto"/>
      </w:divBdr>
    </w:div>
    <w:div w:id="1680549087">
      <w:bodyDiv w:val="1"/>
      <w:marLeft w:val="0"/>
      <w:marRight w:val="0"/>
      <w:marTop w:val="0"/>
      <w:marBottom w:val="0"/>
      <w:divBdr>
        <w:top w:val="none" w:sz="0" w:space="0" w:color="auto"/>
        <w:left w:val="none" w:sz="0" w:space="0" w:color="auto"/>
        <w:bottom w:val="none" w:sz="0" w:space="0" w:color="auto"/>
        <w:right w:val="none" w:sz="0" w:space="0" w:color="auto"/>
      </w:divBdr>
    </w:div>
    <w:div w:id="1680694342">
      <w:bodyDiv w:val="1"/>
      <w:marLeft w:val="0"/>
      <w:marRight w:val="0"/>
      <w:marTop w:val="0"/>
      <w:marBottom w:val="0"/>
      <w:divBdr>
        <w:top w:val="none" w:sz="0" w:space="0" w:color="auto"/>
        <w:left w:val="none" w:sz="0" w:space="0" w:color="auto"/>
        <w:bottom w:val="none" w:sz="0" w:space="0" w:color="auto"/>
        <w:right w:val="none" w:sz="0" w:space="0" w:color="auto"/>
      </w:divBdr>
    </w:div>
    <w:div w:id="1681543472">
      <w:bodyDiv w:val="1"/>
      <w:marLeft w:val="0"/>
      <w:marRight w:val="0"/>
      <w:marTop w:val="0"/>
      <w:marBottom w:val="0"/>
      <w:divBdr>
        <w:top w:val="none" w:sz="0" w:space="0" w:color="auto"/>
        <w:left w:val="none" w:sz="0" w:space="0" w:color="auto"/>
        <w:bottom w:val="none" w:sz="0" w:space="0" w:color="auto"/>
        <w:right w:val="none" w:sz="0" w:space="0" w:color="auto"/>
      </w:divBdr>
    </w:div>
    <w:div w:id="1681737479">
      <w:bodyDiv w:val="1"/>
      <w:marLeft w:val="0"/>
      <w:marRight w:val="0"/>
      <w:marTop w:val="0"/>
      <w:marBottom w:val="0"/>
      <w:divBdr>
        <w:top w:val="none" w:sz="0" w:space="0" w:color="auto"/>
        <w:left w:val="none" w:sz="0" w:space="0" w:color="auto"/>
        <w:bottom w:val="none" w:sz="0" w:space="0" w:color="auto"/>
        <w:right w:val="none" w:sz="0" w:space="0" w:color="auto"/>
      </w:divBdr>
    </w:div>
    <w:div w:id="1682200465">
      <w:bodyDiv w:val="1"/>
      <w:marLeft w:val="0"/>
      <w:marRight w:val="0"/>
      <w:marTop w:val="0"/>
      <w:marBottom w:val="0"/>
      <w:divBdr>
        <w:top w:val="none" w:sz="0" w:space="0" w:color="auto"/>
        <w:left w:val="none" w:sz="0" w:space="0" w:color="auto"/>
        <w:bottom w:val="none" w:sz="0" w:space="0" w:color="auto"/>
        <w:right w:val="none" w:sz="0" w:space="0" w:color="auto"/>
      </w:divBdr>
    </w:div>
    <w:div w:id="1682388570">
      <w:bodyDiv w:val="1"/>
      <w:marLeft w:val="0"/>
      <w:marRight w:val="0"/>
      <w:marTop w:val="0"/>
      <w:marBottom w:val="0"/>
      <w:divBdr>
        <w:top w:val="none" w:sz="0" w:space="0" w:color="auto"/>
        <w:left w:val="none" w:sz="0" w:space="0" w:color="auto"/>
        <w:bottom w:val="none" w:sz="0" w:space="0" w:color="auto"/>
        <w:right w:val="none" w:sz="0" w:space="0" w:color="auto"/>
      </w:divBdr>
    </w:div>
    <w:div w:id="1682968706">
      <w:bodyDiv w:val="1"/>
      <w:marLeft w:val="0"/>
      <w:marRight w:val="0"/>
      <w:marTop w:val="0"/>
      <w:marBottom w:val="0"/>
      <w:divBdr>
        <w:top w:val="none" w:sz="0" w:space="0" w:color="auto"/>
        <w:left w:val="none" w:sz="0" w:space="0" w:color="auto"/>
        <w:bottom w:val="none" w:sz="0" w:space="0" w:color="auto"/>
        <w:right w:val="none" w:sz="0" w:space="0" w:color="auto"/>
      </w:divBdr>
    </w:div>
    <w:div w:id="1683045800">
      <w:bodyDiv w:val="1"/>
      <w:marLeft w:val="0"/>
      <w:marRight w:val="0"/>
      <w:marTop w:val="0"/>
      <w:marBottom w:val="0"/>
      <w:divBdr>
        <w:top w:val="none" w:sz="0" w:space="0" w:color="auto"/>
        <w:left w:val="none" w:sz="0" w:space="0" w:color="auto"/>
        <w:bottom w:val="none" w:sz="0" w:space="0" w:color="auto"/>
        <w:right w:val="none" w:sz="0" w:space="0" w:color="auto"/>
      </w:divBdr>
    </w:div>
    <w:div w:id="1684477631">
      <w:bodyDiv w:val="1"/>
      <w:marLeft w:val="0"/>
      <w:marRight w:val="0"/>
      <w:marTop w:val="0"/>
      <w:marBottom w:val="0"/>
      <w:divBdr>
        <w:top w:val="none" w:sz="0" w:space="0" w:color="auto"/>
        <w:left w:val="none" w:sz="0" w:space="0" w:color="auto"/>
        <w:bottom w:val="none" w:sz="0" w:space="0" w:color="auto"/>
        <w:right w:val="none" w:sz="0" w:space="0" w:color="auto"/>
      </w:divBdr>
    </w:div>
    <w:div w:id="1684820981">
      <w:bodyDiv w:val="1"/>
      <w:marLeft w:val="0"/>
      <w:marRight w:val="0"/>
      <w:marTop w:val="0"/>
      <w:marBottom w:val="0"/>
      <w:divBdr>
        <w:top w:val="none" w:sz="0" w:space="0" w:color="auto"/>
        <w:left w:val="none" w:sz="0" w:space="0" w:color="auto"/>
        <w:bottom w:val="none" w:sz="0" w:space="0" w:color="auto"/>
        <w:right w:val="none" w:sz="0" w:space="0" w:color="auto"/>
      </w:divBdr>
    </w:div>
    <w:div w:id="1686203959">
      <w:bodyDiv w:val="1"/>
      <w:marLeft w:val="0"/>
      <w:marRight w:val="0"/>
      <w:marTop w:val="0"/>
      <w:marBottom w:val="0"/>
      <w:divBdr>
        <w:top w:val="none" w:sz="0" w:space="0" w:color="auto"/>
        <w:left w:val="none" w:sz="0" w:space="0" w:color="auto"/>
        <w:bottom w:val="none" w:sz="0" w:space="0" w:color="auto"/>
        <w:right w:val="none" w:sz="0" w:space="0" w:color="auto"/>
      </w:divBdr>
    </w:div>
    <w:div w:id="1686516224">
      <w:bodyDiv w:val="1"/>
      <w:marLeft w:val="0"/>
      <w:marRight w:val="0"/>
      <w:marTop w:val="0"/>
      <w:marBottom w:val="0"/>
      <w:divBdr>
        <w:top w:val="none" w:sz="0" w:space="0" w:color="auto"/>
        <w:left w:val="none" w:sz="0" w:space="0" w:color="auto"/>
        <w:bottom w:val="none" w:sz="0" w:space="0" w:color="auto"/>
        <w:right w:val="none" w:sz="0" w:space="0" w:color="auto"/>
      </w:divBdr>
    </w:div>
    <w:div w:id="1687518251">
      <w:bodyDiv w:val="1"/>
      <w:marLeft w:val="0"/>
      <w:marRight w:val="0"/>
      <w:marTop w:val="0"/>
      <w:marBottom w:val="0"/>
      <w:divBdr>
        <w:top w:val="none" w:sz="0" w:space="0" w:color="auto"/>
        <w:left w:val="none" w:sz="0" w:space="0" w:color="auto"/>
        <w:bottom w:val="none" w:sz="0" w:space="0" w:color="auto"/>
        <w:right w:val="none" w:sz="0" w:space="0" w:color="auto"/>
      </w:divBdr>
    </w:div>
    <w:div w:id="1687631894">
      <w:bodyDiv w:val="1"/>
      <w:marLeft w:val="0"/>
      <w:marRight w:val="0"/>
      <w:marTop w:val="0"/>
      <w:marBottom w:val="0"/>
      <w:divBdr>
        <w:top w:val="none" w:sz="0" w:space="0" w:color="auto"/>
        <w:left w:val="none" w:sz="0" w:space="0" w:color="auto"/>
        <w:bottom w:val="none" w:sz="0" w:space="0" w:color="auto"/>
        <w:right w:val="none" w:sz="0" w:space="0" w:color="auto"/>
      </w:divBdr>
    </w:div>
    <w:div w:id="1687899724">
      <w:bodyDiv w:val="1"/>
      <w:marLeft w:val="0"/>
      <w:marRight w:val="0"/>
      <w:marTop w:val="0"/>
      <w:marBottom w:val="0"/>
      <w:divBdr>
        <w:top w:val="none" w:sz="0" w:space="0" w:color="auto"/>
        <w:left w:val="none" w:sz="0" w:space="0" w:color="auto"/>
        <w:bottom w:val="none" w:sz="0" w:space="0" w:color="auto"/>
        <w:right w:val="none" w:sz="0" w:space="0" w:color="auto"/>
      </w:divBdr>
    </w:div>
    <w:div w:id="1688285315">
      <w:bodyDiv w:val="1"/>
      <w:marLeft w:val="0"/>
      <w:marRight w:val="0"/>
      <w:marTop w:val="0"/>
      <w:marBottom w:val="0"/>
      <w:divBdr>
        <w:top w:val="none" w:sz="0" w:space="0" w:color="auto"/>
        <w:left w:val="none" w:sz="0" w:space="0" w:color="auto"/>
        <w:bottom w:val="none" w:sz="0" w:space="0" w:color="auto"/>
        <w:right w:val="none" w:sz="0" w:space="0" w:color="auto"/>
      </w:divBdr>
    </w:div>
    <w:div w:id="1691184097">
      <w:bodyDiv w:val="1"/>
      <w:marLeft w:val="0"/>
      <w:marRight w:val="0"/>
      <w:marTop w:val="0"/>
      <w:marBottom w:val="0"/>
      <w:divBdr>
        <w:top w:val="none" w:sz="0" w:space="0" w:color="auto"/>
        <w:left w:val="none" w:sz="0" w:space="0" w:color="auto"/>
        <w:bottom w:val="none" w:sz="0" w:space="0" w:color="auto"/>
        <w:right w:val="none" w:sz="0" w:space="0" w:color="auto"/>
      </w:divBdr>
    </w:div>
    <w:div w:id="1693721325">
      <w:bodyDiv w:val="1"/>
      <w:marLeft w:val="0"/>
      <w:marRight w:val="0"/>
      <w:marTop w:val="0"/>
      <w:marBottom w:val="0"/>
      <w:divBdr>
        <w:top w:val="none" w:sz="0" w:space="0" w:color="auto"/>
        <w:left w:val="none" w:sz="0" w:space="0" w:color="auto"/>
        <w:bottom w:val="none" w:sz="0" w:space="0" w:color="auto"/>
        <w:right w:val="none" w:sz="0" w:space="0" w:color="auto"/>
      </w:divBdr>
    </w:div>
    <w:div w:id="1694455741">
      <w:bodyDiv w:val="1"/>
      <w:marLeft w:val="0"/>
      <w:marRight w:val="0"/>
      <w:marTop w:val="0"/>
      <w:marBottom w:val="0"/>
      <w:divBdr>
        <w:top w:val="none" w:sz="0" w:space="0" w:color="auto"/>
        <w:left w:val="none" w:sz="0" w:space="0" w:color="auto"/>
        <w:bottom w:val="none" w:sz="0" w:space="0" w:color="auto"/>
        <w:right w:val="none" w:sz="0" w:space="0" w:color="auto"/>
      </w:divBdr>
    </w:div>
    <w:div w:id="1694720892">
      <w:bodyDiv w:val="1"/>
      <w:marLeft w:val="0"/>
      <w:marRight w:val="0"/>
      <w:marTop w:val="0"/>
      <w:marBottom w:val="0"/>
      <w:divBdr>
        <w:top w:val="none" w:sz="0" w:space="0" w:color="auto"/>
        <w:left w:val="none" w:sz="0" w:space="0" w:color="auto"/>
        <w:bottom w:val="none" w:sz="0" w:space="0" w:color="auto"/>
        <w:right w:val="none" w:sz="0" w:space="0" w:color="auto"/>
      </w:divBdr>
    </w:div>
    <w:div w:id="1694916118">
      <w:bodyDiv w:val="1"/>
      <w:marLeft w:val="0"/>
      <w:marRight w:val="0"/>
      <w:marTop w:val="0"/>
      <w:marBottom w:val="0"/>
      <w:divBdr>
        <w:top w:val="none" w:sz="0" w:space="0" w:color="auto"/>
        <w:left w:val="none" w:sz="0" w:space="0" w:color="auto"/>
        <w:bottom w:val="none" w:sz="0" w:space="0" w:color="auto"/>
        <w:right w:val="none" w:sz="0" w:space="0" w:color="auto"/>
      </w:divBdr>
    </w:div>
    <w:div w:id="1694921209">
      <w:bodyDiv w:val="1"/>
      <w:marLeft w:val="0"/>
      <w:marRight w:val="0"/>
      <w:marTop w:val="0"/>
      <w:marBottom w:val="0"/>
      <w:divBdr>
        <w:top w:val="none" w:sz="0" w:space="0" w:color="auto"/>
        <w:left w:val="none" w:sz="0" w:space="0" w:color="auto"/>
        <w:bottom w:val="none" w:sz="0" w:space="0" w:color="auto"/>
        <w:right w:val="none" w:sz="0" w:space="0" w:color="auto"/>
      </w:divBdr>
    </w:div>
    <w:div w:id="1695499653">
      <w:bodyDiv w:val="1"/>
      <w:marLeft w:val="0"/>
      <w:marRight w:val="0"/>
      <w:marTop w:val="0"/>
      <w:marBottom w:val="0"/>
      <w:divBdr>
        <w:top w:val="none" w:sz="0" w:space="0" w:color="auto"/>
        <w:left w:val="none" w:sz="0" w:space="0" w:color="auto"/>
        <w:bottom w:val="none" w:sz="0" w:space="0" w:color="auto"/>
        <w:right w:val="none" w:sz="0" w:space="0" w:color="auto"/>
      </w:divBdr>
    </w:div>
    <w:div w:id="1695569590">
      <w:bodyDiv w:val="1"/>
      <w:marLeft w:val="0"/>
      <w:marRight w:val="0"/>
      <w:marTop w:val="0"/>
      <w:marBottom w:val="0"/>
      <w:divBdr>
        <w:top w:val="none" w:sz="0" w:space="0" w:color="auto"/>
        <w:left w:val="none" w:sz="0" w:space="0" w:color="auto"/>
        <w:bottom w:val="none" w:sz="0" w:space="0" w:color="auto"/>
        <w:right w:val="none" w:sz="0" w:space="0" w:color="auto"/>
      </w:divBdr>
    </w:div>
    <w:div w:id="1696225371">
      <w:bodyDiv w:val="1"/>
      <w:marLeft w:val="0"/>
      <w:marRight w:val="0"/>
      <w:marTop w:val="0"/>
      <w:marBottom w:val="0"/>
      <w:divBdr>
        <w:top w:val="none" w:sz="0" w:space="0" w:color="auto"/>
        <w:left w:val="none" w:sz="0" w:space="0" w:color="auto"/>
        <w:bottom w:val="none" w:sz="0" w:space="0" w:color="auto"/>
        <w:right w:val="none" w:sz="0" w:space="0" w:color="auto"/>
      </w:divBdr>
    </w:div>
    <w:div w:id="1696275358">
      <w:bodyDiv w:val="1"/>
      <w:marLeft w:val="0"/>
      <w:marRight w:val="0"/>
      <w:marTop w:val="0"/>
      <w:marBottom w:val="0"/>
      <w:divBdr>
        <w:top w:val="none" w:sz="0" w:space="0" w:color="auto"/>
        <w:left w:val="none" w:sz="0" w:space="0" w:color="auto"/>
        <w:bottom w:val="none" w:sz="0" w:space="0" w:color="auto"/>
        <w:right w:val="none" w:sz="0" w:space="0" w:color="auto"/>
      </w:divBdr>
    </w:div>
    <w:div w:id="1696615260">
      <w:bodyDiv w:val="1"/>
      <w:marLeft w:val="0"/>
      <w:marRight w:val="0"/>
      <w:marTop w:val="0"/>
      <w:marBottom w:val="0"/>
      <w:divBdr>
        <w:top w:val="none" w:sz="0" w:space="0" w:color="auto"/>
        <w:left w:val="none" w:sz="0" w:space="0" w:color="auto"/>
        <w:bottom w:val="none" w:sz="0" w:space="0" w:color="auto"/>
        <w:right w:val="none" w:sz="0" w:space="0" w:color="auto"/>
      </w:divBdr>
    </w:div>
    <w:div w:id="1697581306">
      <w:bodyDiv w:val="1"/>
      <w:marLeft w:val="0"/>
      <w:marRight w:val="0"/>
      <w:marTop w:val="0"/>
      <w:marBottom w:val="0"/>
      <w:divBdr>
        <w:top w:val="none" w:sz="0" w:space="0" w:color="auto"/>
        <w:left w:val="none" w:sz="0" w:space="0" w:color="auto"/>
        <w:bottom w:val="none" w:sz="0" w:space="0" w:color="auto"/>
        <w:right w:val="none" w:sz="0" w:space="0" w:color="auto"/>
      </w:divBdr>
    </w:div>
    <w:div w:id="1700357514">
      <w:bodyDiv w:val="1"/>
      <w:marLeft w:val="0"/>
      <w:marRight w:val="0"/>
      <w:marTop w:val="0"/>
      <w:marBottom w:val="0"/>
      <w:divBdr>
        <w:top w:val="none" w:sz="0" w:space="0" w:color="auto"/>
        <w:left w:val="none" w:sz="0" w:space="0" w:color="auto"/>
        <w:bottom w:val="none" w:sz="0" w:space="0" w:color="auto"/>
        <w:right w:val="none" w:sz="0" w:space="0" w:color="auto"/>
      </w:divBdr>
    </w:div>
    <w:div w:id="1701659371">
      <w:bodyDiv w:val="1"/>
      <w:marLeft w:val="0"/>
      <w:marRight w:val="0"/>
      <w:marTop w:val="0"/>
      <w:marBottom w:val="0"/>
      <w:divBdr>
        <w:top w:val="none" w:sz="0" w:space="0" w:color="auto"/>
        <w:left w:val="none" w:sz="0" w:space="0" w:color="auto"/>
        <w:bottom w:val="none" w:sz="0" w:space="0" w:color="auto"/>
        <w:right w:val="none" w:sz="0" w:space="0" w:color="auto"/>
      </w:divBdr>
    </w:div>
    <w:div w:id="1701978393">
      <w:bodyDiv w:val="1"/>
      <w:marLeft w:val="0"/>
      <w:marRight w:val="0"/>
      <w:marTop w:val="0"/>
      <w:marBottom w:val="0"/>
      <w:divBdr>
        <w:top w:val="none" w:sz="0" w:space="0" w:color="auto"/>
        <w:left w:val="none" w:sz="0" w:space="0" w:color="auto"/>
        <w:bottom w:val="none" w:sz="0" w:space="0" w:color="auto"/>
        <w:right w:val="none" w:sz="0" w:space="0" w:color="auto"/>
      </w:divBdr>
    </w:div>
    <w:div w:id="1702900634">
      <w:bodyDiv w:val="1"/>
      <w:marLeft w:val="0"/>
      <w:marRight w:val="0"/>
      <w:marTop w:val="0"/>
      <w:marBottom w:val="0"/>
      <w:divBdr>
        <w:top w:val="none" w:sz="0" w:space="0" w:color="auto"/>
        <w:left w:val="none" w:sz="0" w:space="0" w:color="auto"/>
        <w:bottom w:val="none" w:sz="0" w:space="0" w:color="auto"/>
        <w:right w:val="none" w:sz="0" w:space="0" w:color="auto"/>
      </w:divBdr>
    </w:div>
    <w:div w:id="1703168434">
      <w:bodyDiv w:val="1"/>
      <w:marLeft w:val="0"/>
      <w:marRight w:val="0"/>
      <w:marTop w:val="0"/>
      <w:marBottom w:val="0"/>
      <w:divBdr>
        <w:top w:val="none" w:sz="0" w:space="0" w:color="auto"/>
        <w:left w:val="none" w:sz="0" w:space="0" w:color="auto"/>
        <w:bottom w:val="none" w:sz="0" w:space="0" w:color="auto"/>
        <w:right w:val="none" w:sz="0" w:space="0" w:color="auto"/>
      </w:divBdr>
    </w:div>
    <w:div w:id="1703554999">
      <w:bodyDiv w:val="1"/>
      <w:marLeft w:val="0"/>
      <w:marRight w:val="0"/>
      <w:marTop w:val="0"/>
      <w:marBottom w:val="0"/>
      <w:divBdr>
        <w:top w:val="none" w:sz="0" w:space="0" w:color="auto"/>
        <w:left w:val="none" w:sz="0" w:space="0" w:color="auto"/>
        <w:bottom w:val="none" w:sz="0" w:space="0" w:color="auto"/>
        <w:right w:val="none" w:sz="0" w:space="0" w:color="auto"/>
      </w:divBdr>
    </w:div>
    <w:div w:id="1707288007">
      <w:bodyDiv w:val="1"/>
      <w:marLeft w:val="0"/>
      <w:marRight w:val="0"/>
      <w:marTop w:val="0"/>
      <w:marBottom w:val="0"/>
      <w:divBdr>
        <w:top w:val="none" w:sz="0" w:space="0" w:color="auto"/>
        <w:left w:val="none" w:sz="0" w:space="0" w:color="auto"/>
        <w:bottom w:val="none" w:sz="0" w:space="0" w:color="auto"/>
        <w:right w:val="none" w:sz="0" w:space="0" w:color="auto"/>
      </w:divBdr>
    </w:div>
    <w:div w:id="1708524480">
      <w:bodyDiv w:val="1"/>
      <w:marLeft w:val="0"/>
      <w:marRight w:val="0"/>
      <w:marTop w:val="0"/>
      <w:marBottom w:val="0"/>
      <w:divBdr>
        <w:top w:val="none" w:sz="0" w:space="0" w:color="auto"/>
        <w:left w:val="none" w:sz="0" w:space="0" w:color="auto"/>
        <w:bottom w:val="none" w:sz="0" w:space="0" w:color="auto"/>
        <w:right w:val="none" w:sz="0" w:space="0" w:color="auto"/>
      </w:divBdr>
    </w:div>
    <w:div w:id="1709179744">
      <w:bodyDiv w:val="1"/>
      <w:marLeft w:val="0"/>
      <w:marRight w:val="0"/>
      <w:marTop w:val="0"/>
      <w:marBottom w:val="0"/>
      <w:divBdr>
        <w:top w:val="none" w:sz="0" w:space="0" w:color="auto"/>
        <w:left w:val="none" w:sz="0" w:space="0" w:color="auto"/>
        <w:bottom w:val="none" w:sz="0" w:space="0" w:color="auto"/>
        <w:right w:val="none" w:sz="0" w:space="0" w:color="auto"/>
      </w:divBdr>
    </w:div>
    <w:div w:id="1709641968">
      <w:bodyDiv w:val="1"/>
      <w:marLeft w:val="0"/>
      <w:marRight w:val="0"/>
      <w:marTop w:val="0"/>
      <w:marBottom w:val="0"/>
      <w:divBdr>
        <w:top w:val="none" w:sz="0" w:space="0" w:color="auto"/>
        <w:left w:val="none" w:sz="0" w:space="0" w:color="auto"/>
        <w:bottom w:val="none" w:sz="0" w:space="0" w:color="auto"/>
        <w:right w:val="none" w:sz="0" w:space="0" w:color="auto"/>
      </w:divBdr>
    </w:div>
    <w:div w:id="1709720822">
      <w:bodyDiv w:val="1"/>
      <w:marLeft w:val="0"/>
      <w:marRight w:val="0"/>
      <w:marTop w:val="0"/>
      <w:marBottom w:val="0"/>
      <w:divBdr>
        <w:top w:val="none" w:sz="0" w:space="0" w:color="auto"/>
        <w:left w:val="none" w:sz="0" w:space="0" w:color="auto"/>
        <w:bottom w:val="none" w:sz="0" w:space="0" w:color="auto"/>
        <w:right w:val="none" w:sz="0" w:space="0" w:color="auto"/>
      </w:divBdr>
    </w:div>
    <w:div w:id="1709834508">
      <w:bodyDiv w:val="1"/>
      <w:marLeft w:val="0"/>
      <w:marRight w:val="0"/>
      <w:marTop w:val="0"/>
      <w:marBottom w:val="0"/>
      <w:divBdr>
        <w:top w:val="none" w:sz="0" w:space="0" w:color="auto"/>
        <w:left w:val="none" w:sz="0" w:space="0" w:color="auto"/>
        <w:bottom w:val="none" w:sz="0" w:space="0" w:color="auto"/>
        <w:right w:val="none" w:sz="0" w:space="0" w:color="auto"/>
      </w:divBdr>
    </w:div>
    <w:div w:id="1710103551">
      <w:bodyDiv w:val="1"/>
      <w:marLeft w:val="0"/>
      <w:marRight w:val="0"/>
      <w:marTop w:val="0"/>
      <w:marBottom w:val="0"/>
      <w:divBdr>
        <w:top w:val="none" w:sz="0" w:space="0" w:color="auto"/>
        <w:left w:val="none" w:sz="0" w:space="0" w:color="auto"/>
        <w:bottom w:val="none" w:sz="0" w:space="0" w:color="auto"/>
        <w:right w:val="none" w:sz="0" w:space="0" w:color="auto"/>
      </w:divBdr>
    </w:div>
    <w:div w:id="1711149192">
      <w:bodyDiv w:val="1"/>
      <w:marLeft w:val="0"/>
      <w:marRight w:val="0"/>
      <w:marTop w:val="0"/>
      <w:marBottom w:val="0"/>
      <w:divBdr>
        <w:top w:val="none" w:sz="0" w:space="0" w:color="auto"/>
        <w:left w:val="none" w:sz="0" w:space="0" w:color="auto"/>
        <w:bottom w:val="none" w:sz="0" w:space="0" w:color="auto"/>
        <w:right w:val="none" w:sz="0" w:space="0" w:color="auto"/>
      </w:divBdr>
    </w:div>
    <w:div w:id="1711802841">
      <w:bodyDiv w:val="1"/>
      <w:marLeft w:val="0"/>
      <w:marRight w:val="0"/>
      <w:marTop w:val="0"/>
      <w:marBottom w:val="0"/>
      <w:divBdr>
        <w:top w:val="none" w:sz="0" w:space="0" w:color="auto"/>
        <w:left w:val="none" w:sz="0" w:space="0" w:color="auto"/>
        <w:bottom w:val="none" w:sz="0" w:space="0" w:color="auto"/>
        <w:right w:val="none" w:sz="0" w:space="0" w:color="auto"/>
      </w:divBdr>
    </w:div>
    <w:div w:id="1712606907">
      <w:bodyDiv w:val="1"/>
      <w:marLeft w:val="0"/>
      <w:marRight w:val="0"/>
      <w:marTop w:val="0"/>
      <w:marBottom w:val="0"/>
      <w:divBdr>
        <w:top w:val="none" w:sz="0" w:space="0" w:color="auto"/>
        <w:left w:val="none" w:sz="0" w:space="0" w:color="auto"/>
        <w:bottom w:val="none" w:sz="0" w:space="0" w:color="auto"/>
        <w:right w:val="none" w:sz="0" w:space="0" w:color="auto"/>
      </w:divBdr>
    </w:div>
    <w:div w:id="1712916543">
      <w:bodyDiv w:val="1"/>
      <w:marLeft w:val="0"/>
      <w:marRight w:val="0"/>
      <w:marTop w:val="0"/>
      <w:marBottom w:val="0"/>
      <w:divBdr>
        <w:top w:val="none" w:sz="0" w:space="0" w:color="auto"/>
        <w:left w:val="none" w:sz="0" w:space="0" w:color="auto"/>
        <w:bottom w:val="none" w:sz="0" w:space="0" w:color="auto"/>
        <w:right w:val="none" w:sz="0" w:space="0" w:color="auto"/>
      </w:divBdr>
    </w:div>
    <w:div w:id="1712993661">
      <w:bodyDiv w:val="1"/>
      <w:marLeft w:val="0"/>
      <w:marRight w:val="0"/>
      <w:marTop w:val="0"/>
      <w:marBottom w:val="0"/>
      <w:divBdr>
        <w:top w:val="none" w:sz="0" w:space="0" w:color="auto"/>
        <w:left w:val="none" w:sz="0" w:space="0" w:color="auto"/>
        <w:bottom w:val="none" w:sz="0" w:space="0" w:color="auto"/>
        <w:right w:val="none" w:sz="0" w:space="0" w:color="auto"/>
      </w:divBdr>
    </w:div>
    <w:div w:id="1713190740">
      <w:bodyDiv w:val="1"/>
      <w:marLeft w:val="0"/>
      <w:marRight w:val="0"/>
      <w:marTop w:val="0"/>
      <w:marBottom w:val="0"/>
      <w:divBdr>
        <w:top w:val="none" w:sz="0" w:space="0" w:color="auto"/>
        <w:left w:val="none" w:sz="0" w:space="0" w:color="auto"/>
        <w:bottom w:val="none" w:sz="0" w:space="0" w:color="auto"/>
        <w:right w:val="none" w:sz="0" w:space="0" w:color="auto"/>
      </w:divBdr>
    </w:div>
    <w:div w:id="1713381520">
      <w:bodyDiv w:val="1"/>
      <w:marLeft w:val="0"/>
      <w:marRight w:val="0"/>
      <w:marTop w:val="0"/>
      <w:marBottom w:val="0"/>
      <w:divBdr>
        <w:top w:val="none" w:sz="0" w:space="0" w:color="auto"/>
        <w:left w:val="none" w:sz="0" w:space="0" w:color="auto"/>
        <w:bottom w:val="none" w:sz="0" w:space="0" w:color="auto"/>
        <w:right w:val="none" w:sz="0" w:space="0" w:color="auto"/>
      </w:divBdr>
    </w:div>
    <w:div w:id="1714377483">
      <w:bodyDiv w:val="1"/>
      <w:marLeft w:val="0"/>
      <w:marRight w:val="0"/>
      <w:marTop w:val="0"/>
      <w:marBottom w:val="0"/>
      <w:divBdr>
        <w:top w:val="none" w:sz="0" w:space="0" w:color="auto"/>
        <w:left w:val="none" w:sz="0" w:space="0" w:color="auto"/>
        <w:bottom w:val="none" w:sz="0" w:space="0" w:color="auto"/>
        <w:right w:val="none" w:sz="0" w:space="0" w:color="auto"/>
      </w:divBdr>
    </w:div>
    <w:div w:id="1714385728">
      <w:bodyDiv w:val="1"/>
      <w:marLeft w:val="0"/>
      <w:marRight w:val="0"/>
      <w:marTop w:val="0"/>
      <w:marBottom w:val="0"/>
      <w:divBdr>
        <w:top w:val="none" w:sz="0" w:space="0" w:color="auto"/>
        <w:left w:val="none" w:sz="0" w:space="0" w:color="auto"/>
        <w:bottom w:val="none" w:sz="0" w:space="0" w:color="auto"/>
        <w:right w:val="none" w:sz="0" w:space="0" w:color="auto"/>
      </w:divBdr>
    </w:div>
    <w:div w:id="1714426344">
      <w:bodyDiv w:val="1"/>
      <w:marLeft w:val="0"/>
      <w:marRight w:val="0"/>
      <w:marTop w:val="0"/>
      <w:marBottom w:val="0"/>
      <w:divBdr>
        <w:top w:val="none" w:sz="0" w:space="0" w:color="auto"/>
        <w:left w:val="none" w:sz="0" w:space="0" w:color="auto"/>
        <w:bottom w:val="none" w:sz="0" w:space="0" w:color="auto"/>
        <w:right w:val="none" w:sz="0" w:space="0" w:color="auto"/>
      </w:divBdr>
    </w:div>
    <w:div w:id="1715159851">
      <w:bodyDiv w:val="1"/>
      <w:marLeft w:val="0"/>
      <w:marRight w:val="0"/>
      <w:marTop w:val="0"/>
      <w:marBottom w:val="0"/>
      <w:divBdr>
        <w:top w:val="none" w:sz="0" w:space="0" w:color="auto"/>
        <w:left w:val="none" w:sz="0" w:space="0" w:color="auto"/>
        <w:bottom w:val="none" w:sz="0" w:space="0" w:color="auto"/>
        <w:right w:val="none" w:sz="0" w:space="0" w:color="auto"/>
      </w:divBdr>
    </w:div>
    <w:div w:id="1716813421">
      <w:bodyDiv w:val="1"/>
      <w:marLeft w:val="0"/>
      <w:marRight w:val="0"/>
      <w:marTop w:val="0"/>
      <w:marBottom w:val="0"/>
      <w:divBdr>
        <w:top w:val="none" w:sz="0" w:space="0" w:color="auto"/>
        <w:left w:val="none" w:sz="0" w:space="0" w:color="auto"/>
        <w:bottom w:val="none" w:sz="0" w:space="0" w:color="auto"/>
        <w:right w:val="none" w:sz="0" w:space="0" w:color="auto"/>
      </w:divBdr>
    </w:div>
    <w:div w:id="1717119645">
      <w:bodyDiv w:val="1"/>
      <w:marLeft w:val="0"/>
      <w:marRight w:val="0"/>
      <w:marTop w:val="0"/>
      <w:marBottom w:val="0"/>
      <w:divBdr>
        <w:top w:val="none" w:sz="0" w:space="0" w:color="auto"/>
        <w:left w:val="none" w:sz="0" w:space="0" w:color="auto"/>
        <w:bottom w:val="none" w:sz="0" w:space="0" w:color="auto"/>
        <w:right w:val="none" w:sz="0" w:space="0" w:color="auto"/>
      </w:divBdr>
    </w:div>
    <w:div w:id="1718235056">
      <w:bodyDiv w:val="1"/>
      <w:marLeft w:val="0"/>
      <w:marRight w:val="0"/>
      <w:marTop w:val="0"/>
      <w:marBottom w:val="0"/>
      <w:divBdr>
        <w:top w:val="none" w:sz="0" w:space="0" w:color="auto"/>
        <w:left w:val="none" w:sz="0" w:space="0" w:color="auto"/>
        <w:bottom w:val="none" w:sz="0" w:space="0" w:color="auto"/>
        <w:right w:val="none" w:sz="0" w:space="0" w:color="auto"/>
      </w:divBdr>
    </w:div>
    <w:div w:id="1718820667">
      <w:bodyDiv w:val="1"/>
      <w:marLeft w:val="0"/>
      <w:marRight w:val="0"/>
      <w:marTop w:val="0"/>
      <w:marBottom w:val="0"/>
      <w:divBdr>
        <w:top w:val="none" w:sz="0" w:space="0" w:color="auto"/>
        <w:left w:val="none" w:sz="0" w:space="0" w:color="auto"/>
        <w:bottom w:val="none" w:sz="0" w:space="0" w:color="auto"/>
        <w:right w:val="none" w:sz="0" w:space="0" w:color="auto"/>
      </w:divBdr>
    </w:div>
    <w:div w:id="1719083229">
      <w:bodyDiv w:val="1"/>
      <w:marLeft w:val="0"/>
      <w:marRight w:val="0"/>
      <w:marTop w:val="0"/>
      <w:marBottom w:val="0"/>
      <w:divBdr>
        <w:top w:val="none" w:sz="0" w:space="0" w:color="auto"/>
        <w:left w:val="none" w:sz="0" w:space="0" w:color="auto"/>
        <w:bottom w:val="none" w:sz="0" w:space="0" w:color="auto"/>
        <w:right w:val="none" w:sz="0" w:space="0" w:color="auto"/>
      </w:divBdr>
    </w:div>
    <w:div w:id="1719890958">
      <w:bodyDiv w:val="1"/>
      <w:marLeft w:val="0"/>
      <w:marRight w:val="0"/>
      <w:marTop w:val="0"/>
      <w:marBottom w:val="0"/>
      <w:divBdr>
        <w:top w:val="none" w:sz="0" w:space="0" w:color="auto"/>
        <w:left w:val="none" w:sz="0" w:space="0" w:color="auto"/>
        <w:bottom w:val="none" w:sz="0" w:space="0" w:color="auto"/>
        <w:right w:val="none" w:sz="0" w:space="0" w:color="auto"/>
      </w:divBdr>
    </w:div>
    <w:div w:id="1720083952">
      <w:bodyDiv w:val="1"/>
      <w:marLeft w:val="0"/>
      <w:marRight w:val="0"/>
      <w:marTop w:val="0"/>
      <w:marBottom w:val="0"/>
      <w:divBdr>
        <w:top w:val="none" w:sz="0" w:space="0" w:color="auto"/>
        <w:left w:val="none" w:sz="0" w:space="0" w:color="auto"/>
        <w:bottom w:val="none" w:sz="0" w:space="0" w:color="auto"/>
        <w:right w:val="none" w:sz="0" w:space="0" w:color="auto"/>
      </w:divBdr>
    </w:div>
    <w:div w:id="1720977055">
      <w:bodyDiv w:val="1"/>
      <w:marLeft w:val="0"/>
      <w:marRight w:val="0"/>
      <w:marTop w:val="0"/>
      <w:marBottom w:val="0"/>
      <w:divBdr>
        <w:top w:val="none" w:sz="0" w:space="0" w:color="auto"/>
        <w:left w:val="none" w:sz="0" w:space="0" w:color="auto"/>
        <w:bottom w:val="none" w:sz="0" w:space="0" w:color="auto"/>
        <w:right w:val="none" w:sz="0" w:space="0" w:color="auto"/>
      </w:divBdr>
    </w:div>
    <w:div w:id="1721710533">
      <w:bodyDiv w:val="1"/>
      <w:marLeft w:val="0"/>
      <w:marRight w:val="0"/>
      <w:marTop w:val="0"/>
      <w:marBottom w:val="0"/>
      <w:divBdr>
        <w:top w:val="none" w:sz="0" w:space="0" w:color="auto"/>
        <w:left w:val="none" w:sz="0" w:space="0" w:color="auto"/>
        <w:bottom w:val="none" w:sz="0" w:space="0" w:color="auto"/>
        <w:right w:val="none" w:sz="0" w:space="0" w:color="auto"/>
      </w:divBdr>
    </w:div>
    <w:div w:id="1722943220">
      <w:bodyDiv w:val="1"/>
      <w:marLeft w:val="0"/>
      <w:marRight w:val="0"/>
      <w:marTop w:val="0"/>
      <w:marBottom w:val="0"/>
      <w:divBdr>
        <w:top w:val="none" w:sz="0" w:space="0" w:color="auto"/>
        <w:left w:val="none" w:sz="0" w:space="0" w:color="auto"/>
        <w:bottom w:val="none" w:sz="0" w:space="0" w:color="auto"/>
        <w:right w:val="none" w:sz="0" w:space="0" w:color="auto"/>
      </w:divBdr>
    </w:div>
    <w:div w:id="1723672141">
      <w:bodyDiv w:val="1"/>
      <w:marLeft w:val="0"/>
      <w:marRight w:val="0"/>
      <w:marTop w:val="0"/>
      <w:marBottom w:val="0"/>
      <w:divBdr>
        <w:top w:val="none" w:sz="0" w:space="0" w:color="auto"/>
        <w:left w:val="none" w:sz="0" w:space="0" w:color="auto"/>
        <w:bottom w:val="none" w:sz="0" w:space="0" w:color="auto"/>
        <w:right w:val="none" w:sz="0" w:space="0" w:color="auto"/>
      </w:divBdr>
    </w:div>
    <w:div w:id="1723869510">
      <w:bodyDiv w:val="1"/>
      <w:marLeft w:val="0"/>
      <w:marRight w:val="0"/>
      <w:marTop w:val="0"/>
      <w:marBottom w:val="0"/>
      <w:divBdr>
        <w:top w:val="none" w:sz="0" w:space="0" w:color="auto"/>
        <w:left w:val="none" w:sz="0" w:space="0" w:color="auto"/>
        <w:bottom w:val="none" w:sz="0" w:space="0" w:color="auto"/>
        <w:right w:val="none" w:sz="0" w:space="0" w:color="auto"/>
      </w:divBdr>
    </w:div>
    <w:div w:id="1723944240">
      <w:bodyDiv w:val="1"/>
      <w:marLeft w:val="0"/>
      <w:marRight w:val="0"/>
      <w:marTop w:val="0"/>
      <w:marBottom w:val="0"/>
      <w:divBdr>
        <w:top w:val="none" w:sz="0" w:space="0" w:color="auto"/>
        <w:left w:val="none" w:sz="0" w:space="0" w:color="auto"/>
        <w:bottom w:val="none" w:sz="0" w:space="0" w:color="auto"/>
        <w:right w:val="none" w:sz="0" w:space="0" w:color="auto"/>
      </w:divBdr>
    </w:div>
    <w:div w:id="1724401162">
      <w:bodyDiv w:val="1"/>
      <w:marLeft w:val="0"/>
      <w:marRight w:val="0"/>
      <w:marTop w:val="0"/>
      <w:marBottom w:val="0"/>
      <w:divBdr>
        <w:top w:val="none" w:sz="0" w:space="0" w:color="auto"/>
        <w:left w:val="none" w:sz="0" w:space="0" w:color="auto"/>
        <w:bottom w:val="none" w:sz="0" w:space="0" w:color="auto"/>
        <w:right w:val="none" w:sz="0" w:space="0" w:color="auto"/>
      </w:divBdr>
    </w:div>
    <w:div w:id="1725640055">
      <w:bodyDiv w:val="1"/>
      <w:marLeft w:val="0"/>
      <w:marRight w:val="0"/>
      <w:marTop w:val="0"/>
      <w:marBottom w:val="0"/>
      <w:divBdr>
        <w:top w:val="none" w:sz="0" w:space="0" w:color="auto"/>
        <w:left w:val="none" w:sz="0" w:space="0" w:color="auto"/>
        <w:bottom w:val="none" w:sz="0" w:space="0" w:color="auto"/>
        <w:right w:val="none" w:sz="0" w:space="0" w:color="auto"/>
      </w:divBdr>
    </w:div>
    <w:div w:id="1726832799">
      <w:bodyDiv w:val="1"/>
      <w:marLeft w:val="0"/>
      <w:marRight w:val="0"/>
      <w:marTop w:val="0"/>
      <w:marBottom w:val="0"/>
      <w:divBdr>
        <w:top w:val="none" w:sz="0" w:space="0" w:color="auto"/>
        <w:left w:val="none" w:sz="0" w:space="0" w:color="auto"/>
        <w:bottom w:val="none" w:sz="0" w:space="0" w:color="auto"/>
        <w:right w:val="none" w:sz="0" w:space="0" w:color="auto"/>
      </w:divBdr>
    </w:div>
    <w:div w:id="1727946921">
      <w:bodyDiv w:val="1"/>
      <w:marLeft w:val="0"/>
      <w:marRight w:val="0"/>
      <w:marTop w:val="0"/>
      <w:marBottom w:val="0"/>
      <w:divBdr>
        <w:top w:val="none" w:sz="0" w:space="0" w:color="auto"/>
        <w:left w:val="none" w:sz="0" w:space="0" w:color="auto"/>
        <w:bottom w:val="none" w:sz="0" w:space="0" w:color="auto"/>
        <w:right w:val="none" w:sz="0" w:space="0" w:color="auto"/>
      </w:divBdr>
    </w:div>
    <w:div w:id="1728338769">
      <w:bodyDiv w:val="1"/>
      <w:marLeft w:val="0"/>
      <w:marRight w:val="0"/>
      <w:marTop w:val="0"/>
      <w:marBottom w:val="0"/>
      <w:divBdr>
        <w:top w:val="none" w:sz="0" w:space="0" w:color="auto"/>
        <w:left w:val="none" w:sz="0" w:space="0" w:color="auto"/>
        <w:bottom w:val="none" w:sz="0" w:space="0" w:color="auto"/>
        <w:right w:val="none" w:sz="0" w:space="0" w:color="auto"/>
      </w:divBdr>
    </w:div>
    <w:div w:id="1729570465">
      <w:bodyDiv w:val="1"/>
      <w:marLeft w:val="0"/>
      <w:marRight w:val="0"/>
      <w:marTop w:val="0"/>
      <w:marBottom w:val="0"/>
      <w:divBdr>
        <w:top w:val="none" w:sz="0" w:space="0" w:color="auto"/>
        <w:left w:val="none" w:sz="0" w:space="0" w:color="auto"/>
        <w:bottom w:val="none" w:sz="0" w:space="0" w:color="auto"/>
        <w:right w:val="none" w:sz="0" w:space="0" w:color="auto"/>
      </w:divBdr>
    </w:div>
    <w:div w:id="1729955747">
      <w:bodyDiv w:val="1"/>
      <w:marLeft w:val="0"/>
      <w:marRight w:val="0"/>
      <w:marTop w:val="0"/>
      <w:marBottom w:val="0"/>
      <w:divBdr>
        <w:top w:val="none" w:sz="0" w:space="0" w:color="auto"/>
        <w:left w:val="none" w:sz="0" w:space="0" w:color="auto"/>
        <w:bottom w:val="none" w:sz="0" w:space="0" w:color="auto"/>
        <w:right w:val="none" w:sz="0" w:space="0" w:color="auto"/>
      </w:divBdr>
    </w:div>
    <w:div w:id="1729958671">
      <w:bodyDiv w:val="1"/>
      <w:marLeft w:val="0"/>
      <w:marRight w:val="0"/>
      <w:marTop w:val="0"/>
      <w:marBottom w:val="0"/>
      <w:divBdr>
        <w:top w:val="none" w:sz="0" w:space="0" w:color="auto"/>
        <w:left w:val="none" w:sz="0" w:space="0" w:color="auto"/>
        <w:bottom w:val="none" w:sz="0" w:space="0" w:color="auto"/>
        <w:right w:val="none" w:sz="0" w:space="0" w:color="auto"/>
      </w:divBdr>
    </w:div>
    <w:div w:id="1729960052">
      <w:bodyDiv w:val="1"/>
      <w:marLeft w:val="0"/>
      <w:marRight w:val="0"/>
      <w:marTop w:val="0"/>
      <w:marBottom w:val="0"/>
      <w:divBdr>
        <w:top w:val="none" w:sz="0" w:space="0" w:color="auto"/>
        <w:left w:val="none" w:sz="0" w:space="0" w:color="auto"/>
        <w:bottom w:val="none" w:sz="0" w:space="0" w:color="auto"/>
        <w:right w:val="none" w:sz="0" w:space="0" w:color="auto"/>
      </w:divBdr>
    </w:div>
    <w:div w:id="1730033066">
      <w:bodyDiv w:val="1"/>
      <w:marLeft w:val="0"/>
      <w:marRight w:val="0"/>
      <w:marTop w:val="0"/>
      <w:marBottom w:val="0"/>
      <w:divBdr>
        <w:top w:val="none" w:sz="0" w:space="0" w:color="auto"/>
        <w:left w:val="none" w:sz="0" w:space="0" w:color="auto"/>
        <w:bottom w:val="none" w:sz="0" w:space="0" w:color="auto"/>
        <w:right w:val="none" w:sz="0" w:space="0" w:color="auto"/>
      </w:divBdr>
    </w:div>
    <w:div w:id="1730499153">
      <w:bodyDiv w:val="1"/>
      <w:marLeft w:val="0"/>
      <w:marRight w:val="0"/>
      <w:marTop w:val="0"/>
      <w:marBottom w:val="0"/>
      <w:divBdr>
        <w:top w:val="none" w:sz="0" w:space="0" w:color="auto"/>
        <w:left w:val="none" w:sz="0" w:space="0" w:color="auto"/>
        <w:bottom w:val="none" w:sz="0" w:space="0" w:color="auto"/>
        <w:right w:val="none" w:sz="0" w:space="0" w:color="auto"/>
      </w:divBdr>
    </w:div>
    <w:div w:id="1731806526">
      <w:bodyDiv w:val="1"/>
      <w:marLeft w:val="0"/>
      <w:marRight w:val="0"/>
      <w:marTop w:val="0"/>
      <w:marBottom w:val="0"/>
      <w:divBdr>
        <w:top w:val="none" w:sz="0" w:space="0" w:color="auto"/>
        <w:left w:val="none" w:sz="0" w:space="0" w:color="auto"/>
        <w:bottom w:val="none" w:sz="0" w:space="0" w:color="auto"/>
        <w:right w:val="none" w:sz="0" w:space="0" w:color="auto"/>
      </w:divBdr>
    </w:div>
    <w:div w:id="1731877554">
      <w:bodyDiv w:val="1"/>
      <w:marLeft w:val="0"/>
      <w:marRight w:val="0"/>
      <w:marTop w:val="0"/>
      <w:marBottom w:val="0"/>
      <w:divBdr>
        <w:top w:val="none" w:sz="0" w:space="0" w:color="auto"/>
        <w:left w:val="none" w:sz="0" w:space="0" w:color="auto"/>
        <w:bottom w:val="none" w:sz="0" w:space="0" w:color="auto"/>
        <w:right w:val="none" w:sz="0" w:space="0" w:color="auto"/>
      </w:divBdr>
    </w:div>
    <w:div w:id="1732079405">
      <w:bodyDiv w:val="1"/>
      <w:marLeft w:val="0"/>
      <w:marRight w:val="0"/>
      <w:marTop w:val="0"/>
      <w:marBottom w:val="0"/>
      <w:divBdr>
        <w:top w:val="none" w:sz="0" w:space="0" w:color="auto"/>
        <w:left w:val="none" w:sz="0" w:space="0" w:color="auto"/>
        <w:bottom w:val="none" w:sz="0" w:space="0" w:color="auto"/>
        <w:right w:val="none" w:sz="0" w:space="0" w:color="auto"/>
      </w:divBdr>
    </w:div>
    <w:div w:id="1732192713">
      <w:bodyDiv w:val="1"/>
      <w:marLeft w:val="0"/>
      <w:marRight w:val="0"/>
      <w:marTop w:val="0"/>
      <w:marBottom w:val="0"/>
      <w:divBdr>
        <w:top w:val="none" w:sz="0" w:space="0" w:color="auto"/>
        <w:left w:val="none" w:sz="0" w:space="0" w:color="auto"/>
        <w:bottom w:val="none" w:sz="0" w:space="0" w:color="auto"/>
        <w:right w:val="none" w:sz="0" w:space="0" w:color="auto"/>
      </w:divBdr>
    </w:div>
    <w:div w:id="1732384846">
      <w:bodyDiv w:val="1"/>
      <w:marLeft w:val="0"/>
      <w:marRight w:val="0"/>
      <w:marTop w:val="0"/>
      <w:marBottom w:val="0"/>
      <w:divBdr>
        <w:top w:val="none" w:sz="0" w:space="0" w:color="auto"/>
        <w:left w:val="none" w:sz="0" w:space="0" w:color="auto"/>
        <w:bottom w:val="none" w:sz="0" w:space="0" w:color="auto"/>
        <w:right w:val="none" w:sz="0" w:space="0" w:color="auto"/>
      </w:divBdr>
    </w:div>
    <w:div w:id="1733381510">
      <w:bodyDiv w:val="1"/>
      <w:marLeft w:val="0"/>
      <w:marRight w:val="0"/>
      <w:marTop w:val="0"/>
      <w:marBottom w:val="0"/>
      <w:divBdr>
        <w:top w:val="none" w:sz="0" w:space="0" w:color="auto"/>
        <w:left w:val="none" w:sz="0" w:space="0" w:color="auto"/>
        <w:bottom w:val="none" w:sz="0" w:space="0" w:color="auto"/>
        <w:right w:val="none" w:sz="0" w:space="0" w:color="auto"/>
      </w:divBdr>
    </w:div>
    <w:div w:id="1733847259">
      <w:bodyDiv w:val="1"/>
      <w:marLeft w:val="0"/>
      <w:marRight w:val="0"/>
      <w:marTop w:val="0"/>
      <w:marBottom w:val="0"/>
      <w:divBdr>
        <w:top w:val="none" w:sz="0" w:space="0" w:color="auto"/>
        <w:left w:val="none" w:sz="0" w:space="0" w:color="auto"/>
        <w:bottom w:val="none" w:sz="0" w:space="0" w:color="auto"/>
        <w:right w:val="none" w:sz="0" w:space="0" w:color="auto"/>
      </w:divBdr>
    </w:div>
    <w:div w:id="1735852603">
      <w:bodyDiv w:val="1"/>
      <w:marLeft w:val="0"/>
      <w:marRight w:val="0"/>
      <w:marTop w:val="0"/>
      <w:marBottom w:val="0"/>
      <w:divBdr>
        <w:top w:val="none" w:sz="0" w:space="0" w:color="auto"/>
        <w:left w:val="none" w:sz="0" w:space="0" w:color="auto"/>
        <w:bottom w:val="none" w:sz="0" w:space="0" w:color="auto"/>
        <w:right w:val="none" w:sz="0" w:space="0" w:color="auto"/>
      </w:divBdr>
    </w:div>
    <w:div w:id="1736472924">
      <w:bodyDiv w:val="1"/>
      <w:marLeft w:val="0"/>
      <w:marRight w:val="0"/>
      <w:marTop w:val="0"/>
      <w:marBottom w:val="0"/>
      <w:divBdr>
        <w:top w:val="none" w:sz="0" w:space="0" w:color="auto"/>
        <w:left w:val="none" w:sz="0" w:space="0" w:color="auto"/>
        <w:bottom w:val="none" w:sz="0" w:space="0" w:color="auto"/>
        <w:right w:val="none" w:sz="0" w:space="0" w:color="auto"/>
      </w:divBdr>
    </w:div>
    <w:div w:id="1736513471">
      <w:bodyDiv w:val="1"/>
      <w:marLeft w:val="0"/>
      <w:marRight w:val="0"/>
      <w:marTop w:val="0"/>
      <w:marBottom w:val="0"/>
      <w:divBdr>
        <w:top w:val="none" w:sz="0" w:space="0" w:color="auto"/>
        <w:left w:val="none" w:sz="0" w:space="0" w:color="auto"/>
        <w:bottom w:val="none" w:sz="0" w:space="0" w:color="auto"/>
        <w:right w:val="none" w:sz="0" w:space="0" w:color="auto"/>
      </w:divBdr>
    </w:div>
    <w:div w:id="1736926061">
      <w:bodyDiv w:val="1"/>
      <w:marLeft w:val="0"/>
      <w:marRight w:val="0"/>
      <w:marTop w:val="0"/>
      <w:marBottom w:val="0"/>
      <w:divBdr>
        <w:top w:val="none" w:sz="0" w:space="0" w:color="auto"/>
        <w:left w:val="none" w:sz="0" w:space="0" w:color="auto"/>
        <w:bottom w:val="none" w:sz="0" w:space="0" w:color="auto"/>
        <w:right w:val="none" w:sz="0" w:space="0" w:color="auto"/>
      </w:divBdr>
    </w:div>
    <w:div w:id="1736975487">
      <w:bodyDiv w:val="1"/>
      <w:marLeft w:val="0"/>
      <w:marRight w:val="0"/>
      <w:marTop w:val="0"/>
      <w:marBottom w:val="0"/>
      <w:divBdr>
        <w:top w:val="none" w:sz="0" w:space="0" w:color="auto"/>
        <w:left w:val="none" w:sz="0" w:space="0" w:color="auto"/>
        <w:bottom w:val="none" w:sz="0" w:space="0" w:color="auto"/>
        <w:right w:val="none" w:sz="0" w:space="0" w:color="auto"/>
      </w:divBdr>
    </w:div>
    <w:div w:id="1737971354">
      <w:bodyDiv w:val="1"/>
      <w:marLeft w:val="0"/>
      <w:marRight w:val="0"/>
      <w:marTop w:val="0"/>
      <w:marBottom w:val="0"/>
      <w:divBdr>
        <w:top w:val="none" w:sz="0" w:space="0" w:color="auto"/>
        <w:left w:val="none" w:sz="0" w:space="0" w:color="auto"/>
        <w:bottom w:val="none" w:sz="0" w:space="0" w:color="auto"/>
        <w:right w:val="none" w:sz="0" w:space="0" w:color="auto"/>
      </w:divBdr>
    </w:div>
    <w:div w:id="1738358223">
      <w:bodyDiv w:val="1"/>
      <w:marLeft w:val="0"/>
      <w:marRight w:val="0"/>
      <w:marTop w:val="0"/>
      <w:marBottom w:val="0"/>
      <w:divBdr>
        <w:top w:val="none" w:sz="0" w:space="0" w:color="auto"/>
        <w:left w:val="none" w:sz="0" w:space="0" w:color="auto"/>
        <w:bottom w:val="none" w:sz="0" w:space="0" w:color="auto"/>
        <w:right w:val="none" w:sz="0" w:space="0" w:color="auto"/>
      </w:divBdr>
    </w:div>
    <w:div w:id="1738361491">
      <w:bodyDiv w:val="1"/>
      <w:marLeft w:val="0"/>
      <w:marRight w:val="0"/>
      <w:marTop w:val="0"/>
      <w:marBottom w:val="0"/>
      <w:divBdr>
        <w:top w:val="none" w:sz="0" w:space="0" w:color="auto"/>
        <w:left w:val="none" w:sz="0" w:space="0" w:color="auto"/>
        <w:bottom w:val="none" w:sz="0" w:space="0" w:color="auto"/>
        <w:right w:val="none" w:sz="0" w:space="0" w:color="auto"/>
      </w:divBdr>
    </w:div>
    <w:div w:id="1738548388">
      <w:bodyDiv w:val="1"/>
      <w:marLeft w:val="0"/>
      <w:marRight w:val="0"/>
      <w:marTop w:val="0"/>
      <w:marBottom w:val="0"/>
      <w:divBdr>
        <w:top w:val="none" w:sz="0" w:space="0" w:color="auto"/>
        <w:left w:val="none" w:sz="0" w:space="0" w:color="auto"/>
        <w:bottom w:val="none" w:sz="0" w:space="0" w:color="auto"/>
        <w:right w:val="none" w:sz="0" w:space="0" w:color="auto"/>
      </w:divBdr>
    </w:div>
    <w:div w:id="1738818514">
      <w:bodyDiv w:val="1"/>
      <w:marLeft w:val="0"/>
      <w:marRight w:val="0"/>
      <w:marTop w:val="0"/>
      <w:marBottom w:val="0"/>
      <w:divBdr>
        <w:top w:val="none" w:sz="0" w:space="0" w:color="auto"/>
        <w:left w:val="none" w:sz="0" w:space="0" w:color="auto"/>
        <w:bottom w:val="none" w:sz="0" w:space="0" w:color="auto"/>
        <w:right w:val="none" w:sz="0" w:space="0" w:color="auto"/>
      </w:divBdr>
    </w:div>
    <w:div w:id="1738939174">
      <w:bodyDiv w:val="1"/>
      <w:marLeft w:val="0"/>
      <w:marRight w:val="0"/>
      <w:marTop w:val="0"/>
      <w:marBottom w:val="0"/>
      <w:divBdr>
        <w:top w:val="none" w:sz="0" w:space="0" w:color="auto"/>
        <w:left w:val="none" w:sz="0" w:space="0" w:color="auto"/>
        <w:bottom w:val="none" w:sz="0" w:space="0" w:color="auto"/>
        <w:right w:val="none" w:sz="0" w:space="0" w:color="auto"/>
      </w:divBdr>
    </w:div>
    <w:div w:id="1738943322">
      <w:bodyDiv w:val="1"/>
      <w:marLeft w:val="0"/>
      <w:marRight w:val="0"/>
      <w:marTop w:val="0"/>
      <w:marBottom w:val="0"/>
      <w:divBdr>
        <w:top w:val="none" w:sz="0" w:space="0" w:color="auto"/>
        <w:left w:val="none" w:sz="0" w:space="0" w:color="auto"/>
        <w:bottom w:val="none" w:sz="0" w:space="0" w:color="auto"/>
        <w:right w:val="none" w:sz="0" w:space="0" w:color="auto"/>
      </w:divBdr>
    </w:div>
    <w:div w:id="1739018312">
      <w:bodyDiv w:val="1"/>
      <w:marLeft w:val="0"/>
      <w:marRight w:val="0"/>
      <w:marTop w:val="0"/>
      <w:marBottom w:val="0"/>
      <w:divBdr>
        <w:top w:val="none" w:sz="0" w:space="0" w:color="auto"/>
        <w:left w:val="none" w:sz="0" w:space="0" w:color="auto"/>
        <w:bottom w:val="none" w:sz="0" w:space="0" w:color="auto"/>
        <w:right w:val="none" w:sz="0" w:space="0" w:color="auto"/>
      </w:divBdr>
    </w:div>
    <w:div w:id="1739479296">
      <w:bodyDiv w:val="1"/>
      <w:marLeft w:val="0"/>
      <w:marRight w:val="0"/>
      <w:marTop w:val="0"/>
      <w:marBottom w:val="0"/>
      <w:divBdr>
        <w:top w:val="none" w:sz="0" w:space="0" w:color="auto"/>
        <w:left w:val="none" w:sz="0" w:space="0" w:color="auto"/>
        <w:bottom w:val="none" w:sz="0" w:space="0" w:color="auto"/>
        <w:right w:val="none" w:sz="0" w:space="0" w:color="auto"/>
      </w:divBdr>
    </w:div>
    <w:div w:id="1739664654">
      <w:bodyDiv w:val="1"/>
      <w:marLeft w:val="0"/>
      <w:marRight w:val="0"/>
      <w:marTop w:val="0"/>
      <w:marBottom w:val="0"/>
      <w:divBdr>
        <w:top w:val="none" w:sz="0" w:space="0" w:color="auto"/>
        <w:left w:val="none" w:sz="0" w:space="0" w:color="auto"/>
        <w:bottom w:val="none" w:sz="0" w:space="0" w:color="auto"/>
        <w:right w:val="none" w:sz="0" w:space="0" w:color="auto"/>
      </w:divBdr>
    </w:div>
    <w:div w:id="1739790857">
      <w:bodyDiv w:val="1"/>
      <w:marLeft w:val="0"/>
      <w:marRight w:val="0"/>
      <w:marTop w:val="0"/>
      <w:marBottom w:val="0"/>
      <w:divBdr>
        <w:top w:val="none" w:sz="0" w:space="0" w:color="auto"/>
        <w:left w:val="none" w:sz="0" w:space="0" w:color="auto"/>
        <w:bottom w:val="none" w:sz="0" w:space="0" w:color="auto"/>
        <w:right w:val="none" w:sz="0" w:space="0" w:color="auto"/>
      </w:divBdr>
    </w:div>
    <w:div w:id="1740400840">
      <w:bodyDiv w:val="1"/>
      <w:marLeft w:val="0"/>
      <w:marRight w:val="0"/>
      <w:marTop w:val="0"/>
      <w:marBottom w:val="0"/>
      <w:divBdr>
        <w:top w:val="none" w:sz="0" w:space="0" w:color="auto"/>
        <w:left w:val="none" w:sz="0" w:space="0" w:color="auto"/>
        <w:bottom w:val="none" w:sz="0" w:space="0" w:color="auto"/>
        <w:right w:val="none" w:sz="0" w:space="0" w:color="auto"/>
      </w:divBdr>
    </w:div>
    <w:div w:id="1740903954">
      <w:bodyDiv w:val="1"/>
      <w:marLeft w:val="0"/>
      <w:marRight w:val="0"/>
      <w:marTop w:val="0"/>
      <w:marBottom w:val="0"/>
      <w:divBdr>
        <w:top w:val="none" w:sz="0" w:space="0" w:color="auto"/>
        <w:left w:val="none" w:sz="0" w:space="0" w:color="auto"/>
        <w:bottom w:val="none" w:sz="0" w:space="0" w:color="auto"/>
        <w:right w:val="none" w:sz="0" w:space="0" w:color="auto"/>
      </w:divBdr>
    </w:div>
    <w:div w:id="1741710922">
      <w:bodyDiv w:val="1"/>
      <w:marLeft w:val="0"/>
      <w:marRight w:val="0"/>
      <w:marTop w:val="0"/>
      <w:marBottom w:val="0"/>
      <w:divBdr>
        <w:top w:val="none" w:sz="0" w:space="0" w:color="auto"/>
        <w:left w:val="none" w:sz="0" w:space="0" w:color="auto"/>
        <w:bottom w:val="none" w:sz="0" w:space="0" w:color="auto"/>
        <w:right w:val="none" w:sz="0" w:space="0" w:color="auto"/>
      </w:divBdr>
    </w:div>
    <w:div w:id="1742483129">
      <w:bodyDiv w:val="1"/>
      <w:marLeft w:val="0"/>
      <w:marRight w:val="0"/>
      <w:marTop w:val="0"/>
      <w:marBottom w:val="0"/>
      <w:divBdr>
        <w:top w:val="none" w:sz="0" w:space="0" w:color="auto"/>
        <w:left w:val="none" w:sz="0" w:space="0" w:color="auto"/>
        <w:bottom w:val="none" w:sz="0" w:space="0" w:color="auto"/>
        <w:right w:val="none" w:sz="0" w:space="0" w:color="auto"/>
      </w:divBdr>
    </w:div>
    <w:div w:id="1742867812">
      <w:bodyDiv w:val="1"/>
      <w:marLeft w:val="0"/>
      <w:marRight w:val="0"/>
      <w:marTop w:val="0"/>
      <w:marBottom w:val="0"/>
      <w:divBdr>
        <w:top w:val="none" w:sz="0" w:space="0" w:color="auto"/>
        <w:left w:val="none" w:sz="0" w:space="0" w:color="auto"/>
        <w:bottom w:val="none" w:sz="0" w:space="0" w:color="auto"/>
        <w:right w:val="none" w:sz="0" w:space="0" w:color="auto"/>
      </w:divBdr>
    </w:div>
    <w:div w:id="1743411308">
      <w:bodyDiv w:val="1"/>
      <w:marLeft w:val="0"/>
      <w:marRight w:val="0"/>
      <w:marTop w:val="0"/>
      <w:marBottom w:val="0"/>
      <w:divBdr>
        <w:top w:val="none" w:sz="0" w:space="0" w:color="auto"/>
        <w:left w:val="none" w:sz="0" w:space="0" w:color="auto"/>
        <w:bottom w:val="none" w:sz="0" w:space="0" w:color="auto"/>
        <w:right w:val="none" w:sz="0" w:space="0" w:color="auto"/>
      </w:divBdr>
    </w:div>
    <w:div w:id="1744989880">
      <w:bodyDiv w:val="1"/>
      <w:marLeft w:val="0"/>
      <w:marRight w:val="0"/>
      <w:marTop w:val="0"/>
      <w:marBottom w:val="0"/>
      <w:divBdr>
        <w:top w:val="none" w:sz="0" w:space="0" w:color="auto"/>
        <w:left w:val="none" w:sz="0" w:space="0" w:color="auto"/>
        <w:bottom w:val="none" w:sz="0" w:space="0" w:color="auto"/>
        <w:right w:val="none" w:sz="0" w:space="0" w:color="auto"/>
      </w:divBdr>
    </w:div>
    <w:div w:id="1745955337">
      <w:bodyDiv w:val="1"/>
      <w:marLeft w:val="0"/>
      <w:marRight w:val="0"/>
      <w:marTop w:val="0"/>
      <w:marBottom w:val="0"/>
      <w:divBdr>
        <w:top w:val="none" w:sz="0" w:space="0" w:color="auto"/>
        <w:left w:val="none" w:sz="0" w:space="0" w:color="auto"/>
        <w:bottom w:val="none" w:sz="0" w:space="0" w:color="auto"/>
        <w:right w:val="none" w:sz="0" w:space="0" w:color="auto"/>
      </w:divBdr>
    </w:div>
    <w:div w:id="1746731107">
      <w:bodyDiv w:val="1"/>
      <w:marLeft w:val="0"/>
      <w:marRight w:val="0"/>
      <w:marTop w:val="0"/>
      <w:marBottom w:val="0"/>
      <w:divBdr>
        <w:top w:val="none" w:sz="0" w:space="0" w:color="auto"/>
        <w:left w:val="none" w:sz="0" w:space="0" w:color="auto"/>
        <w:bottom w:val="none" w:sz="0" w:space="0" w:color="auto"/>
        <w:right w:val="none" w:sz="0" w:space="0" w:color="auto"/>
      </w:divBdr>
    </w:div>
    <w:div w:id="1746949714">
      <w:bodyDiv w:val="1"/>
      <w:marLeft w:val="0"/>
      <w:marRight w:val="0"/>
      <w:marTop w:val="0"/>
      <w:marBottom w:val="0"/>
      <w:divBdr>
        <w:top w:val="none" w:sz="0" w:space="0" w:color="auto"/>
        <w:left w:val="none" w:sz="0" w:space="0" w:color="auto"/>
        <w:bottom w:val="none" w:sz="0" w:space="0" w:color="auto"/>
        <w:right w:val="none" w:sz="0" w:space="0" w:color="auto"/>
      </w:divBdr>
    </w:div>
    <w:div w:id="1747418291">
      <w:bodyDiv w:val="1"/>
      <w:marLeft w:val="0"/>
      <w:marRight w:val="0"/>
      <w:marTop w:val="0"/>
      <w:marBottom w:val="0"/>
      <w:divBdr>
        <w:top w:val="none" w:sz="0" w:space="0" w:color="auto"/>
        <w:left w:val="none" w:sz="0" w:space="0" w:color="auto"/>
        <w:bottom w:val="none" w:sz="0" w:space="0" w:color="auto"/>
        <w:right w:val="none" w:sz="0" w:space="0" w:color="auto"/>
      </w:divBdr>
    </w:div>
    <w:div w:id="1747872210">
      <w:bodyDiv w:val="1"/>
      <w:marLeft w:val="0"/>
      <w:marRight w:val="0"/>
      <w:marTop w:val="0"/>
      <w:marBottom w:val="0"/>
      <w:divBdr>
        <w:top w:val="none" w:sz="0" w:space="0" w:color="auto"/>
        <w:left w:val="none" w:sz="0" w:space="0" w:color="auto"/>
        <w:bottom w:val="none" w:sz="0" w:space="0" w:color="auto"/>
        <w:right w:val="none" w:sz="0" w:space="0" w:color="auto"/>
      </w:divBdr>
    </w:div>
    <w:div w:id="1747994133">
      <w:bodyDiv w:val="1"/>
      <w:marLeft w:val="0"/>
      <w:marRight w:val="0"/>
      <w:marTop w:val="0"/>
      <w:marBottom w:val="0"/>
      <w:divBdr>
        <w:top w:val="none" w:sz="0" w:space="0" w:color="auto"/>
        <w:left w:val="none" w:sz="0" w:space="0" w:color="auto"/>
        <w:bottom w:val="none" w:sz="0" w:space="0" w:color="auto"/>
        <w:right w:val="none" w:sz="0" w:space="0" w:color="auto"/>
      </w:divBdr>
    </w:div>
    <w:div w:id="1748842291">
      <w:bodyDiv w:val="1"/>
      <w:marLeft w:val="0"/>
      <w:marRight w:val="0"/>
      <w:marTop w:val="0"/>
      <w:marBottom w:val="0"/>
      <w:divBdr>
        <w:top w:val="none" w:sz="0" w:space="0" w:color="auto"/>
        <w:left w:val="none" w:sz="0" w:space="0" w:color="auto"/>
        <w:bottom w:val="none" w:sz="0" w:space="0" w:color="auto"/>
        <w:right w:val="none" w:sz="0" w:space="0" w:color="auto"/>
      </w:divBdr>
    </w:div>
    <w:div w:id="1748842862">
      <w:bodyDiv w:val="1"/>
      <w:marLeft w:val="0"/>
      <w:marRight w:val="0"/>
      <w:marTop w:val="0"/>
      <w:marBottom w:val="0"/>
      <w:divBdr>
        <w:top w:val="none" w:sz="0" w:space="0" w:color="auto"/>
        <w:left w:val="none" w:sz="0" w:space="0" w:color="auto"/>
        <w:bottom w:val="none" w:sz="0" w:space="0" w:color="auto"/>
        <w:right w:val="none" w:sz="0" w:space="0" w:color="auto"/>
      </w:divBdr>
    </w:div>
    <w:div w:id="1749109030">
      <w:bodyDiv w:val="1"/>
      <w:marLeft w:val="0"/>
      <w:marRight w:val="0"/>
      <w:marTop w:val="0"/>
      <w:marBottom w:val="0"/>
      <w:divBdr>
        <w:top w:val="none" w:sz="0" w:space="0" w:color="auto"/>
        <w:left w:val="none" w:sz="0" w:space="0" w:color="auto"/>
        <w:bottom w:val="none" w:sz="0" w:space="0" w:color="auto"/>
        <w:right w:val="none" w:sz="0" w:space="0" w:color="auto"/>
      </w:divBdr>
    </w:div>
    <w:div w:id="1749425624">
      <w:bodyDiv w:val="1"/>
      <w:marLeft w:val="0"/>
      <w:marRight w:val="0"/>
      <w:marTop w:val="0"/>
      <w:marBottom w:val="0"/>
      <w:divBdr>
        <w:top w:val="none" w:sz="0" w:space="0" w:color="auto"/>
        <w:left w:val="none" w:sz="0" w:space="0" w:color="auto"/>
        <w:bottom w:val="none" w:sz="0" w:space="0" w:color="auto"/>
        <w:right w:val="none" w:sz="0" w:space="0" w:color="auto"/>
      </w:divBdr>
    </w:div>
    <w:div w:id="1750035504">
      <w:bodyDiv w:val="1"/>
      <w:marLeft w:val="0"/>
      <w:marRight w:val="0"/>
      <w:marTop w:val="0"/>
      <w:marBottom w:val="0"/>
      <w:divBdr>
        <w:top w:val="none" w:sz="0" w:space="0" w:color="auto"/>
        <w:left w:val="none" w:sz="0" w:space="0" w:color="auto"/>
        <w:bottom w:val="none" w:sz="0" w:space="0" w:color="auto"/>
        <w:right w:val="none" w:sz="0" w:space="0" w:color="auto"/>
      </w:divBdr>
    </w:div>
    <w:div w:id="1750497407">
      <w:bodyDiv w:val="1"/>
      <w:marLeft w:val="0"/>
      <w:marRight w:val="0"/>
      <w:marTop w:val="0"/>
      <w:marBottom w:val="0"/>
      <w:divBdr>
        <w:top w:val="none" w:sz="0" w:space="0" w:color="auto"/>
        <w:left w:val="none" w:sz="0" w:space="0" w:color="auto"/>
        <w:bottom w:val="none" w:sz="0" w:space="0" w:color="auto"/>
        <w:right w:val="none" w:sz="0" w:space="0" w:color="auto"/>
      </w:divBdr>
    </w:div>
    <w:div w:id="1751416654">
      <w:bodyDiv w:val="1"/>
      <w:marLeft w:val="0"/>
      <w:marRight w:val="0"/>
      <w:marTop w:val="0"/>
      <w:marBottom w:val="0"/>
      <w:divBdr>
        <w:top w:val="none" w:sz="0" w:space="0" w:color="auto"/>
        <w:left w:val="none" w:sz="0" w:space="0" w:color="auto"/>
        <w:bottom w:val="none" w:sz="0" w:space="0" w:color="auto"/>
        <w:right w:val="none" w:sz="0" w:space="0" w:color="auto"/>
      </w:divBdr>
    </w:div>
    <w:div w:id="1751733512">
      <w:bodyDiv w:val="1"/>
      <w:marLeft w:val="0"/>
      <w:marRight w:val="0"/>
      <w:marTop w:val="0"/>
      <w:marBottom w:val="0"/>
      <w:divBdr>
        <w:top w:val="none" w:sz="0" w:space="0" w:color="auto"/>
        <w:left w:val="none" w:sz="0" w:space="0" w:color="auto"/>
        <w:bottom w:val="none" w:sz="0" w:space="0" w:color="auto"/>
        <w:right w:val="none" w:sz="0" w:space="0" w:color="auto"/>
      </w:divBdr>
    </w:div>
    <w:div w:id="1752121850">
      <w:bodyDiv w:val="1"/>
      <w:marLeft w:val="0"/>
      <w:marRight w:val="0"/>
      <w:marTop w:val="0"/>
      <w:marBottom w:val="0"/>
      <w:divBdr>
        <w:top w:val="none" w:sz="0" w:space="0" w:color="auto"/>
        <w:left w:val="none" w:sz="0" w:space="0" w:color="auto"/>
        <w:bottom w:val="none" w:sz="0" w:space="0" w:color="auto"/>
        <w:right w:val="none" w:sz="0" w:space="0" w:color="auto"/>
      </w:divBdr>
    </w:div>
    <w:div w:id="1752433391">
      <w:bodyDiv w:val="1"/>
      <w:marLeft w:val="0"/>
      <w:marRight w:val="0"/>
      <w:marTop w:val="0"/>
      <w:marBottom w:val="0"/>
      <w:divBdr>
        <w:top w:val="none" w:sz="0" w:space="0" w:color="auto"/>
        <w:left w:val="none" w:sz="0" w:space="0" w:color="auto"/>
        <w:bottom w:val="none" w:sz="0" w:space="0" w:color="auto"/>
        <w:right w:val="none" w:sz="0" w:space="0" w:color="auto"/>
      </w:divBdr>
    </w:div>
    <w:div w:id="1752659329">
      <w:bodyDiv w:val="1"/>
      <w:marLeft w:val="0"/>
      <w:marRight w:val="0"/>
      <w:marTop w:val="0"/>
      <w:marBottom w:val="0"/>
      <w:divBdr>
        <w:top w:val="none" w:sz="0" w:space="0" w:color="auto"/>
        <w:left w:val="none" w:sz="0" w:space="0" w:color="auto"/>
        <w:bottom w:val="none" w:sz="0" w:space="0" w:color="auto"/>
        <w:right w:val="none" w:sz="0" w:space="0" w:color="auto"/>
      </w:divBdr>
    </w:div>
    <w:div w:id="1753312574">
      <w:bodyDiv w:val="1"/>
      <w:marLeft w:val="0"/>
      <w:marRight w:val="0"/>
      <w:marTop w:val="0"/>
      <w:marBottom w:val="0"/>
      <w:divBdr>
        <w:top w:val="none" w:sz="0" w:space="0" w:color="auto"/>
        <w:left w:val="none" w:sz="0" w:space="0" w:color="auto"/>
        <w:bottom w:val="none" w:sz="0" w:space="0" w:color="auto"/>
        <w:right w:val="none" w:sz="0" w:space="0" w:color="auto"/>
      </w:divBdr>
    </w:div>
    <w:div w:id="1754473103">
      <w:bodyDiv w:val="1"/>
      <w:marLeft w:val="0"/>
      <w:marRight w:val="0"/>
      <w:marTop w:val="0"/>
      <w:marBottom w:val="0"/>
      <w:divBdr>
        <w:top w:val="none" w:sz="0" w:space="0" w:color="auto"/>
        <w:left w:val="none" w:sz="0" w:space="0" w:color="auto"/>
        <w:bottom w:val="none" w:sz="0" w:space="0" w:color="auto"/>
        <w:right w:val="none" w:sz="0" w:space="0" w:color="auto"/>
      </w:divBdr>
    </w:div>
    <w:div w:id="1755395371">
      <w:bodyDiv w:val="1"/>
      <w:marLeft w:val="0"/>
      <w:marRight w:val="0"/>
      <w:marTop w:val="0"/>
      <w:marBottom w:val="0"/>
      <w:divBdr>
        <w:top w:val="none" w:sz="0" w:space="0" w:color="auto"/>
        <w:left w:val="none" w:sz="0" w:space="0" w:color="auto"/>
        <w:bottom w:val="none" w:sz="0" w:space="0" w:color="auto"/>
        <w:right w:val="none" w:sz="0" w:space="0" w:color="auto"/>
      </w:divBdr>
    </w:div>
    <w:div w:id="1755928506">
      <w:bodyDiv w:val="1"/>
      <w:marLeft w:val="0"/>
      <w:marRight w:val="0"/>
      <w:marTop w:val="0"/>
      <w:marBottom w:val="0"/>
      <w:divBdr>
        <w:top w:val="none" w:sz="0" w:space="0" w:color="auto"/>
        <w:left w:val="none" w:sz="0" w:space="0" w:color="auto"/>
        <w:bottom w:val="none" w:sz="0" w:space="0" w:color="auto"/>
        <w:right w:val="none" w:sz="0" w:space="0" w:color="auto"/>
      </w:divBdr>
    </w:div>
    <w:div w:id="1756317206">
      <w:bodyDiv w:val="1"/>
      <w:marLeft w:val="0"/>
      <w:marRight w:val="0"/>
      <w:marTop w:val="0"/>
      <w:marBottom w:val="0"/>
      <w:divBdr>
        <w:top w:val="none" w:sz="0" w:space="0" w:color="auto"/>
        <w:left w:val="none" w:sz="0" w:space="0" w:color="auto"/>
        <w:bottom w:val="none" w:sz="0" w:space="0" w:color="auto"/>
        <w:right w:val="none" w:sz="0" w:space="0" w:color="auto"/>
      </w:divBdr>
    </w:div>
    <w:div w:id="1756432976">
      <w:bodyDiv w:val="1"/>
      <w:marLeft w:val="0"/>
      <w:marRight w:val="0"/>
      <w:marTop w:val="0"/>
      <w:marBottom w:val="0"/>
      <w:divBdr>
        <w:top w:val="none" w:sz="0" w:space="0" w:color="auto"/>
        <w:left w:val="none" w:sz="0" w:space="0" w:color="auto"/>
        <w:bottom w:val="none" w:sz="0" w:space="0" w:color="auto"/>
        <w:right w:val="none" w:sz="0" w:space="0" w:color="auto"/>
      </w:divBdr>
    </w:div>
    <w:div w:id="1756826740">
      <w:bodyDiv w:val="1"/>
      <w:marLeft w:val="0"/>
      <w:marRight w:val="0"/>
      <w:marTop w:val="0"/>
      <w:marBottom w:val="0"/>
      <w:divBdr>
        <w:top w:val="none" w:sz="0" w:space="0" w:color="auto"/>
        <w:left w:val="none" w:sz="0" w:space="0" w:color="auto"/>
        <w:bottom w:val="none" w:sz="0" w:space="0" w:color="auto"/>
        <w:right w:val="none" w:sz="0" w:space="0" w:color="auto"/>
      </w:divBdr>
    </w:div>
    <w:div w:id="1757166691">
      <w:bodyDiv w:val="1"/>
      <w:marLeft w:val="0"/>
      <w:marRight w:val="0"/>
      <w:marTop w:val="0"/>
      <w:marBottom w:val="0"/>
      <w:divBdr>
        <w:top w:val="none" w:sz="0" w:space="0" w:color="auto"/>
        <w:left w:val="none" w:sz="0" w:space="0" w:color="auto"/>
        <w:bottom w:val="none" w:sz="0" w:space="0" w:color="auto"/>
        <w:right w:val="none" w:sz="0" w:space="0" w:color="auto"/>
      </w:divBdr>
    </w:div>
    <w:div w:id="1757245484">
      <w:bodyDiv w:val="1"/>
      <w:marLeft w:val="0"/>
      <w:marRight w:val="0"/>
      <w:marTop w:val="0"/>
      <w:marBottom w:val="0"/>
      <w:divBdr>
        <w:top w:val="none" w:sz="0" w:space="0" w:color="auto"/>
        <w:left w:val="none" w:sz="0" w:space="0" w:color="auto"/>
        <w:bottom w:val="none" w:sz="0" w:space="0" w:color="auto"/>
        <w:right w:val="none" w:sz="0" w:space="0" w:color="auto"/>
      </w:divBdr>
    </w:div>
    <w:div w:id="1758549247">
      <w:bodyDiv w:val="1"/>
      <w:marLeft w:val="0"/>
      <w:marRight w:val="0"/>
      <w:marTop w:val="0"/>
      <w:marBottom w:val="0"/>
      <w:divBdr>
        <w:top w:val="none" w:sz="0" w:space="0" w:color="auto"/>
        <w:left w:val="none" w:sz="0" w:space="0" w:color="auto"/>
        <w:bottom w:val="none" w:sz="0" w:space="0" w:color="auto"/>
        <w:right w:val="none" w:sz="0" w:space="0" w:color="auto"/>
      </w:divBdr>
    </w:div>
    <w:div w:id="1758595018">
      <w:bodyDiv w:val="1"/>
      <w:marLeft w:val="0"/>
      <w:marRight w:val="0"/>
      <w:marTop w:val="0"/>
      <w:marBottom w:val="0"/>
      <w:divBdr>
        <w:top w:val="none" w:sz="0" w:space="0" w:color="auto"/>
        <w:left w:val="none" w:sz="0" w:space="0" w:color="auto"/>
        <w:bottom w:val="none" w:sz="0" w:space="0" w:color="auto"/>
        <w:right w:val="none" w:sz="0" w:space="0" w:color="auto"/>
      </w:divBdr>
    </w:div>
    <w:div w:id="1758987017">
      <w:bodyDiv w:val="1"/>
      <w:marLeft w:val="0"/>
      <w:marRight w:val="0"/>
      <w:marTop w:val="0"/>
      <w:marBottom w:val="0"/>
      <w:divBdr>
        <w:top w:val="none" w:sz="0" w:space="0" w:color="auto"/>
        <w:left w:val="none" w:sz="0" w:space="0" w:color="auto"/>
        <w:bottom w:val="none" w:sz="0" w:space="0" w:color="auto"/>
        <w:right w:val="none" w:sz="0" w:space="0" w:color="auto"/>
      </w:divBdr>
    </w:div>
    <w:div w:id="1759784377">
      <w:bodyDiv w:val="1"/>
      <w:marLeft w:val="0"/>
      <w:marRight w:val="0"/>
      <w:marTop w:val="0"/>
      <w:marBottom w:val="0"/>
      <w:divBdr>
        <w:top w:val="none" w:sz="0" w:space="0" w:color="auto"/>
        <w:left w:val="none" w:sz="0" w:space="0" w:color="auto"/>
        <w:bottom w:val="none" w:sz="0" w:space="0" w:color="auto"/>
        <w:right w:val="none" w:sz="0" w:space="0" w:color="auto"/>
      </w:divBdr>
    </w:div>
    <w:div w:id="1760714570">
      <w:bodyDiv w:val="1"/>
      <w:marLeft w:val="0"/>
      <w:marRight w:val="0"/>
      <w:marTop w:val="0"/>
      <w:marBottom w:val="0"/>
      <w:divBdr>
        <w:top w:val="none" w:sz="0" w:space="0" w:color="auto"/>
        <w:left w:val="none" w:sz="0" w:space="0" w:color="auto"/>
        <w:bottom w:val="none" w:sz="0" w:space="0" w:color="auto"/>
        <w:right w:val="none" w:sz="0" w:space="0" w:color="auto"/>
      </w:divBdr>
    </w:div>
    <w:div w:id="1762752324">
      <w:bodyDiv w:val="1"/>
      <w:marLeft w:val="0"/>
      <w:marRight w:val="0"/>
      <w:marTop w:val="0"/>
      <w:marBottom w:val="0"/>
      <w:divBdr>
        <w:top w:val="none" w:sz="0" w:space="0" w:color="auto"/>
        <w:left w:val="none" w:sz="0" w:space="0" w:color="auto"/>
        <w:bottom w:val="none" w:sz="0" w:space="0" w:color="auto"/>
        <w:right w:val="none" w:sz="0" w:space="0" w:color="auto"/>
      </w:divBdr>
    </w:div>
    <w:div w:id="1763725576">
      <w:bodyDiv w:val="1"/>
      <w:marLeft w:val="0"/>
      <w:marRight w:val="0"/>
      <w:marTop w:val="0"/>
      <w:marBottom w:val="0"/>
      <w:divBdr>
        <w:top w:val="none" w:sz="0" w:space="0" w:color="auto"/>
        <w:left w:val="none" w:sz="0" w:space="0" w:color="auto"/>
        <w:bottom w:val="none" w:sz="0" w:space="0" w:color="auto"/>
        <w:right w:val="none" w:sz="0" w:space="0" w:color="auto"/>
      </w:divBdr>
    </w:div>
    <w:div w:id="1764764695">
      <w:bodyDiv w:val="1"/>
      <w:marLeft w:val="0"/>
      <w:marRight w:val="0"/>
      <w:marTop w:val="0"/>
      <w:marBottom w:val="0"/>
      <w:divBdr>
        <w:top w:val="none" w:sz="0" w:space="0" w:color="auto"/>
        <w:left w:val="none" w:sz="0" w:space="0" w:color="auto"/>
        <w:bottom w:val="none" w:sz="0" w:space="0" w:color="auto"/>
        <w:right w:val="none" w:sz="0" w:space="0" w:color="auto"/>
      </w:divBdr>
    </w:div>
    <w:div w:id="1764951144">
      <w:bodyDiv w:val="1"/>
      <w:marLeft w:val="0"/>
      <w:marRight w:val="0"/>
      <w:marTop w:val="0"/>
      <w:marBottom w:val="0"/>
      <w:divBdr>
        <w:top w:val="none" w:sz="0" w:space="0" w:color="auto"/>
        <w:left w:val="none" w:sz="0" w:space="0" w:color="auto"/>
        <w:bottom w:val="none" w:sz="0" w:space="0" w:color="auto"/>
        <w:right w:val="none" w:sz="0" w:space="0" w:color="auto"/>
      </w:divBdr>
    </w:div>
    <w:div w:id="1764956852">
      <w:bodyDiv w:val="1"/>
      <w:marLeft w:val="0"/>
      <w:marRight w:val="0"/>
      <w:marTop w:val="0"/>
      <w:marBottom w:val="0"/>
      <w:divBdr>
        <w:top w:val="none" w:sz="0" w:space="0" w:color="auto"/>
        <w:left w:val="none" w:sz="0" w:space="0" w:color="auto"/>
        <w:bottom w:val="none" w:sz="0" w:space="0" w:color="auto"/>
        <w:right w:val="none" w:sz="0" w:space="0" w:color="auto"/>
      </w:divBdr>
    </w:div>
    <w:div w:id="1766685355">
      <w:bodyDiv w:val="1"/>
      <w:marLeft w:val="0"/>
      <w:marRight w:val="0"/>
      <w:marTop w:val="0"/>
      <w:marBottom w:val="0"/>
      <w:divBdr>
        <w:top w:val="none" w:sz="0" w:space="0" w:color="auto"/>
        <w:left w:val="none" w:sz="0" w:space="0" w:color="auto"/>
        <w:bottom w:val="none" w:sz="0" w:space="0" w:color="auto"/>
        <w:right w:val="none" w:sz="0" w:space="0" w:color="auto"/>
      </w:divBdr>
    </w:div>
    <w:div w:id="1767531543">
      <w:bodyDiv w:val="1"/>
      <w:marLeft w:val="0"/>
      <w:marRight w:val="0"/>
      <w:marTop w:val="0"/>
      <w:marBottom w:val="0"/>
      <w:divBdr>
        <w:top w:val="none" w:sz="0" w:space="0" w:color="auto"/>
        <w:left w:val="none" w:sz="0" w:space="0" w:color="auto"/>
        <w:bottom w:val="none" w:sz="0" w:space="0" w:color="auto"/>
        <w:right w:val="none" w:sz="0" w:space="0" w:color="auto"/>
      </w:divBdr>
    </w:div>
    <w:div w:id="1768378172">
      <w:bodyDiv w:val="1"/>
      <w:marLeft w:val="0"/>
      <w:marRight w:val="0"/>
      <w:marTop w:val="0"/>
      <w:marBottom w:val="0"/>
      <w:divBdr>
        <w:top w:val="none" w:sz="0" w:space="0" w:color="auto"/>
        <w:left w:val="none" w:sz="0" w:space="0" w:color="auto"/>
        <w:bottom w:val="none" w:sz="0" w:space="0" w:color="auto"/>
        <w:right w:val="none" w:sz="0" w:space="0" w:color="auto"/>
      </w:divBdr>
    </w:div>
    <w:div w:id="1768386074">
      <w:bodyDiv w:val="1"/>
      <w:marLeft w:val="0"/>
      <w:marRight w:val="0"/>
      <w:marTop w:val="0"/>
      <w:marBottom w:val="0"/>
      <w:divBdr>
        <w:top w:val="none" w:sz="0" w:space="0" w:color="auto"/>
        <w:left w:val="none" w:sz="0" w:space="0" w:color="auto"/>
        <w:bottom w:val="none" w:sz="0" w:space="0" w:color="auto"/>
        <w:right w:val="none" w:sz="0" w:space="0" w:color="auto"/>
      </w:divBdr>
    </w:div>
    <w:div w:id="1769543321">
      <w:bodyDiv w:val="1"/>
      <w:marLeft w:val="0"/>
      <w:marRight w:val="0"/>
      <w:marTop w:val="0"/>
      <w:marBottom w:val="0"/>
      <w:divBdr>
        <w:top w:val="none" w:sz="0" w:space="0" w:color="auto"/>
        <w:left w:val="none" w:sz="0" w:space="0" w:color="auto"/>
        <w:bottom w:val="none" w:sz="0" w:space="0" w:color="auto"/>
        <w:right w:val="none" w:sz="0" w:space="0" w:color="auto"/>
      </w:divBdr>
    </w:div>
    <w:div w:id="1770000545">
      <w:bodyDiv w:val="1"/>
      <w:marLeft w:val="0"/>
      <w:marRight w:val="0"/>
      <w:marTop w:val="0"/>
      <w:marBottom w:val="0"/>
      <w:divBdr>
        <w:top w:val="none" w:sz="0" w:space="0" w:color="auto"/>
        <w:left w:val="none" w:sz="0" w:space="0" w:color="auto"/>
        <w:bottom w:val="none" w:sz="0" w:space="0" w:color="auto"/>
        <w:right w:val="none" w:sz="0" w:space="0" w:color="auto"/>
      </w:divBdr>
    </w:div>
    <w:div w:id="1770734040">
      <w:bodyDiv w:val="1"/>
      <w:marLeft w:val="0"/>
      <w:marRight w:val="0"/>
      <w:marTop w:val="0"/>
      <w:marBottom w:val="0"/>
      <w:divBdr>
        <w:top w:val="none" w:sz="0" w:space="0" w:color="auto"/>
        <w:left w:val="none" w:sz="0" w:space="0" w:color="auto"/>
        <w:bottom w:val="none" w:sz="0" w:space="0" w:color="auto"/>
        <w:right w:val="none" w:sz="0" w:space="0" w:color="auto"/>
      </w:divBdr>
    </w:div>
    <w:div w:id="1771045385">
      <w:bodyDiv w:val="1"/>
      <w:marLeft w:val="0"/>
      <w:marRight w:val="0"/>
      <w:marTop w:val="0"/>
      <w:marBottom w:val="0"/>
      <w:divBdr>
        <w:top w:val="none" w:sz="0" w:space="0" w:color="auto"/>
        <w:left w:val="none" w:sz="0" w:space="0" w:color="auto"/>
        <w:bottom w:val="none" w:sz="0" w:space="0" w:color="auto"/>
        <w:right w:val="none" w:sz="0" w:space="0" w:color="auto"/>
      </w:divBdr>
    </w:div>
    <w:div w:id="1771388068">
      <w:bodyDiv w:val="1"/>
      <w:marLeft w:val="0"/>
      <w:marRight w:val="0"/>
      <w:marTop w:val="0"/>
      <w:marBottom w:val="0"/>
      <w:divBdr>
        <w:top w:val="none" w:sz="0" w:space="0" w:color="auto"/>
        <w:left w:val="none" w:sz="0" w:space="0" w:color="auto"/>
        <w:bottom w:val="none" w:sz="0" w:space="0" w:color="auto"/>
        <w:right w:val="none" w:sz="0" w:space="0" w:color="auto"/>
      </w:divBdr>
    </w:div>
    <w:div w:id="1771898239">
      <w:bodyDiv w:val="1"/>
      <w:marLeft w:val="0"/>
      <w:marRight w:val="0"/>
      <w:marTop w:val="0"/>
      <w:marBottom w:val="0"/>
      <w:divBdr>
        <w:top w:val="none" w:sz="0" w:space="0" w:color="auto"/>
        <w:left w:val="none" w:sz="0" w:space="0" w:color="auto"/>
        <w:bottom w:val="none" w:sz="0" w:space="0" w:color="auto"/>
        <w:right w:val="none" w:sz="0" w:space="0" w:color="auto"/>
      </w:divBdr>
    </w:div>
    <w:div w:id="1772508735">
      <w:bodyDiv w:val="1"/>
      <w:marLeft w:val="0"/>
      <w:marRight w:val="0"/>
      <w:marTop w:val="0"/>
      <w:marBottom w:val="0"/>
      <w:divBdr>
        <w:top w:val="none" w:sz="0" w:space="0" w:color="auto"/>
        <w:left w:val="none" w:sz="0" w:space="0" w:color="auto"/>
        <w:bottom w:val="none" w:sz="0" w:space="0" w:color="auto"/>
        <w:right w:val="none" w:sz="0" w:space="0" w:color="auto"/>
      </w:divBdr>
    </w:div>
    <w:div w:id="1772818936">
      <w:bodyDiv w:val="1"/>
      <w:marLeft w:val="0"/>
      <w:marRight w:val="0"/>
      <w:marTop w:val="0"/>
      <w:marBottom w:val="0"/>
      <w:divBdr>
        <w:top w:val="none" w:sz="0" w:space="0" w:color="auto"/>
        <w:left w:val="none" w:sz="0" w:space="0" w:color="auto"/>
        <w:bottom w:val="none" w:sz="0" w:space="0" w:color="auto"/>
        <w:right w:val="none" w:sz="0" w:space="0" w:color="auto"/>
      </w:divBdr>
    </w:div>
    <w:div w:id="1773088124">
      <w:bodyDiv w:val="1"/>
      <w:marLeft w:val="0"/>
      <w:marRight w:val="0"/>
      <w:marTop w:val="0"/>
      <w:marBottom w:val="0"/>
      <w:divBdr>
        <w:top w:val="none" w:sz="0" w:space="0" w:color="auto"/>
        <w:left w:val="none" w:sz="0" w:space="0" w:color="auto"/>
        <w:bottom w:val="none" w:sz="0" w:space="0" w:color="auto"/>
        <w:right w:val="none" w:sz="0" w:space="0" w:color="auto"/>
      </w:divBdr>
    </w:div>
    <w:div w:id="1773432861">
      <w:bodyDiv w:val="1"/>
      <w:marLeft w:val="0"/>
      <w:marRight w:val="0"/>
      <w:marTop w:val="0"/>
      <w:marBottom w:val="0"/>
      <w:divBdr>
        <w:top w:val="none" w:sz="0" w:space="0" w:color="auto"/>
        <w:left w:val="none" w:sz="0" w:space="0" w:color="auto"/>
        <w:bottom w:val="none" w:sz="0" w:space="0" w:color="auto"/>
        <w:right w:val="none" w:sz="0" w:space="0" w:color="auto"/>
      </w:divBdr>
    </w:div>
    <w:div w:id="1774587904">
      <w:bodyDiv w:val="1"/>
      <w:marLeft w:val="0"/>
      <w:marRight w:val="0"/>
      <w:marTop w:val="0"/>
      <w:marBottom w:val="0"/>
      <w:divBdr>
        <w:top w:val="none" w:sz="0" w:space="0" w:color="auto"/>
        <w:left w:val="none" w:sz="0" w:space="0" w:color="auto"/>
        <w:bottom w:val="none" w:sz="0" w:space="0" w:color="auto"/>
        <w:right w:val="none" w:sz="0" w:space="0" w:color="auto"/>
      </w:divBdr>
    </w:div>
    <w:div w:id="1774668015">
      <w:bodyDiv w:val="1"/>
      <w:marLeft w:val="0"/>
      <w:marRight w:val="0"/>
      <w:marTop w:val="0"/>
      <w:marBottom w:val="0"/>
      <w:divBdr>
        <w:top w:val="none" w:sz="0" w:space="0" w:color="auto"/>
        <w:left w:val="none" w:sz="0" w:space="0" w:color="auto"/>
        <w:bottom w:val="none" w:sz="0" w:space="0" w:color="auto"/>
        <w:right w:val="none" w:sz="0" w:space="0" w:color="auto"/>
      </w:divBdr>
    </w:div>
    <w:div w:id="1776706733">
      <w:bodyDiv w:val="1"/>
      <w:marLeft w:val="0"/>
      <w:marRight w:val="0"/>
      <w:marTop w:val="0"/>
      <w:marBottom w:val="0"/>
      <w:divBdr>
        <w:top w:val="none" w:sz="0" w:space="0" w:color="auto"/>
        <w:left w:val="none" w:sz="0" w:space="0" w:color="auto"/>
        <w:bottom w:val="none" w:sz="0" w:space="0" w:color="auto"/>
        <w:right w:val="none" w:sz="0" w:space="0" w:color="auto"/>
      </w:divBdr>
    </w:div>
    <w:div w:id="1777753391">
      <w:bodyDiv w:val="1"/>
      <w:marLeft w:val="0"/>
      <w:marRight w:val="0"/>
      <w:marTop w:val="0"/>
      <w:marBottom w:val="0"/>
      <w:divBdr>
        <w:top w:val="none" w:sz="0" w:space="0" w:color="auto"/>
        <w:left w:val="none" w:sz="0" w:space="0" w:color="auto"/>
        <w:bottom w:val="none" w:sz="0" w:space="0" w:color="auto"/>
        <w:right w:val="none" w:sz="0" w:space="0" w:color="auto"/>
      </w:divBdr>
    </w:div>
    <w:div w:id="1778912250">
      <w:bodyDiv w:val="1"/>
      <w:marLeft w:val="0"/>
      <w:marRight w:val="0"/>
      <w:marTop w:val="0"/>
      <w:marBottom w:val="0"/>
      <w:divBdr>
        <w:top w:val="none" w:sz="0" w:space="0" w:color="auto"/>
        <w:left w:val="none" w:sz="0" w:space="0" w:color="auto"/>
        <w:bottom w:val="none" w:sz="0" w:space="0" w:color="auto"/>
        <w:right w:val="none" w:sz="0" w:space="0" w:color="auto"/>
      </w:divBdr>
    </w:div>
    <w:div w:id="1781873269">
      <w:bodyDiv w:val="1"/>
      <w:marLeft w:val="0"/>
      <w:marRight w:val="0"/>
      <w:marTop w:val="0"/>
      <w:marBottom w:val="0"/>
      <w:divBdr>
        <w:top w:val="none" w:sz="0" w:space="0" w:color="auto"/>
        <w:left w:val="none" w:sz="0" w:space="0" w:color="auto"/>
        <w:bottom w:val="none" w:sz="0" w:space="0" w:color="auto"/>
        <w:right w:val="none" w:sz="0" w:space="0" w:color="auto"/>
      </w:divBdr>
    </w:div>
    <w:div w:id="1782382746">
      <w:bodyDiv w:val="1"/>
      <w:marLeft w:val="0"/>
      <w:marRight w:val="0"/>
      <w:marTop w:val="0"/>
      <w:marBottom w:val="0"/>
      <w:divBdr>
        <w:top w:val="none" w:sz="0" w:space="0" w:color="auto"/>
        <w:left w:val="none" w:sz="0" w:space="0" w:color="auto"/>
        <w:bottom w:val="none" w:sz="0" w:space="0" w:color="auto"/>
        <w:right w:val="none" w:sz="0" w:space="0" w:color="auto"/>
      </w:divBdr>
    </w:div>
    <w:div w:id="1782871770">
      <w:bodyDiv w:val="1"/>
      <w:marLeft w:val="0"/>
      <w:marRight w:val="0"/>
      <w:marTop w:val="0"/>
      <w:marBottom w:val="0"/>
      <w:divBdr>
        <w:top w:val="none" w:sz="0" w:space="0" w:color="auto"/>
        <w:left w:val="none" w:sz="0" w:space="0" w:color="auto"/>
        <w:bottom w:val="none" w:sz="0" w:space="0" w:color="auto"/>
        <w:right w:val="none" w:sz="0" w:space="0" w:color="auto"/>
      </w:divBdr>
    </w:div>
    <w:div w:id="1783257652">
      <w:bodyDiv w:val="1"/>
      <w:marLeft w:val="0"/>
      <w:marRight w:val="0"/>
      <w:marTop w:val="0"/>
      <w:marBottom w:val="0"/>
      <w:divBdr>
        <w:top w:val="none" w:sz="0" w:space="0" w:color="auto"/>
        <w:left w:val="none" w:sz="0" w:space="0" w:color="auto"/>
        <w:bottom w:val="none" w:sz="0" w:space="0" w:color="auto"/>
        <w:right w:val="none" w:sz="0" w:space="0" w:color="auto"/>
      </w:divBdr>
    </w:div>
    <w:div w:id="1783265695">
      <w:bodyDiv w:val="1"/>
      <w:marLeft w:val="0"/>
      <w:marRight w:val="0"/>
      <w:marTop w:val="0"/>
      <w:marBottom w:val="0"/>
      <w:divBdr>
        <w:top w:val="none" w:sz="0" w:space="0" w:color="auto"/>
        <w:left w:val="none" w:sz="0" w:space="0" w:color="auto"/>
        <w:bottom w:val="none" w:sz="0" w:space="0" w:color="auto"/>
        <w:right w:val="none" w:sz="0" w:space="0" w:color="auto"/>
      </w:divBdr>
    </w:div>
    <w:div w:id="1785808906">
      <w:bodyDiv w:val="1"/>
      <w:marLeft w:val="0"/>
      <w:marRight w:val="0"/>
      <w:marTop w:val="0"/>
      <w:marBottom w:val="0"/>
      <w:divBdr>
        <w:top w:val="none" w:sz="0" w:space="0" w:color="auto"/>
        <w:left w:val="none" w:sz="0" w:space="0" w:color="auto"/>
        <w:bottom w:val="none" w:sz="0" w:space="0" w:color="auto"/>
        <w:right w:val="none" w:sz="0" w:space="0" w:color="auto"/>
      </w:divBdr>
    </w:div>
    <w:div w:id="1786461077">
      <w:bodyDiv w:val="1"/>
      <w:marLeft w:val="0"/>
      <w:marRight w:val="0"/>
      <w:marTop w:val="0"/>
      <w:marBottom w:val="0"/>
      <w:divBdr>
        <w:top w:val="none" w:sz="0" w:space="0" w:color="auto"/>
        <w:left w:val="none" w:sz="0" w:space="0" w:color="auto"/>
        <w:bottom w:val="none" w:sz="0" w:space="0" w:color="auto"/>
        <w:right w:val="none" w:sz="0" w:space="0" w:color="auto"/>
      </w:divBdr>
    </w:div>
    <w:div w:id="1786582767">
      <w:bodyDiv w:val="1"/>
      <w:marLeft w:val="0"/>
      <w:marRight w:val="0"/>
      <w:marTop w:val="0"/>
      <w:marBottom w:val="0"/>
      <w:divBdr>
        <w:top w:val="none" w:sz="0" w:space="0" w:color="auto"/>
        <w:left w:val="none" w:sz="0" w:space="0" w:color="auto"/>
        <w:bottom w:val="none" w:sz="0" w:space="0" w:color="auto"/>
        <w:right w:val="none" w:sz="0" w:space="0" w:color="auto"/>
      </w:divBdr>
    </w:div>
    <w:div w:id="1788811980">
      <w:bodyDiv w:val="1"/>
      <w:marLeft w:val="0"/>
      <w:marRight w:val="0"/>
      <w:marTop w:val="0"/>
      <w:marBottom w:val="0"/>
      <w:divBdr>
        <w:top w:val="none" w:sz="0" w:space="0" w:color="auto"/>
        <w:left w:val="none" w:sz="0" w:space="0" w:color="auto"/>
        <w:bottom w:val="none" w:sz="0" w:space="0" w:color="auto"/>
        <w:right w:val="none" w:sz="0" w:space="0" w:color="auto"/>
      </w:divBdr>
    </w:div>
    <w:div w:id="1789007818">
      <w:bodyDiv w:val="1"/>
      <w:marLeft w:val="0"/>
      <w:marRight w:val="0"/>
      <w:marTop w:val="0"/>
      <w:marBottom w:val="0"/>
      <w:divBdr>
        <w:top w:val="none" w:sz="0" w:space="0" w:color="auto"/>
        <w:left w:val="none" w:sz="0" w:space="0" w:color="auto"/>
        <w:bottom w:val="none" w:sz="0" w:space="0" w:color="auto"/>
        <w:right w:val="none" w:sz="0" w:space="0" w:color="auto"/>
      </w:divBdr>
    </w:div>
    <w:div w:id="1790316428">
      <w:bodyDiv w:val="1"/>
      <w:marLeft w:val="0"/>
      <w:marRight w:val="0"/>
      <w:marTop w:val="0"/>
      <w:marBottom w:val="0"/>
      <w:divBdr>
        <w:top w:val="none" w:sz="0" w:space="0" w:color="auto"/>
        <w:left w:val="none" w:sz="0" w:space="0" w:color="auto"/>
        <w:bottom w:val="none" w:sz="0" w:space="0" w:color="auto"/>
        <w:right w:val="none" w:sz="0" w:space="0" w:color="auto"/>
      </w:divBdr>
    </w:div>
    <w:div w:id="1790388974">
      <w:bodyDiv w:val="1"/>
      <w:marLeft w:val="0"/>
      <w:marRight w:val="0"/>
      <w:marTop w:val="0"/>
      <w:marBottom w:val="0"/>
      <w:divBdr>
        <w:top w:val="none" w:sz="0" w:space="0" w:color="auto"/>
        <w:left w:val="none" w:sz="0" w:space="0" w:color="auto"/>
        <w:bottom w:val="none" w:sz="0" w:space="0" w:color="auto"/>
        <w:right w:val="none" w:sz="0" w:space="0" w:color="auto"/>
      </w:divBdr>
    </w:div>
    <w:div w:id="1790706751">
      <w:bodyDiv w:val="1"/>
      <w:marLeft w:val="0"/>
      <w:marRight w:val="0"/>
      <w:marTop w:val="0"/>
      <w:marBottom w:val="0"/>
      <w:divBdr>
        <w:top w:val="none" w:sz="0" w:space="0" w:color="auto"/>
        <w:left w:val="none" w:sz="0" w:space="0" w:color="auto"/>
        <w:bottom w:val="none" w:sz="0" w:space="0" w:color="auto"/>
        <w:right w:val="none" w:sz="0" w:space="0" w:color="auto"/>
      </w:divBdr>
    </w:div>
    <w:div w:id="1791167925">
      <w:bodyDiv w:val="1"/>
      <w:marLeft w:val="0"/>
      <w:marRight w:val="0"/>
      <w:marTop w:val="0"/>
      <w:marBottom w:val="0"/>
      <w:divBdr>
        <w:top w:val="none" w:sz="0" w:space="0" w:color="auto"/>
        <w:left w:val="none" w:sz="0" w:space="0" w:color="auto"/>
        <w:bottom w:val="none" w:sz="0" w:space="0" w:color="auto"/>
        <w:right w:val="none" w:sz="0" w:space="0" w:color="auto"/>
      </w:divBdr>
    </w:div>
    <w:div w:id="1791901453">
      <w:bodyDiv w:val="1"/>
      <w:marLeft w:val="0"/>
      <w:marRight w:val="0"/>
      <w:marTop w:val="0"/>
      <w:marBottom w:val="0"/>
      <w:divBdr>
        <w:top w:val="none" w:sz="0" w:space="0" w:color="auto"/>
        <w:left w:val="none" w:sz="0" w:space="0" w:color="auto"/>
        <w:bottom w:val="none" w:sz="0" w:space="0" w:color="auto"/>
        <w:right w:val="none" w:sz="0" w:space="0" w:color="auto"/>
      </w:divBdr>
    </w:div>
    <w:div w:id="1792355979">
      <w:bodyDiv w:val="1"/>
      <w:marLeft w:val="0"/>
      <w:marRight w:val="0"/>
      <w:marTop w:val="0"/>
      <w:marBottom w:val="0"/>
      <w:divBdr>
        <w:top w:val="none" w:sz="0" w:space="0" w:color="auto"/>
        <w:left w:val="none" w:sz="0" w:space="0" w:color="auto"/>
        <w:bottom w:val="none" w:sz="0" w:space="0" w:color="auto"/>
        <w:right w:val="none" w:sz="0" w:space="0" w:color="auto"/>
      </w:divBdr>
    </w:div>
    <w:div w:id="1792626005">
      <w:bodyDiv w:val="1"/>
      <w:marLeft w:val="0"/>
      <w:marRight w:val="0"/>
      <w:marTop w:val="0"/>
      <w:marBottom w:val="0"/>
      <w:divBdr>
        <w:top w:val="none" w:sz="0" w:space="0" w:color="auto"/>
        <w:left w:val="none" w:sz="0" w:space="0" w:color="auto"/>
        <w:bottom w:val="none" w:sz="0" w:space="0" w:color="auto"/>
        <w:right w:val="none" w:sz="0" w:space="0" w:color="auto"/>
      </w:divBdr>
    </w:div>
    <w:div w:id="1792629910">
      <w:bodyDiv w:val="1"/>
      <w:marLeft w:val="0"/>
      <w:marRight w:val="0"/>
      <w:marTop w:val="0"/>
      <w:marBottom w:val="0"/>
      <w:divBdr>
        <w:top w:val="none" w:sz="0" w:space="0" w:color="auto"/>
        <w:left w:val="none" w:sz="0" w:space="0" w:color="auto"/>
        <w:bottom w:val="none" w:sz="0" w:space="0" w:color="auto"/>
        <w:right w:val="none" w:sz="0" w:space="0" w:color="auto"/>
      </w:divBdr>
    </w:div>
    <w:div w:id="1793285448">
      <w:bodyDiv w:val="1"/>
      <w:marLeft w:val="0"/>
      <w:marRight w:val="0"/>
      <w:marTop w:val="0"/>
      <w:marBottom w:val="0"/>
      <w:divBdr>
        <w:top w:val="none" w:sz="0" w:space="0" w:color="auto"/>
        <w:left w:val="none" w:sz="0" w:space="0" w:color="auto"/>
        <w:bottom w:val="none" w:sz="0" w:space="0" w:color="auto"/>
        <w:right w:val="none" w:sz="0" w:space="0" w:color="auto"/>
      </w:divBdr>
    </w:div>
    <w:div w:id="1793398045">
      <w:bodyDiv w:val="1"/>
      <w:marLeft w:val="0"/>
      <w:marRight w:val="0"/>
      <w:marTop w:val="0"/>
      <w:marBottom w:val="0"/>
      <w:divBdr>
        <w:top w:val="none" w:sz="0" w:space="0" w:color="auto"/>
        <w:left w:val="none" w:sz="0" w:space="0" w:color="auto"/>
        <w:bottom w:val="none" w:sz="0" w:space="0" w:color="auto"/>
        <w:right w:val="none" w:sz="0" w:space="0" w:color="auto"/>
      </w:divBdr>
    </w:div>
    <w:div w:id="1793666799">
      <w:bodyDiv w:val="1"/>
      <w:marLeft w:val="0"/>
      <w:marRight w:val="0"/>
      <w:marTop w:val="0"/>
      <w:marBottom w:val="0"/>
      <w:divBdr>
        <w:top w:val="none" w:sz="0" w:space="0" w:color="auto"/>
        <w:left w:val="none" w:sz="0" w:space="0" w:color="auto"/>
        <w:bottom w:val="none" w:sz="0" w:space="0" w:color="auto"/>
        <w:right w:val="none" w:sz="0" w:space="0" w:color="auto"/>
      </w:divBdr>
    </w:div>
    <w:div w:id="1794204095">
      <w:bodyDiv w:val="1"/>
      <w:marLeft w:val="0"/>
      <w:marRight w:val="0"/>
      <w:marTop w:val="0"/>
      <w:marBottom w:val="0"/>
      <w:divBdr>
        <w:top w:val="none" w:sz="0" w:space="0" w:color="auto"/>
        <w:left w:val="none" w:sz="0" w:space="0" w:color="auto"/>
        <w:bottom w:val="none" w:sz="0" w:space="0" w:color="auto"/>
        <w:right w:val="none" w:sz="0" w:space="0" w:color="auto"/>
      </w:divBdr>
    </w:div>
    <w:div w:id="1794441501">
      <w:bodyDiv w:val="1"/>
      <w:marLeft w:val="0"/>
      <w:marRight w:val="0"/>
      <w:marTop w:val="0"/>
      <w:marBottom w:val="0"/>
      <w:divBdr>
        <w:top w:val="none" w:sz="0" w:space="0" w:color="auto"/>
        <w:left w:val="none" w:sz="0" w:space="0" w:color="auto"/>
        <w:bottom w:val="none" w:sz="0" w:space="0" w:color="auto"/>
        <w:right w:val="none" w:sz="0" w:space="0" w:color="auto"/>
      </w:divBdr>
    </w:div>
    <w:div w:id="1794714946">
      <w:bodyDiv w:val="1"/>
      <w:marLeft w:val="0"/>
      <w:marRight w:val="0"/>
      <w:marTop w:val="0"/>
      <w:marBottom w:val="0"/>
      <w:divBdr>
        <w:top w:val="none" w:sz="0" w:space="0" w:color="auto"/>
        <w:left w:val="none" w:sz="0" w:space="0" w:color="auto"/>
        <w:bottom w:val="none" w:sz="0" w:space="0" w:color="auto"/>
        <w:right w:val="none" w:sz="0" w:space="0" w:color="auto"/>
      </w:divBdr>
    </w:div>
    <w:div w:id="1794861502">
      <w:bodyDiv w:val="1"/>
      <w:marLeft w:val="0"/>
      <w:marRight w:val="0"/>
      <w:marTop w:val="0"/>
      <w:marBottom w:val="0"/>
      <w:divBdr>
        <w:top w:val="none" w:sz="0" w:space="0" w:color="auto"/>
        <w:left w:val="none" w:sz="0" w:space="0" w:color="auto"/>
        <w:bottom w:val="none" w:sz="0" w:space="0" w:color="auto"/>
        <w:right w:val="none" w:sz="0" w:space="0" w:color="auto"/>
      </w:divBdr>
    </w:div>
    <w:div w:id="1794906315">
      <w:bodyDiv w:val="1"/>
      <w:marLeft w:val="0"/>
      <w:marRight w:val="0"/>
      <w:marTop w:val="0"/>
      <w:marBottom w:val="0"/>
      <w:divBdr>
        <w:top w:val="none" w:sz="0" w:space="0" w:color="auto"/>
        <w:left w:val="none" w:sz="0" w:space="0" w:color="auto"/>
        <w:bottom w:val="none" w:sz="0" w:space="0" w:color="auto"/>
        <w:right w:val="none" w:sz="0" w:space="0" w:color="auto"/>
      </w:divBdr>
    </w:div>
    <w:div w:id="1795562062">
      <w:bodyDiv w:val="1"/>
      <w:marLeft w:val="0"/>
      <w:marRight w:val="0"/>
      <w:marTop w:val="0"/>
      <w:marBottom w:val="0"/>
      <w:divBdr>
        <w:top w:val="none" w:sz="0" w:space="0" w:color="auto"/>
        <w:left w:val="none" w:sz="0" w:space="0" w:color="auto"/>
        <w:bottom w:val="none" w:sz="0" w:space="0" w:color="auto"/>
        <w:right w:val="none" w:sz="0" w:space="0" w:color="auto"/>
      </w:divBdr>
    </w:div>
    <w:div w:id="1795753909">
      <w:bodyDiv w:val="1"/>
      <w:marLeft w:val="0"/>
      <w:marRight w:val="0"/>
      <w:marTop w:val="0"/>
      <w:marBottom w:val="0"/>
      <w:divBdr>
        <w:top w:val="none" w:sz="0" w:space="0" w:color="auto"/>
        <w:left w:val="none" w:sz="0" w:space="0" w:color="auto"/>
        <w:bottom w:val="none" w:sz="0" w:space="0" w:color="auto"/>
        <w:right w:val="none" w:sz="0" w:space="0" w:color="auto"/>
      </w:divBdr>
    </w:div>
    <w:div w:id="1796095142">
      <w:bodyDiv w:val="1"/>
      <w:marLeft w:val="0"/>
      <w:marRight w:val="0"/>
      <w:marTop w:val="0"/>
      <w:marBottom w:val="0"/>
      <w:divBdr>
        <w:top w:val="none" w:sz="0" w:space="0" w:color="auto"/>
        <w:left w:val="none" w:sz="0" w:space="0" w:color="auto"/>
        <w:bottom w:val="none" w:sz="0" w:space="0" w:color="auto"/>
        <w:right w:val="none" w:sz="0" w:space="0" w:color="auto"/>
      </w:divBdr>
    </w:div>
    <w:div w:id="1796170249">
      <w:bodyDiv w:val="1"/>
      <w:marLeft w:val="0"/>
      <w:marRight w:val="0"/>
      <w:marTop w:val="0"/>
      <w:marBottom w:val="0"/>
      <w:divBdr>
        <w:top w:val="none" w:sz="0" w:space="0" w:color="auto"/>
        <w:left w:val="none" w:sz="0" w:space="0" w:color="auto"/>
        <w:bottom w:val="none" w:sz="0" w:space="0" w:color="auto"/>
        <w:right w:val="none" w:sz="0" w:space="0" w:color="auto"/>
      </w:divBdr>
    </w:div>
    <w:div w:id="1796215591">
      <w:bodyDiv w:val="1"/>
      <w:marLeft w:val="0"/>
      <w:marRight w:val="0"/>
      <w:marTop w:val="0"/>
      <w:marBottom w:val="0"/>
      <w:divBdr>
        <w:top w:val="none" w:sz="0" w:space="0" w:color="auto"/>
        <w:left w:val="none" w:sz="0" w:space="0" w:color="auto"/>
        <w:bottom w:val="none" w:sz="0" w:space="0" w:color="auto"/>
        <w:right w:val="none" w:sz="0" w:space="0" w:color="auto"/>
      </w:divBdr>
    </w:div>
    <w:div w:id="1796673821">
      <w:bodyDiv w:val="1"/>
      <w:marLeft w:val="0"/>
      <w:marRight w:val="0"/>
      <w:marTop w:val="0"/>
      <w:marBottom w:val="0"/>
      <w:divBdr>
        <w:top w:val="none" w:sz="0" w:space="0" w:color="auto"/>
        <w:left w:val="none" w:sz="0" w:space="0" w:color="auto"/>
        <w:bottom w:val="none" w:sz="0" w:space="0" w:color="auto"/>
        <w:right w:val="none" w:sz="0" w:space="0" w:color="auto"/>
      </w:divBdr>
    </w:div>
    <w:div w:id="1796752804">
      <w:bodyDiv w:val="1"/>
      <w:marLeft w:val="0"/>
      <w:marRight w:val="0"/>
      <w:marTop w:val="0"/>
      <w:marBottom w:val="0"/>
      <w:divBdr>
        <w:top w:val="none" w:sz="0" w:space="0" w:color="auto"/>
        <w:left w:val="none" w:sz="0" w:space="0" w:color="auto"/>
        <w:bottom w:val="none" w:sz="0" w:space="0" w:color="auto"/>
        <w:right w:val="none" w:sz="0" w:space="0" w:color="auto"/>
      </w:divBdr>
    </w:div>
    <w:div w:id="1797216674">
      <w:bodyDiv w:val="1"/>
      <w:marLeft w:val="0"/>
      <w:marRight w:val="0"/>
      <w:marTop w:val="0"/>
      <w:marBottom w:val="0"/>
      <w:divBdr>
        <w:top w:val="none" w:sz="0" w:space="0" w:color="auto"/>
        <w:left w:val="none" w:sz="0" w:space="0" w:color="auto"/>
        <w:bottom w:val="none" w:sz="0" w:space="0" w:color="auto"/>
        <w:right w:val="none" w:sz="0" w:space="0" w:color="auto"/>
      </w:divBdr>
    </w:div>
    <w:div w:id="1797285659">
      <w:bodyDiv w:val="1"/>
      <w:marLeft w:val="0"/>
      <w:marRight w:val="0"/>
      <w:marTop w:val="0"/>
      <w:marBottom w:val="0"/>
      <w:divBdr>
        <w:top w:val="none" w:sz="0" w:space="0" w:color="auto"/>
        <w:left w:val="none" w:sz="0" w:space="0" w:color="auto"/>
        <w:bottom w:val="none" w:sz="0" w:space="0" w:color="auto"/>
        <w:right w:val="none" w:sz="0" w:space="0" w:color="auto"/>
      </w:divBdr>
    </w:div>
    <w:div w:id="1797719224">
      <w:bodyDiv w:val="1"/>
      <w:marLeft w:val="0"/>
      <w:marRight w:val="0"/>
      <w:marTop w:val="0"/>
      <w:marBottom w:val="0"/>
      <w:divBdr>
        <w:top w:val="none" w:sz="0" w:space="0" w:color="auto"/>
        <w:left w:val="none" w:sz="0" w:space="0" w:color="auto"/>
        <w:bottom w:val="none" w:sz="0" w:space="0" w:color="auto"/>
        <w:right w:val="none" w:sz="0" w:space="0" w:color="auto"/>
      </w:divBdr>
    </w:div>
    <w:div w:id="1798143274">
      <w:bodyDiv w:val="1"/>
      <w:marLeft w:val="0"/>
      <w:marRight w:val="0"/>
      <w:marTop w:val="0"/>
      <w:marBottom w:val="0"/>
      <w:divBdr>
        <w:top w:val="none" w:sz="0" w:space="0" w:color="auto"/>
        <w:left w:val="none" w:sz="0" w:space="0" w:color="auto"/>
        <w:bottom w:val="none" w:sz="0" w:space="0" w:color="auto"/>
        <w:right w:val="none" w:sz="0" w:space="0" w:color="auto"/>
      </w:divBdr>
    </w:div>
    <w:div w:id="1798601482">
      <w:bodyDiv w:val="1"/>
      <w:marLeft w:val="0"/>
      <w:marRight w:val="0"/>
      <w:marTop w:val="0"/>
      <w:marBottom w:val="0"/>
      <w:divBdr>
        <w:top w:val="none" w:sz="0" w:space="0" w:color="auto"/>
        <w:left w:val="none" w:sz="0" w:space="0" w:color="auto"/>
        <w:bottom w:val="none" w:sz="0" w:space="0" w:color="auto"/>
        <w:right w:val="none" w:sz="0" w:space="0" w:color="auto"/>
      </w:divBdr>
    </w:div>
    <w:div w:id="1799179396">
      <w:bodyDiv w:val="1"/>
      <w:marLeft w:val="0"/>
      <w:marRight w:val="0"/>
      <w:marTop w:val="0"/>
      <w:marBottom w:val="0"/>
      <w:divBdr>
        <w:top w:val="none" w:sz="0" w:space="0" w:color="auto"/>
        <w:left w:val="none" w:sz="0" w:space="0" w:color="auto"/>
        <w:bottom w:val="none" w:sz="0" w:space="0" w:color="auto"/>
        <w:right w:val="none" w:sz="0" w:space="0" w:color="auto"/>
      </w:divBdr>
    </w:div>
    <w:div w:id="1799297890">
      <w:bodyDiv w:val="1"/>
      <w:marLeft w:val="0"/>
      <w:marRight w:val="0"/>
      <w:marTop w:val="0"/>
      <w:marBottom w:val="0"/>
      <w:divBdr>
        <w:top w:val="none" w:sz="0" w:space="0" w:color="auto"/>
        <w:left w:val="none" w:sz="0" w:space="0" w:color="auto"/>
        <w:bottom w:val="none" w:sz="0" w:space="0" w:color="auto"/>
        <w:right w:val="none" w:sz="0" w:space="0" w:color="auto"/>
      </w:divBdr>
    </w:div>
    <w:div w:id="1801337868">
      <w:bodyDiv w:val="1"/>
      <w:marLeft w:val="0"/>
      <w:marRight w:val="0"/>
      <w:marTop w:val="0"/>
      <w:marBottom w:val="0"/>
      <w:divBdr>
        <w:top w:val="none" w:sz="0" w:space="0" w:color="auto"/>
        <w:left w:val="none" w:sz="0" w:space="0" w:color="auto"/>
        <w:bottom w:val="none" w:sz="0" w:space="0" w:color="auto"/>
        <w:right w:val="none" w:sz="0" w:space="0" w:color="auto"/>
      </w:divBdr>
    </w:div>
    <w:div w:id="1801411727">
      <w:bodyDiv w:val="1"/>
      <w:marLeft w:val="0"/>
      <w:marRight w:val="0"/>
      <w:marTop w:val="0"/>
      <w:marBottom w:val="0"/>
      <w:divBdr>
        <w:top w:val="none" w:sz="0" w:space="0" w:color="auto"/>
        <w:left w:val="none" w:sz="0" w:space="0" w:color="auto"/>
        <w:bottom w:val="none" w:sz="0" w:space="0" w:color="auto"/>
        <w:right w:val="none" w:sz="0" w:space="0" w:color="auto"/>
      </w:divBdr>
    </w:div>
    <w:div w:id="1801606836">
      <w:bodyDiv w:val="1"/>
      <w:marLeft w:val="0"/>
      <w:marRight w:val="0"/>
      <w:marTop w:val="0"/>
      <w:marBottom w:val="0"/>
      <w:divBdr>
        <w:top w:val="none" w:sz="0" w:space="0" w:color="auto"/>
        <w:left w:val="none" w:sz="0" w:space="0" w:color="auto"/>
        <w:bottom w:val="none" w:sz="0" w:space="0" w:color="auto"/>
        <w:right w:val="none" w:sz="0" w:space="0" w:color="auto"/>
      </w:divBdr>
    </w:div>
    <w:div w:id="1802336086">
      <w:bodyDiv w:val="1"/>
      <w:marLeft w:val="0"/>
      <w:marRight w:val="0"/>
      <w:marTop w:val="0"/>
      <w:marBottom w:val="0"/>
      <w:divBdr>
        <w:top w:val="none" w:sz="0" w:space="0" w:color="auto"/>
        <w:left w:val="none" w:sz="0" w:space="0" w:color="auto"/>
        <w:bottom w:val="none" w:sz="0" w:space="0" w:color="auto"/>
        <w:right w:val="none" w:sz="0" w:space="0" w:color="auto"/>
      </w:divBdr>
    </w:div>
    <w:div w:id="1802456671">
      <w:bodyDiv w:val="1"/>
      <w:marLeft w:val="0"/>
      <w:marRight w:val="0"/>
      <w:marTop w:val="0"/>
      <w:marBottom w:val="0"/>
      <w:divBdr>
        <w:top w:val="none" w:sz="0" w:space="0" w:color="auto"/>
        <w:left w:val="none" w:sz="0" w:space="0" w:color="auto"/>
        <w:bottom w:val="none" w:sz="0" w:space="0" w:color="auto"/>
        <w:right w:val="none" w:sz="0" w:space="0" w:color="auto"/>
      </w:divBdr>
    </w:div>
    <w:div w:id="1803766032">
      <w:bodyDiv w:val="1"/>
      <w:marLeft w:val="0"/>
      <w:marRight w:val="0"/>
      <w:marTop w:val="0"/>
      <w:marBottom w:val="0"/>
      <w:divBdr>
        <w:top w:val="none" w:sz="0" w:space="0" w:color="auto"/>
        <w:left w:val="none" w:sz="0" w:space="0" w:color="auto"/>
        <w:bottom w:val="none" w:sz="0" w:space="0" w:color="auto"/>
        <w:right w:val="none" w:sz="0" w:space="0" w:color="auto"/>
      </w:divBdr>
    </w:div>
    <w:div w:id="1804301479">
      <w:bodyDiv w:val="1"/>
      <w:marLeft w:val="0"/>
      <w:marRight w:val="0"/>
      <w:marTop w:val="0"/>
      <w:marBottom w:val="0"/>
      <w:divBdr>
        <w:top w:val="none" w:sz="0" w:space="0" w:color="auto"/>
        <w:left w:val="none" w:sz="0" w:space="0" w:color="auto"/>
        <w:bottom w:val="none" w:sz="0" w:space="0" w:color="auto"/>
        <w:right w:val="none" w:sz="0" w:space="0" w:color="auto"/>
      </w:divBdr>
    </w:div>
    <w:div w:id="1804301919">
      <w:bodyDiv w:val="1"/>
      <w:marLeft w:val="0"/>
      <w:marRight w:val="0"/>
      <w:marTop w:val="0"/>
      <w:marBottom w:val="0"/>
      <w:divBdr>
        <w:top w:val="none" w:sz="0" w:space="0" w:color="auto"/>
        <w:left w:val="none" w:sz="0" w:space="0" w:color="auto"/>
        <w:bottom w:val="none" w:sz="0" w:space="0" w:color="auto"/>
        <w:right w:val="none" w:sz="0" w:space="0" w:color="auto"/>
      </w:divBdr>
    </w:div>
    <w:div w:id="1805612323">
      <w:bodyDiv w:val="1"/>
      <w:marLeft w:val="0"/>
      <w:marRight w:val="0"/>
      <w:marTop w:val="0"/>
      <w:marBottom w:val="0"/>
      <w:divBdr>
        <w:top w:val="none" w:sz="0" w:space="0" w:color="auto"/>
        <w:left w:val="none" w:sz="0" w:space="0" w:color="auto"/>
        <w:bottom w:val="none" w:sz="0" w:space="0" w:color="auto"/>
        <w:right w:val="none" w:sz="0" w:space="0" w:color="auto"/>
      </w:divBdr>
    </w:div>
    <w:div w:id="1805655653">
      <w:bodyDiv w:val="1"/>
      <w:marLeft w:val="0"/>
      <w:marRight w:val="0"/>
      <w:marTop w:val="0"/>
      <w:marBottom w:val="0"/>
      <w:divBdr>
        <w:top w:val="none" w:sz="0" w:space="0" w:color="auto"/>
        <w:left w:val="none" w:sz="0" w:space="0" w:color="auto"/>
        <w:bottom w:val="none" w:sz="0" w:space="0" w:color="auto"/>
        <w:right w:val="none" w:sz="0" w:space="0" w:color="auto"/>
      </w:divBdr>
    </w:div>
    <w:div w:id="1805804427">
      <w:bodyDiv w:val="1"/>
      <w:marLeft w:val="0"/>
      <w:marRight w:val="0"/>
      <w:marTop w:val="0"/>
      <w:marBottom w:val="0"/>
      <w:divBdr>
        <w:top w:val="none" w:sz="0" w:space="0" w:color="auto"/>
        <w:left w:val="none" w:sz="0" w:space="0" w:color="auto"/>
        <w:bottom w:val="none" w:sz="0" w:space="0" w:color="auto"/>
        <w:right w:val="none" w:sz="0" w:space="0" w:color="auto"/>
      </w:divBdr>
    </w:div>
    <w:div w:id="1805929281">
      <w:bodyDiv w:val="1"/>
      <w:marLeft w:val="0"/>
      <w:marRight w:val="0"/>
      <w:marTop w:val="0"/>
      <w:marBottom w:val="0"/>
      <w:divBdr>
        <w:top w:val="none" w:sz="0" w:space="0" w:color="auto"/>
        <w:left w:val="none" w:sz="0" w:space="0" w:color="auto"/>
        <w:bottom w:val="none" w:sz="0" w:space="0" w:color="auto"/>
        <w:right w:val="none" w:sz="0" w:space="0" w:color="auto"/>
      </w:divBdr>
    </w:div>
    <w:div w:id="1806073339">
      <w:bodyDiv w:val="1"/>
      <w:marLeft w:val="0"/>
      <w:marRight w:val="0"/>
      <w:marTop w:val="0"/>
      <w:marBottom w:val="0"/>
      <w:divBdr>
        <w:top w:val="none" w:sz="0" w:space="0" w:color="auto"/>
        <w:left w:val="none" w:sz="0" w:space="0" w:color="auto"/>
        <w:bottom w:val="none" w:sz="0" w:space="0" w:color="auto"/>
        <w:right w:val="none" w:sz="0" w:space="0" w:color="auto"/>
      </w:divBdr>
    </w:div>
    <w:div w:id="1806238017">
      <w:bodyDiv w:val="1"/>
      <w:marLeft w:val="0"/>
      <w:marRight w:val="0"/>
      <w:marTop w:val="0"/>
      <w:marBottom w:val="0"/>
      <w:divBdr>
        <w:top w:val="none" w:sz="0" w:space="0" w:color="auto"/>
        <w:left w:val="none" w:sz="0" w:space="0" w:color="auto"/>
        <w:bottom w:val="none" w:sz="0" w:space="0" w:color="auto"/>
        <w:right w:val="none" w:sz="0" w:space="0" w:color="auto"/>
      </w:divBdr>
    </w:div>
    <w:div w:id="1806318102">
      <w:bodyDiv w:val="1"/>
      <w:marLeft w:val="0"/>
      <w:marRight w:val="0"/>
      <w:marTop w:val="0"/>
      <w:marBottom w:val="0"/>
      <w:divBdr>
        <w:top w:val="none" w:sz="0" w:space="0" w:color="auto"/>
        <w:left w:val="none" w:sz="0" w:space="0" w:color="auto"/>
        <w:bottom w:val="none" w:sz="0" w:space="0" w:color="auto"/>
        <w:right w:val="none" w:sz="0" w:space="0" w:color="auto"/>
      </w:divBdr>
    </w:div>
    <w:div w:id="1807121854">
      <w:bodyDiv w:val="1"/>
      <w:marLeft w:val="0"/>
      <w:marRight w:val="0"/>
      <w:marTop w:val="0"/>
      <w:marBottom w:val="0"/>
      <w:divBdr>
        <w:top w:val="none" w:sz="0" w:space="0" w:color="auto"/>
        <w:left w:val="none" w:sz="0" w:space="0" w:color="auto"/>
        <w:bottom w:val="none" w:sz="0" w:space="0" w:color="auto"/>
        <w:right w:val="none" w:sz="0" w:space="0" w:color="auto"/>
      </w:divBdr>
    </w:div>
    <w:div w:id="1807311390">
      <w:bodyDiv w:val="1"/>
      <w:marLeft w:val="0"/>
      <w:marRight w:val="0"/>
      <w:marTop w:val="0"/>
      <w:marBottom w:val="0"/>
      <w:divBdr>
        <w:top w:val="none" w:sz="0" w:space="0" w:color="auto"/>
        <w:left w:val="none" w:sz="0" w:space="0" w:color="auto"/>
        <w:bottom w:val="none" w:sz="0" w:space="0" w:color="auto"/>
        <w:right w:val="none" w:sz="0" w:space="0" w:color="auto"/>
      </w:divBdr>
    </w:div>
    <w:div w:id="1807432616">
      <w:bodyDiv w:val="1"/>
      <w:marLeft w:val="0"/>
      <w:marRight w:val="0"/>
      <w:marTop w:val="0"/>
      <w:marBottom w:val="0"/>
      <w:divBdr>
        <w:top w:val="none" w:sz="0" w:space="0" w:color="auto"/>
        <w:left w:val="none" w:sz="0" w:space="0" w:color="auto"/>
        <w:bottom w:val="none" w:sz="0" w:space="0" w:color="auto"/>
        <w:right w:val="none" w:sz="0" w:space="0" w:color="auto"/>
      </w:divBdr>
    </w:div>
    <w:div w:id="1807813174">
      <w:bodyDiv w:val="1"/>
      <w:marLeft w:val="0"/>
      <w:marRight w:val="0"/>
      <w:marTop w:val="0"/>
      <w:marBottom w:val="0"/>
      <w:divBdr>
        <w:top w:val="none" w:sz="0" w:space="0" w:color="auto"/>
        <w:left w:val="none" w:sz="0" w:space="0" w:color="auto"/>
        <w:bottom w:val="none" w:sz="0" w:space="0" w:color="auto"/>
        <w:right w:val="none" w:sz="0" w:space="0" w:color="auto"/>
      </w:divBdr>
    </w:div>
    <w:div w:id="1807892230">
      <w:bodyDiv w:val="1"/>
      <w:marLeft w:val="0"/>
      <w:marRight w:val="0"/>
      <w:marTop w:val="0"/>
      <w:marBottom w:val="0"/>
      <w:divBdr>
        <w:top w:val="none" w:sz="0" w:space="0" w:color="auto"/>
        <w:left w:val="none" w:sz="0" w:space="0" w:color="auto"/>
        <w:bottom w:val="none" w:sz="0" w:space="0" w:color="auto"/>
        <w:right w:val="none" w:sz="0" w:space="0" w:color="auto"/>
      </w:divBdr>
    </w:div>
    <w:div w:id="1808929911">
      <w:bodyDiv w:val="1"/>
      <w:marLeft w:val="0"/>
      <w:marRight w:val="0"/>
      <w:marTop w:val="0"/>
      <w:marBottom w:val="0"/>
      <w:divBdr>
        <w:top w:val="none" w:sz="0" w:space="0" w:color="auto"/>
        <w:left w:val="none" w:sz="0" w:space="0" w:color="auto"/>
        <w:bottom w:val="none" w:sz="0" w:space="0" w:color="auto"/>
        <w:right w:val="none" w:sz="0" w:space="0" w:color="auto"/>
      </w:divBdr>
    </w:div>
    <w:div w:id="1809592456">
      <w:bodyDiv w:val="1"/>
      <w:marLeft w:val="0"/>
      <w:marRight w:val="0"/>
      <w:marTop w:val="0"/>
      <w:marBottom w:val="0"/>
      <w:divBdr>
        <w:top w:val="none" w:sz="0" w:space="0" w:color="auto"/>
        <w:left w:val="none" w:sz="0" w:space="0" w:color="auto"/>
        <w:bottom w:val="none" w:sz="0" w:space="0" w:color="auto"/>
        <w:right w:val="none" w:sz="0" w:space="0" w:color="auto"/>
      </w:divBdr>
    </w:div>
    <w:div w:id="1809784080">
      <w:bodyDiv w:val="1"/>
      <w:marLeft w:val="0"/>
      <w:marRight w:val="0"/>
      <w:marTop w:val="0"/>
      <w:marBottom w:val="0"/>
      <w:divBdr>
        <w:top w:val="none" w:sz="0" w:space="0" w:color="auto"/>
        <w:left w:val="none" w:sz="0" w:space="0" w:color="auto"/>
        <w:bottom w:val="none" w:sz="0" w:space="0" w:color="auto"/>
        <w:right w:val="none" w:sz="0" w:space="0" w:color="auto"/>
      </w:divBdr>
    </w:div>
    <w:div w:id="1810440008">
      <w:bodyDiv w:val="1"/>
      <w:marLeft w:val="0"/>
      <w:marRight w:val="0"/>
      <w:marTop w:val="0"/>
      <w:marBottom w:val="0"/>
      <w:divBdr>
        <w:top w:val="none" w:sz="0" w:space="0" w:color="auto"/>
        <w:left w:val="none" w:sz="0" w:space="0" w:color="auto"/>
        <w:bottom w:val="none" w:sz="0" w:space="0" w:color="auto"/>
        <w:right w:val="none" w:sz="0" w:space="0" w:color="auto"/>
      </w:divBdr>
    </w:div>
    <w:div w:id="1810513653">
      <w:bodyDiv w:val="1"/>
      <w:marLeft w:val="0"/>
      <w:marRight w:val="0"/>
      <w:marTop w:val="0"/>
      <w:marBottom w:val="0"/>
      <w:divBdr>
        <w:top w:val="none" w:sz="0" w:space="0" w:color="auto"/>
        <w:left w:val="none" w:sz="0" w:space="0" w:color="auto"/>
        <w:bottom w:val="none" w:sz="0" w:space="0" w:color="auto"/>
        <w:right w:val="none" w:sz="0" w:space="0" w:color="auto"/>
      </w:divBdr>
    </w:div>
    <w:div w:id="1810592111">
      <w:bodyDiv w:val="1"/>
      <w:marLeft w:val="0"/>
      <w:marRight w:val="0"/>
      <w:marTop w:val="0"/>
      <w:marBottom w:val="0"/>
      <w:divBdr>
        <w:top w:val="none" w:sz="0" w:space="0" w:color="auto"/>
        <w:left w:val="none" w:sz="0" w:space="0" w:color="auto"/>
        <w:bottom w:val="none" w:sz="0" w:space="0" w:color="auto"/>
        <w:right w:val="none" w:sz="0" w:space="0" w:color="auto"/>
      </w:divBdr>
    </w:div>
    <w:div w:id="1811824568">
      <w:bodyDiv w:val="1"/>
      <w:marLeft w:val="0"/>
      <w:marRight w:val="0"/>
      <w:marTop w:val="0"/>
      <w:marBottom w:val="0"/>
      <w:divBdr>
        <w:top w:val="none" w:sz="0" w:space="0" w:color="auto"/>
        <w:left w:val="none" w:sz="0" w:space="0" w:color="auto"/>
        <w:bottom w:val="none" w:sz="0" w:space="0" w:color="auto"/>
        <w:right w:val="none" w:sz="0" w:space="0" w:color="auto"/>
      </w:divBdr>
    </w:div>
    <w:div w:id="1812014555">
      <w:bodyDiv w:val="1"/>
      <w:marLeft w:val="0"/>
      <w:marRight w:val="0"/>
      <w:marTop w:val="0"/>
      <w:marBottom w:val="0"/>
      <w:divBdr>
        <w:top w:val="none" w:sz="0" w:space="0" w:color="auto"/>
        <w:left w:val="none" w:sz="0" w:space="0" w:color="auto"/>
        <w:bottom w:val="none" w:sz="0" w:space="0" w:color="auto"/>
        <w:right w:val="none" w:sz="0" w:space="0" w:color="auto"/>
      </w:divBdr>
    </w:div>
    <w:div w:id="1812861194">
      <w:bodyDiv w:val="1"/>
      <w:marLeft w:val="0"/>
      <w:marRight w:val="0"/>
      <w:marTop w:val="0"/>
      <w:marBottom w:val="0"/>
      <w:divBdr>
        <w:top w:val="none" w:sz="0" w:space="0" w:color="auto"/>
        <w:left w:val="none" w:sz="0" w:space="0" w:color="auto"/>
        <w:bottom w:val="none" w:sz="0" w:space="0" w:color="auto"/>
        <w:right w:val="none" w:sz="0" w:space="0" w:color="auto"/>
      </w:divBdr>
    </w:div>
    <w:div w:id="1813135759">
      <w:bodyDiv w:val="1"/>
      <w:marLeft w:val="0"/>
      <w:marRight w:val="0"/>
      <w:marTop w:val="0"/>
      <w:marBottom w:val="0"/>
      <w:divBdr>
        <w:top w:val="none" w:sz="0" w:space="0" w:color="auto"/>
        <w:left w:val="none" w:sz="0" w:space="0" w:color="auto"/>
        <w:bottom w:val="none" w:sz="0" w:space="0" w:color="auto"/>
        <w:right w:val="none" w:sz="0" w:space="0" w:color="auto"/>
      </w:divBdr>
    </w:div>
    <w:div w:id="1814249868">
      <w:bodyDiv w:val="1"/>
      <w:marLeft w:val="0"/>
      <w:marRight w:val="0"/>
      <w:marTop w:val="0"/>
      <w:marBottom w:val="0"/>
      <w:divBdr>
        <w:top w:val="none" w:sz="0" w:space="0" w:color="auto"/>
        <w:left w:val="none" w:sz="0" w:space="0" w:color="auto"/>
        <w:bottom w:val="none" w:sz="0" w:space="0" w:color="auto"/>
        <w:right w:val="none" w:sz="0" w:space="0" w:color="auto"/>
      </w:divBdr>
    </w:div>
    <w:div w:id="1817450044">
      <w:bodyDiv w:val="1"/>
      <w:marLeft w:val="0"/>
      <w:marRight w:val="0"/>
      <w:marTop w:val="0"/>
      <w:marBottom w:val="0"/>
      <w:divBdr>
        <w:top w:val="none" w:sz="0" w:space="0" w:color="auto"/>
        <w:left w:val="none" w:sz="0" w:space="0" w:color="auto"/>
        <w:bottom w:val="none" w:sz="0" w:space="0" w:color="auto"/>
        <w:right w:val="none" w:sz="0" w:space="0" w:color="auto"/>
      </w:divBdr>
    </w:div>
    <w:div w:id="1817915173">
      <w:bodyDiv w:val="1"/>
      <w:marLeft w:val="0"/>
      <w:marRight w:val="0"/>
      <w:marTop w:val="0"/>
      <w:marBottom w:val="0"/>
      <w:divBdr>
        <w:top w:val="none" w:sz="0" w:space="0" w:color="auto"/>
        <w:left w:val="none" w:sz="0" w:space="0" w:color="auto"/>
        <w:bottom w:val="none" w:sz="0" w:space="0" w:color="auto"/>
        <w:right w:val="none" w:sz="0" w:space="0" w:color="auto"/>
      </w:divBdr>
    </w:div>
    <w:div w:id="1817916278">
      <w:bodyDiv w:val="1"/>
      <w:marLeft w:val="0"/>
      <w:marRight w:val="0"/>
      <w:marTop w:val="0"/>
      <w:marBottom w:val="0"/>
      <w:divBdr>
        <w:top w:val="none" w:sz="0" w:space="0" w:color="auto"/>
        <w:left w:val="none" w:sz="0" w:space="0" w:color="auto"/>
        <w:bottom w:val="none" w:sz="0" w:space="0" w:color="auto"/>
        <w:right w:val="none" w:sz="0" w:space="0" w:color="auto"/>
      </w:divBdr>
    </w:div>
    <w:div w:id="1818254149">
      <w:bodyDiv w:val="1"/>
      <w:marLeft w:val="0"/>
      <w:marRight w:val="0"/>
      <w:marTop w:val="0"/>
      <w:marBottom w:val="0"/>
      <w:divBdr>
        <w:top w:val="none" w:sz="0" w:space="0" w:color="auto"/>
        <w:left w:val="none" w:sz="0" w:space="0" w:color="auto"/>
        <w:bottom w:val="none" w:sz="0" w:space="0" w:color="auto"/>
        <w:right w:val="none" w:sz="0" w:space="0" w:color="auto"/>
      </w:divBdr>
    </w:div>
    <w:div w:id="1818257669">
      <w:bodyDiv w:val="1"/>
      <w:marLeft w:val="0"/>
      <w:marRight w:val="0"/>
      <w:marTop w:val="0"/>
      <w:marBottom w:val="0"/>
      <w:divBdr>
        <w:top w:val="none" w:sz="0" w:space="0" w:color="auto"/>
        <w:left w:val="none" w:sz="0" w:space="0" w:color="auto"/>
        <w:bottom w:val="none" w:sz="0" w:space="0" w:color="auto"/>
        <w:right w:val="none" w:sz="0" w:space="0" w:color="auto"/>
      </w:divBdr>
    </w:div>
    <w:div w:id="1819224292">
      <w:bodyDiv w:val="1"/>
      <w:marLeft w:val="0"/>
      <w:marRight w:val="0"/>
      <w:marTop w:val="0"/>
      <w:marBottom w:val="0"/>
      <w:divBdr>
        <w:top w:val="none" w:sz="0" w:space="0" w:color="auto"/>
        <w:left w:val="none" w:sz="0" w:space="0" w:color="auto"/>
        <w:bottom w:val="none" w:sz="0" w:space="0" w:color="auto"/>
        <w:right w:val="none" w:sz="0" w:space="0" w:color="auto"/>
      </w:divBdr>
    </w:div>
    <w:div w:id="1819959570">
      <w:bodyDiv w:val="1"/>
      <w:marLeft w:val="0"/>
      <w:marRight w:val="0"/>
      <w:marTop w:val="0"/>
      <w:marBottom w:val="0"/>
      <w:divBdr>
        <w:top w:val="none" w:sz="0" w:space="0" w:color="auto"/>
        <w:left w:val="none" w:sz="0" w:space="0" w:color="auto"/>
        <w:bottom w:val="none" w:sz="0" w:space="0" w:color="auto"/>
        <w:right w:val="none" w:sz="0" w:space="0" w:color="auto"/>
      </w:divBdr>
    </w:div>
    <w:div w:id="1820073232">
      <w:bodyDiv w:val="1"/>
      <w:marLeft w:val="0"/>
      <w:marRight w:val="0"/>
      <w:marTop w:val="0"/>
      <w:marBottom w:val="0"/>
      <w:divBdr>
        <w:top w:val="none" w:sz="0" w:space="0" w:color="auto"/>
        <w:left w:val="none" w:sz="0" w:space="0" w:color="auto"/>
        <w:bottom w:val="none" w:sz="0" w:space="0" w:color="auto"/>
        <w:right w:val="none" w:sz="0" w:space="0" w:color="auto"/>
      </w:divBdr>
    </w:div>
    <w:div w:id="1820266671">
      <w:bodyDiv w:val="1"/>
      <w:marLeft w:val="0"/>
      <w:marRight w:val="0"/>
      <w:marTop w:val="0"/>
      <w:marBottom w:val="0"/>
      <w:divBdr>
        <w:top w:val="none" w:sz="0" w:space="0" w:color="auto"/>
        <w:left w:val="none" w:sz="0" w:space="0" w:color="auto"/>
        <w:bottom w:val="none" w:sz="0" w:space="0" w:color="auto"/>
        <w:right w:val="none" w:sz="0" w:space="0" w:color="auto"/>
      </w:divBdr>
    </w:div>
    <w:div w:id="1820461919">
      <w:bodyDiv w:val="1"/>
      <w:marLeft w:val="0"/>
      <w:marRight w:val="0"/>
      <w:marTop w:val="0"/>
      <w:marBottom w:val="0"/>
      <w:divBdr>
        <w:top w:val="none" w:sz="0" w:space="0" w:color="auto"/>
        <w:left w:val="none" w:sz="0" w:space="0" w:color="auto"/>
        <w:bottom w:val="none" w:sz="0" w:space="0" w:color="auto"/>
        <w:right w:val="none" w:sz="0" w:space="0" w:color="auto"/>
      </w:divBdr>
    </w:div>
    <w:div w:id="1820683918">
      <w:bodyDiv w:val="1"/>
      <w:marLeft w:val="0"/>
      <w:marRight w:val="0"/>
      <w:marTop w:val="0"/>
      <w:marBottom w:val="0"/>
      <w:divBdr>
        <w:top w:val="none" w:sz="0" w:space="0" w:color="auto"/>
        <w:left w:val="none" w:sz="0" w:space="0" w:color="auto"/>
        <w:bottom w:val="none" w:sz="0" w:space="0" w:color="auto"/>
        <w:right w:val="none" w:sz="0" w:space="0" w:color="auto"/>
      </w:divBdr>
    </w:div>
    <w:div w:id="1822694225">
      <w:bodyDiv w:val="1"/>
      <w:marLeft w:val="0"/>
      <w:marRight w:val="0"/>
      <w:marTop w:val="0"/>
      <w:marBottom w:val="0"/>
      <w:divBdr>
        <w:top w:val="none" w:sz="0" w:space="0" w:color="auto"/>
        <w:left w:val="none" w:sz="0" w:space="0" w:color="auto"/>
        <w:bottom w:val="none" w:sz="0" w:space="0" w:color="auto"/>
        <w:right w:val="none" w:sz="0" w:space="0" w:color="auto"/>
      </w:divBdr>
    </w:div>
    <w:div w:id="1823309322">
      <w:bodyDiv w:val="1"/>
      <w:marLeft w:val="0"/>
      <w:marRight w:val="0"/>
      <w:marTop w:val="0"/>
      <w:marBottom w:val="0"/>
      <w:divBdr>
        <w:top w:val="none" w:sz="0" w:space="0" w:color="auto"/>
        <w:left w:val="none" w:sz="0" w:space="0" w:color="auto"/>
        <w:bottom w:val="none" w:sz="0" w:space="0" w:color="auto"/>
        <w:right w:val="none" w:sz="0" w:space="0" w:color="auto"/>
      </w:divBdr>
    </w:div>
    <w:div w:id="1824852117">
      <w:bodyDiv w:val="1"/>
      <w:marLeft w:val="0"/>
      <w:marRight w:val="0"/>
      <w:marTop w:val="0"/>
      <w:marBottom w:val="0"/>
      <w:divBdr>
        <w:top w:val="none" w:sz="0" w:space="0" w:color="auto"/>
        <w:left w:val="none" w:sz="0" w:space="0" w:color="auto"/>
        <w:bottom w:val="none" w:sz="0" w:space="0" w:color="auto"/>
        <w:right w:val="none" w:sz="0" w:space="0" w:color="auto"/>
      </w:divBdr>
    </w:div>
    <w:div w:id="1825271708">
      <w:bodyDiv w:val="1"/>
      <w:marLeft w:val="0"/>
      <w:marRight w:val="0"/>
      <w:marTop w:val="0"/>
      <w:marBottom w:val="0"/>
      <w:divBdr>
        <w:top w:val="none" w:sz="0" w:space="0" w:color="auto"/>
        <w:left w:val="none" w:sz="0" w:space="0" w:color="auto"/>
        <w:bottom w:val="none" w:sz="0" w:space="0" w:color="auto"/>
        <w:right w:val="none" w:sz="0" w:space="0" w:color="auto"/>
      </w:divBdr>
    </w:div>
    <w:div w:id="1825395321">
      <w:bodyDiv w:val="1"/>
      <w:marLeft w:val="0"/>
      <w:marRight w:val="0"/>
      <w:marTop w:val="0"/>
      <w:marBottom w:val="0"/>
      <w:divBdr>
        <w:top w:val="none" w:sz="0" w:space="0" w:color="auto"/>
        <w:left w:val="none" w:sz="0" w:space="0" w:color="auto"/>
        <w:bottom w:val="none" w:sz="0" w:space="0" w:color="auto"/>
        <w:right w:val="none" w:sz="0" w:space="0" w:color="auto"/>
      </w:divBdr>
    </w:div>
    <w:div w:id="1826432699">
      <w:bodyDiv w:val="1"/>
      <w:marLeft w:val="0"/>
      <w:marRight w:val="0"/>
      <w:marTop w:val="0"/>
      <w:marBottom w:val="0"/>
      <w:divBdr>
        <w:top w:val="none" w:sz="0" w:space="0" w:color="auto"/>
        <w:left w:val="none" w:sz="0" w:space="0" w:color="auto"/>
        <w:bottom w:val="none" w:sz="0" w:space="0" w:color="auto"/>
        <w:right w:val="none" w:sz="0" w:space="0" w:color="auto"/>
      </w:divBdr>
    </w:div>
    <w:div w:id="1826513421">
      <w:bodyDiv w:val="1"/>
      <w:marLeft w:val="0"/>
      <w:marRight w:val="0"/>
      <w:marTop w:val="0"/>
      <w:marBottom w:val="0"/>
      <w:divBdr>
        <w:top w:val="none" w:sz="0" w:space="0" w:color="auto"/>
        <w:left w:val="none" w:sz="0" w:space="0" w:color="auto"/>
        <w:bottom w:val="none" w:sz="0" w:space="0" w:color="auto"/>
        <w:right w:val="none" w:sz="0" w:space="0" w:color="auto"/>
      </w:divBdr>
    </w:div>
    <w:div w:id="1826773851">
      <w:bodyDiv w:val="1"/>
      <w:marLeft w:val="0"/>
      <w:marRight w:val="0"/>
      <w:marTop w:val="0"/>
      <w:marBottom w:val="0"/>
      <w:divBdr>
        <w:top w:val="none" w:sz="0" w:space="0" w:color="auto"/>
        <w:left w:val="none" w:sz="0" w:space="0" w:color="auto"/>
        <w:bottom w:val="none" w:sz="0" w:space="0" w:color="auto"/>
        <w:right w:val="none" w:sz="0" w:space="0" w:color="auto"/>
      </w:divBdr>
    </w:div>
    <w:div w:id="1827041698">
      <w:bodyDiv w:val="1"/>
      <w:marLeft w:val="0"/>
      <w:marRight w:val="0"/>
      <w:marTop w:val="0"/>
      <w:marBottom w:val="0"/>
      <w:divBdr>
        <w:top w:val="none" w:sz="0" w:space="0" w:color="auto"/>
        <w:left w:val="none" w:sz="0" w:space="0" w:color="auto"/>
        <w:bottom w:val="none" w:sz="0" w:space="0" w:color="auto"/>
        <w:right w:val="none" w:sz="0" w:space="0" w:color="auto"/>
      </w:divBdr>
    </w:div>
    <w:div w:id="1827670796">
      <w:bodyDiv w:val="1"/>
      <w:marLeft w:val="0"/>
      <w:marRight w:val="0"/>
      <w:marTop w:val="0"/>
      <w:marBottom w:val="0"/>
      <w:divBdr>
        <w:top w:val="none" w:sz="0" w:space="0" w:color="auto"/>
        <w:left w:val="none" w:sz="0" w:space="0" w:color="auto"/>
        <w:bottom w:val="none" w:sz="0" w:space="0" w:color="auto"/>
        <w:right w:val="none" w:sz="0" w:space="0" w:color="auto"/>
      </w:divBdr>
    </w:div>
    <w:div w:id="1827866349">
      <w:bodyDiv w:val="1"/>
      <w:marLeft w:val="0"/>
      <w:marRight w:val="0"/>
      <w:marTop w:val="0"/>
      <w:marBottom w:val="0"/>
      <w:divBdr>
        <w:top w:val="none" w:sz="0" w:space="0" w:color="auto"/>
        <w:left w:val="none" w:sz="0" w:space="0" w:color="auto"/>
        <w:bottom w:val="none" w:sz="0" w:space="0" w:color="auto"/>
        <w:right w:val="none" w:sz="0" w:space="0" w:color="auto"/>
      </w:divBdr>
    </w:div>
    <w:div w:id="1828981627">
      <w:bodyDiv w:val="1"/>
      <w:marLeft w:val="0"/>
      <w:marRight w:val="0"/>
      <w:marTop w:val="0"/>
      <w:marBottom w:val="0"/>
      <w:divBdr>
        <w:top w:val="none" w:sz="0" w:space="0" w:color="auto"/>
        <w:left w:val="none" w:sz="0" w:space="0" w:color="auto"/>
        <w:bottom w:val="none" w:sz="0" w:space="0" w:color="auto"/>
        <w:right w:val="none" w:sz="0" w:space="0" w:color="auto"/>
      </w:divBdr>
    </w:div>
    <w:div w:id="1829443749">
      <w:bodyDiv w:val="1"/>
      <w:marLeft w:val="0"/>
      <w:marRight w:val="0"/>
      <w:marTop w:val="0"/>
      <w:marBottom w:val="0"/>
      <w:divBdr>
        <w:top w:val="none" w:sz="0" w:space="0" w:color="auto"/>
        <w:left w:val="none" w:sz="0" w:space="0" w:color="auto"/>
        <w:bottom w:val="none" w:sz="0" w:space="0" w:color="auto"/>
        <w:right w:val="none" w:sz="0" w:space="0" w:color="auto"/>
      </w:divBdr>
    </w:div>
    <w:div w:id="1830436470">
      <w:bodyDiv w:val="1"/>
      <w:marLeft w:val="0"/>
      <w:marRight w:val="0"/>
      <w:marTop w:val="0"/>
      <w:marBottom w:val="0"/>
      <w:divBdr>
        <w:top w:val="none" w:sz="0" w:space="0" w:color="auto"/>
        <w:left w:val="none" w:sz="0" w:space="0" w:color="auto"/>
        <w:bottom w:val="none" w:sz="0" w:space="0" w:color="auto"/>
        <w:right w:val="none" w:sz="0" w:space="0" w:color="auto"/>
      </w:divBdr>
    </w:div>
    <w:div w:id="1830822186">
      <w:bodyDiv w:val="1"/>
      <w:marLeft w:val="0"/>
      <w:marRight w:val="0"/>
      <w:marTop w:val="0"/>
      <w:marBottom w:val="0"/>
      <w:divBdr>
        <w:top w:val="none" w:sz="0" w:space="0" w:color="auto"/>
        <w:left w:val="none" w:sz="0" w:space="0" w:color="auto"/>
        <w:bottom w:val="none" w:sz="0" w:space="0" w:color="auto"/>
        <w:right w:val="none" w:sz="0" w:space="0" w:color="auto"/>
      </w:divBdr>
    </w:div>
    <w:div w:id="1831096906">
      <w:bodyDiv w:val="1"/>
      <w:marLeft w:val="0"/>
      <w:marRight w:val="0"/>
      <w:marTop w:val="0"/>
      <w:marBottom w:val="0"/>
      <w:divBdr>
        <w:top w:val="none" w:sz="0" w:space="0" w:color="auto"/>
        <w:left w:val="none" w:sz="0" w:space="0" w:color="auto"/>
        <w:bottom w:val="none" w:sz="0" w:space="0" w:color="auto"/>
        <w:right w:val="none" w:sz="0" w:space="0" w:color="auto"/>
      </w:divBdr>
    </w:div>
    <w:div w:id="1832522460">
      <w:bodyDiv w:val="1"/>
      <w:marLeft w:val="0"/>
      <w:marRight w:val="0"/>
      <w:marTop w:val="0"/>
      <w:marBottom w:val="0"/>
      <w:divBdr>
        <w:top w:val="none" w:sz="0" w:space="0" w:color="auto"/>
        <w:left w:val="none" w:sz="0" w:space="0" w:color="auto"/>
        <w:bottom w:val="none" w:sz="0" w:space="0" w:color="auto"/>
        <w:right w:val="none" w:sz="0" w:space="0" w:color="auto"/>
      </w:divBdr>
    </w:div>
    <w:div w:id="1834032052">
      <w:bodyDiv w:val="1"/>
      <w:marLeft w:val="0"/>
      <w:marRight w:val="0"/>
      <w:marTop w:val="0"/>
      <w:marBottom w:val="0"/>
      <w:divBdr>
        <w:top w:val="none" w:sz="0" w:space="0" w:color="auto"/>
        <w:left w:val="none" w:sz="0" w:space="0" w:color="auto"/>
        <w:bottom w:val="none" w:sz="0" w:space="0" w:color="auto"/>
        <w:right w:val="none" w:sz="0" w:space="0" w:color="auto"/>
      </w:divBdr>
    </w:div>
    <w:div w:id="1834372510">
      <w:bodyDiv w:val="1"/>
      <w:marLeft w:val="0"/>
      <w:marRight w:val="0"/>
      <w:marTop w:val="0"/>
      <w:marBottom w:val="0"/>
      <w:divBdr>
        <w:top w:val="none" w:sz="0" w:space="0" w:color="auto"/>
        <w:left w:val="none" w:sz="0" w:space="0" w:color="auto"/>
        <w:bottom w:val="none" w:sz="0" w:space="0" w:color="auto"/>
        <w:right w:val="none" w:sz="0" w:space="0" w:color="auto"/>
      </w:divBdr>
    </w:div>
    <w:div w:id="1835534242">
      <w:bodyDiv w:val="1"/>
      <w:marLeft w:val="0"/>
      <w:marRight w:val="0"/>
      <w:marTop w:val="0"/>
      <w:marBottom w:val="0"/>
      <w:divBdr>
        <w:top w:val="none" w:sz="0" w:space="0" w:color="auto"/>
        <w:left w:val="none" w:sz="0" w:space="0" w:color="auto"/>
        <w:bottom w:val="none" w:sz="0" w:space="0" w:color="auto"/>
        <w:right w:val="none" w:sz="0" w:space="0" w:color="auto"/>
      </w:divBdr>
    </w:div>
    <w:div w:id="1836217514">
      <w:bodyDiv w:val="1"/>
      <w:marLeft w:val="0"/>
      <w:marRight w:val="0"/>
      <w:marTop w:val="0"/>
      <w:marBottom w:val="0"/>
      <w:divBdr>
        <w:top w:val="none" w:sz="0" w:space="0" w:color="auto"/>
        <w:left w:val="none" w:sz="0" w:space="0" w:color="auto"/>
        <w:bottom w:val="none" w:sz="0" w:space="0" w:color="auto"/>
        <w:right w:val="none" w:sz="0" w:space="0" w:color="auto"/>
      </w:divBdr>
    </w:div>
    <w:div w:id="1836452119">
      <w:bodyDiv w:val="1"/>
      <w:marLeft w:val="0"/>
      <w:marRight w:val="0"/>
      <w:marTop w:val="0"/>
      <w:marBottom w:val="0"/>
      <w:divBdr>
        <w:top w:val="none" w:sz="0" w:space="0" w:color="auto"/>
        <w:left w:val="none" w:sz="0" w:space="0" w:color="auto"/>
        <w:bottom w:val="none" w:sz="0" w:space="0" w:color="auto"/>
        <w:right w:val="none" w:sz="0" w:space="0" w:color="auto"/>
      </w:divBdr>
    </w:div>
    <w:div w:id="1836611126">
      <w:bodyDiv w:val="1"/>
      <w:marLeft w:val="0"/>
      <w:marRight w:val="0"/>
      <w:marTop w:val="0"/>
      <w:marBottom w:val="0"/>
      <w:divBdr>
        <w:top w:val="none" w:sz="0" w:space="0" w:color="auto"/>
        <w:left w:val="none" w:sz="0" w:space="0" w:color="auto"/>
        <w:bottom w:val="none" w:sz="0" w:space="0" w:color="auto"/>
        <w:right w:val="none" w:sz="0" w:space="0" w:color="auto"/>
      </w:divBdr>
    </w:div>
    <w:div w:id="1837187267">
      <w:bodyDiv w:val="1"/>
      <w:marLeft w:val="0"/>
      <w:marRight w:val="0"/>
      <w:marTop w:val="0"/>
      <w:marBottom w:val="0"/>
      <w:divBdr>
        <w:top w:val="none" w:sz="0" w:space="0" w:color="auto"/>
        <w:left w:val="none" w:sz="0" w:space="0" w:color="auto"/>
        <w:bottom w:val="none" w:sz="0" w:space="0" w:color="auto"/>
        <w:right w:val="none" w:sz="0" w:space="0" w:color="auto"/>
      </w:divBdr>
    </w:div>
    <w:div w:id="1837525700">
      <w:bodyDiv w:val="1"/>
      <w:marLeft w:val="0"/>
      <w:marRight w:val="0"/>
      <w:marTop w:val="0"/>
      <w:marBottom w:val="0"/>
      <w:divBdr>
        <w:top w:val="none" w:sz="0" w:space="0" w:color="auto"/>
        <w:left w:val="none" w:sz="0" w:space="0" w:color="auto"/>
        <w:bottom w:val="none" w:sz="0" w:space="0" w:color="auto"/>
        <w:right w:val="none" w:sz="0" w:space="0" w:color="auto"/>
      </w:divBdr>
    </w:div>
    <w:div w:id="1837767050">
      <w:bodyDiv w:val="1"/>
      <w:marLeft w:val="0"/>
      <w:marRight w:val="0"/>
      <w:marTop w:val="0"/>
      <w:marBottom w:val="0"/>
      <w:divBdr>
        <w:top w:val="none" w:sz="0" w:space="0" w:color="auto"/>
        <w:left w:val="none" w:sz="0" w:space="0" w:color="auto"/>
        <w:bottom w:val="none" w:sz="0" w:space="0" w:color="auto"/>
        <w:right w:val="none" w:sz="0" w:space="0" w:color="auto"/>
      </w:divBdr>
    </w:div>
    <w:div w:id="1837962641">
      <w:bodyDiv w:val="1"/>
      <w:marLeft w:val="0"/>
      <w:marRight w:val="0"/>
      <w:marTop w:val="0"/>
      <w:marBottom w:val="0"/>
      <w:divBdr>
        <w:top w:val="none" w:sz="0" w:space="0" w:color="auto"/>
        <w:left w:val="none" w:sz="0" w:space="0" w:color="auto"/>
        <w:bottom w:val="none" w:sz="0" w:space="0" w:color="auto"/>
        <w:right w:val="none" w:sz="0" w:space="0" w:color="auto"/>
      </w:divBdr>
    </w:div>
    <w:div w:id="1838880825">
      <w:bodyDiv w:val="1"/>
      <w:marLeft w:val="0"/>
      <w:marRight w:val="0"/>
      <w:marTop w:val="0"/>
      <w:marBottom w:val="0"/>
      <w:divBdr>
        <w:top w:val="none" w:sz="0" w:space="0" w:color="auto"/>
        <w:left w:val="none" w:sz="0" w:space="0" w:color="auto"/>
        <w:bottom w:val="none" w:sz="0" w:space="0" w:color="auto"/>
        <w:right w:val="none" w:sz="0" w:space="0" w:color="auto"/>
      </w:divBdr>
    </w:div>
    <w:div w:id="1840582834">
      <w:bodyDiv w:val="1"/>
      <w:marLeft w:val="0"/>
      <w:marRight w:val="0"/>
      <w:marTop w:val="0"/>
      <w:marBottom w:val="0"/>
      <w:divBdr>
        <w:top w:val="none" w:sz="0" w:space="0" w:color="auto"/>
        <w:left w:val="none" w:sz="0" w:space="0" w:color="auto"/>
        <w:bottom w:val="none" w:sz="0" w:space="0" w:color="auto"/>
        <w:right w:val="none" w:sz="0" w:space="0" w:color="auto"/>
      </w:divBdr>
    </w:div>
    <w:div w:id="1840802215">
      <w:bodyDiv w:val="1"/>
      <w:marLeft w:val="0"/>
      <w:marRight w:val="0"/>
      <w:marTop w:val="0"/>
      <w:marBottom w:val="0"/>
      <w:divBdr>
        <w:top w:val="none" w:sz="0" w:space="0" w:color="auto"/>
        <w:left w:val="none" w:sz="0" w:space="0" w:color="auto"/>
        <w:bottom w:val="none" w:sz="0" w:space="0" w:color="auto"/>
        <w:right w:val="none" w:sz="0" w:space="0" w:color="auto"/>
      </w:divBdr>
    </w:div>
    <w:div w:id="1841388027">
      <w:bodyDiv w:val="1"/>
      <w:marLeft w:val="0"/>
      <w:marRight w:val="0"/>
      <w:marTop w:val="0"/>
      <w:marBottom w:val="0"/>
      <w:divBdr>
        <w:top w:val="none" w:sz="0" w:space="0" w:color="auto"/>
        <w:left w:val="none" w:sz="0" w:space="0" w:color="auto"/>
        <w:bottom w:val="none" w:sz="0" w:space="0" w:color="auto"/>
        <w:right w:val="none" w:sz="0" w:space="0" w:color="auto"/>
      </w:divBdr>
    </w:div>
    <w:div w:id="1841584240">
      <w:bodyDiv w:val="1"/>
      <w:marLeft w:val="0"/>
      <w:marRight w:val="0"/>
      <w:marTop w:val="0"/>
      <w:marBottom w:val="0"/>
      <w:divBdr>
        <w:top w:val="none" w:sz="0" w:space="0" w:color="auto"/>
        <w:left w:val="none" w:sz="0" w:space="0" w:color="auto"/>
        <w:bottom w:val="none" w:sz="0" w:space="0" w:color="auto"/>
        <w:right w:val="none" w:sz="0" w:space="0" w:color="auto"/>
      </w:divBdr>
    </w:div>
    <w:div w:id="1842352692">
      <w:bodyDiv w:val="1"/>
      <w:marLeft w:val="0"/>
      <w:marRight w:val="0"/>
      <w:marTop w:val="0"/>
      <w:marBottom w:val="0"/>
      <w:divBdr>
        <w:top w:val="none" w:sz="0" w:space="0" w:color="auto"/>
        <w:left w:val="none" w:sz="0" w:space="0" w:color="auto"/>
        <w:bottom w:val="none" w:sz="0" w:space="0" w:color="auto"/>
        <w:right w:val="none" w:sz="0" w:space="0" w:color="auto"/>
      </w:divBdr>
    </w:div>
    <w:div w:id="1842425926">
      <w:bodyDiv w:val="1"/>
      <w:marLeft w:val="0"/>
      <w:marRight w:val="0"/>
      <w:marTop w:val="0"/>
      <w:marBottom w:val="0"/>
      <w:divBdr>
        <w:top w:val="none" w:sz="0" w:space="0" w:color="auto"/>
        <w:left w:val="none" w:sz="0" w:space="0" w:color="auto"/>
        <w:bottom w:val="none" w:sz="0" w:space="0" w:color="auto"/>
        <w:right w:val="none" w:sz="0" w:space="0" w:color="auto"/>
      </w:divBdr>
    </w:div>
    <w:div w:id="1842430016">
      <w:bodyDiv w:val="1"/>
      <w:marLeft w:val="0"/>
      <w:marRight w:val="0"/>
      <w:marTop w:val="0"/>
      <w:marBottom w:val="0"/>
      <w:divBdr>
        <w:top w:val="none" w:sz="0" w:space="0" w:color="auto"/>
        <w:left w:val="none" w:sz="0" w:space="0" w:color="auto"/>
        <w:bottom w:val="none" w:sz="0" w:space="0" w:color="auto"/>
        <w:right w:val="none" w:sz="0" w:space="0" w:color="auto"/>
      </w:divBdr>
    </w:div>
    <w:div w:id="1843927597">
      <w:bodyDiv w:val="1"/>
      <w:marLeft w:val="0"/>
      <w:marRight w:val="0"/>
      <w:marTop w:val="0"/>
      <w:marBottom w:val="0"/>
      <w:divBdr>
        <w:top w:val="none" w:sz="0" w:space="0" w:color="auto"/>
        <w:left w:val="none" w:sz="0" w:space="0" w:color="auto"/>
        <w:bottom w:val="none" w:sz="0" w:space="0" w:color="auto"/>
        <w:right w:val="none" w:sz="0" w:space="0" w:color="auto"/>
      </w:divBdr>
    </w:div>
    <w:div w:id="1844471406">
      <w:bodyDiv w:val="1"/>
      <w:marLeft w:val="0"/>
      <w:marRight w:val="0"/>
      <w:marTop w:val="0"/>
      <w:marBottom w:val="0"/>
      <w:divBdr>
        <w:top w:val="none" w:sz="0" w:space="0" w:color="auto"/>
        <w:left w:val="none" w:sz="0" w:space="0" w:color="auto"/>
        <w:bottom w:val="none" w:sz="0" w:space="0" w:color="auto"/>
        <w:right w:val="none" w:sz="0" w:space="0" w:color="auto"/>
      </w:divBdr>
    </w:div>
    <w:div w:id="1844734611">
      <w:bodyDiv w:val="1"/>
      <w:marLeft w:val="0"/>
      <w:marRight w:val="0"/>
      <w:marTop w:val="0"/>
      <w:marBottom w:val="0"/>
      <w:divBdr>
        <w:top w:val="none" w:sz="0" w:space="0" w:color="auto"/>
        <w:left w:val="none" w:sz="0" w:space="0" w:color="auto"/>
        <w:bottom w:val="none" w:sz="0" w:space="0" w:color="auto"/>
        <w:right w:val="none" w:sz="0" w:space="0" w:color="auto"/>
      </w:divBdr>
    </w:div>
    <w:div w:id="1845586356">
      <w:bodyDiv w:val="1"/>
      <w:marLeft w:val="0"/>
      <w:marRight w:val="0"/>
      <w:marTop w:val="0"/>
      <w:marBottom w:val="0"/>
      <w:divBdr>
        <w:top w:val="none" w:sz="0" w:space="0" w:color="auto"/>
        <w:left w:val="none" w:sz="0" w:space="0" w:color="auto"/>
        <w:bottom w:val="none" w:sz="0" w:space="0" w:color="auto"/>
        <w:right w:val="none" w:sz="0" w:space="0" w:color="auto"/>
      </w:divBdr>
    </w:div>
    <w:div w:id="1845821877">
      <w:bodyDiv w:val="1"/>
      <w:marLeft w:val="0"/>
      <w:marRight w:val="0"/>
      <w:marTop w:val="0"/>
      <w:marBottom w:val="0"/>
      <w:divBdr>
        <w:top w:val="none" w:sz="0" w:space="0" w:color="auto"/>
        <w:left w:val="none" w:sz="0" w:space="0" w:color="auto"/>
        <w:bottom w:val="none" w:sz="0" w:space="0" w:color="auto"/>
        <w:right w:val="none" w:sz="0" w:space="0" w:color="auto"/>
      </w:divBdr>
    </w:div>
    <w:div w:id="1845970437">
      <w:bodyDiv w:val="1"/>
      <w:marLeft w:val="0"/>
      <w:marRight w:val="0"/>
      <w:marTop w:val="0"/>
      <w:marBottom w:val="0"/>
      <w:divBdr>
        <w:top w:val="none" w:sz="0" w:space="0" w:color="auto"/>
        <w:left w:val="none" w:sz="0" w:space="0" w:color="auto"/>
        <w:bottom w:val="none" w:sz="0" w:space="0" w:color="auto"/>
        <w:right w:val="none" w:sz="0" w:space="0" w:color="auto"/>
      </w:divBdr>
    </w:div>
    <w:div w:id="1846049014">
      <w:bodyDiv w:val="1"/>
      <w:marLeft w:val="0"/>
      <w:marRight w:val="0"/>
      <w:marTop w:val="0"/>
      <w:marBottom w:val="0"/>
      <w:divBdr>
        <w:top w:val="none" w:sz="0" w:space="0" w:color="auto"/>
        <w:left w:val="none" w:sz="0" w:space="0" w:color="auto"/>
        <w:bottom w:val="none" w:sz="0" w:space="0" w:color="auto"/>
        <w:right w:val="none" w:sz="0" w:space="0" w:color="auto"/>
      </w:divBdr>
    </w:div>
    <w:div w:id="1846089660">
      <w:bodyDiv w:val="1"/>
      <w:marLeft w:val="0"/>
      <w:marRight w:val="0"/>
      <w:marTop w:val="0"/>
      <w:marBottom w:val="0"/>
      <w:divBdr>
        <w:top w:val="none" w:sz="0" w:space="0" w:color="auto"/>
        <w:left w:val="none" w:sz="0" w:space="0" w:color="auto"/>
        <w:bottom w:val="none" w:sz="0" w:space="0" w:color="auto"/>
        <w:right w:val="none" w:sz="0" w:space="0" w:color="auto"/>
      </w:divBdr>
    </w:div>
    <w:div w:id="1846478637">
      <w:bodyDiv w:val="1"/>
      <w:marLeft w:val="0"/>
      <w:marRight w:val="0"/>
      <w:marTop w:val="0"/>
      <w:marBottom w:val="0"/>
      <w:divBdr>
        <w:top w:val="none" w:sz="0" w:space="0" w:color="auto"/>
        <w:left w:val="none" w:sz="0" w:space="0" w:color="auto"/>
        <w:bottom w:val="none" w:sz="0" w:space="0" w:color="auto"/>
        <w:right w:val="none" w:sz="0" w:space="0" w:color="auto"/>
      </w:divBdr>
    </w:div>
    <w:div w:id="1847667250">
      <w:bodyDiv w:val="1"/>
      <w:marLeft w:val="0"/>
      <w:marRight w:val="0"/>
      <w:marTop w:val="0"/>
      <w:marBottom w:val="0"/>
      <w:divBdr>
        <w:top w:val="none" w:sz="0" w:space="0" w:color="auto"/>
        <w:left w:val="none" w:sz="0" w:space="0" w:color="auto"/>
        <w:bottom w:val="none" w:sz="0" w:space="0" w:color="auto"/>
        <w:right w:val="none" w:sz="0" w:space="0" w:color="auto"/>
      </w:divBdr>
    </w:div>
    <w:div w:id="1848976921">
      <w:bodyDiv w:val="1"/>
      <w:marLeft w:val="0"/>
      <w:marRight w:val="0"/>
      <w:marTop w:val="0"/>
      <w:marBottom w:val="0"/>
      <w:divBdr>
        <w:top w:val="none" w:sz="0" w:space="0" w:color="auto"/>
        <w:left w:val="none" w:sz="0" w:space="0" w:color="auto"/>
        <w:bottom w:val="none" w:sz="0" w:space="0" w:color="auto"/>
        <w:right w:val="none" w:sz="0" w:space="0" w:color="auto"/>
      </w:divBdr>
    </w:div>
    <w:div w:id="1848985487">
      <w:bodyDiv w:val="1"/>
      <w:marLeft w:val="0"/>
      <w:marRight w:val="0"/>
      <w:marTop w:val="0"/>
      <w:marBottom w:val="0"/>
      <w:divBdr>
        <w:top w:val="none" w:sz="0" w:space="0" w:color="auto"/>
        <w:left w:val="none" w:sz="0" w:space="0" w:color="auto"/>
        <w:bottom w:val="none" w:sz="0" w:space="0" w:color="auto"/>
        <w:right w:val="none" w:sz="0" w:space="0" w:color="auto"/>
      </w:divBdr>
    </w:div>
    <w:div w:id="1849828559">
      <w:bodyDiv w:val="1"/>
      <w:marLeft w:val="0"/>
      <w:marRight w:val="0"/>
      <w:marTop w:val="0"/>
      <w:marBottom w:val="0"/>
      <w:divBdr>
        <w:top w:val="none" w:sz="0" w:space="0" w:color="auto"/>
        <w:left w:val="none" w:sz="0" w:space="0" w:color="auto"/>
        <w:bottom w:val="none" w:sz="0" w:space="0" w:color="auto"/>
        <w:right w:val="none" w:sz="0" w:space="0" w:color="auto"/>
      </w:divBdr>
    </w:div>
    <w:div w:id="1850025306">
      <w:bodyDiv w:val="1"/>
      <w:marLeft w:val="0"/>
      <w:marRight w:val="0"/>
      <w:marTop w:val="0"/>
      <w:marBottom w:val="0"/>
      <w:divBdr>
        <w:top w:val="none" w:sz="0" w:space="0" w:color="auto"/>
        <w:left w:val="none" w:sz="0" w:space="0" w:color="auto"/>
        <w:bottom w:val="none" w:sz="0" w:space="0" w:color="auto"/>
        <w:right w:val="none" w:sz="0" w:space="0" w:color="auto"/>
      </w:divBdr>
    </w:div>
    <w:div w:id="1850100798">
      <w:bodyDiv w:val="1"/>
      <w:marLeft w:val="0"/>
      <w:marRight w:val="0"/>
      <w:marTop w:val="0"/>
      <w:marBottom w:val="0"/>
      <w:divBdr>
        <w:top w:val="none" w:sz="0" w:space="0" w:color="auto"/>
        <w:left w:val="none" w:sz="0" w:space="0" w:color="auto"/>
        <w:bottom w:val="none" w:sz="0" w:space="0" w:color="auto"/>
        <w:right w:val="none" w:sz="0" w:space="0" w:color="auto"/>
      </w:divBdr>
    </w:div>
    <w:div w:id="1851021463">
      <w:bodyDiv w:val="1"/>
      <w:marLeft w:val="0"/>
      <w:marRight w:val="0"/>
      <w:marTop w:val="0"/>
      <w:marBottom w:val="0"/>
      <w:divBdr>
        <w:top w:val="none" w:sz="0" w:space="0" w:color="auto"/>
        <w:left w:val="none" w:sz="0" w:space="0" w:color="auto"/>
        <w:bottom w:val="none" w:sz="0" w:space="0" w:color="auto"/>
        <w:right w:val="none" w:sz="0" w:space="0" w:color="auto"/>
      </w:divBdr>
    </w:div>
    <w:div w:id="1851142276">
      <w:bodyDiv w:val="1"/>
      <w:marLeft w:val="0"/>
      <w:marRight w:val="0"/>
      <w:marTop w:val="0"/>
      <w:marBottom w:val="0"/>
      <w:divBdr>
        <w:top w:val="none" w:sz="0" w:space="0" w:color="auto"/>
        <w:left w:val="none" w:sz="0" w:space="0" w:color="auto"/>
        <w:bottom w:val="none" w:sz="0" w:space="0" w:color="auto"/>
        <w:right w:val="none" w:sz="0" w:space="0" w:color="auto"/>
      </w:divBdr>
    </w:div>
    <w:div w:id="1851871312">
      <w:bodyDiv w:val="1"/>
      <w:marLeft w:val="0"/>
      <w:marRight w:val="0"/>
      <w:marTop w:val="0"/>
      <w:marBottom w:val="0"/>
      <w:divBdr>
        <w:top w:val="none" w:sz="0" w:space="0" w:color="auto"/>
        <w:left w:val="none" w:sz="0" w:space="0" w:color="auto"/>
        <w:bottom w:val="none" w:sz="0" w:space="0" w:color="auto"/>
        <w:right w:val="none" w:sz="0" w:space="0" w:color="auto"/>
      </w:divBdr>
    </w:div>
    <w:div w:id="1852136130">
      <w:bodyDiv w:val="1"/>
      <w:marLeft w:val="0"/>
      <w:marRight w:val="0"/>
      <w:marTop w:val="0"/>
      <w:marBottom w:val="0"/>
      <w:divBdr>
        <w:top w:val="none" w:sz="0" w:space="0" w:color="auto"/>
        <w:left w:val="none" w:sz="0" w:space="0" w:color="auto"/>
        <w:bottom w:val="none" w:sz="0" w:space="0" w:color="auto"/>
        <w:right w:val="none" w:sz="0" w:space="0" w:color="auto"/>
      </w:divBdr>
    </w:div>
    <w:div w:id="1852837657">
      <w:bodyDiv w:val="1"/>
      <w:marLeft w:val="0"/>
      <w:marRight w:val="0"/>
      <w:marTop w:val="0"/>
      <w:marBottom w:val="0"/>
      <w:divBdr>
        <w:top w:val="none" w:sz="0" w:space="0" w:color="auto"/>
        <w:left w:val="none" w:sz="0" w:space="0" w:color="auto"/>
        <w:bottom w:val="none" w:sz="0" w:space="0" w:color="auto"/>
        <w:right w:val="none" w:sz="0" w:space="0" w:color="auto"/>
      </w:divBdr>
    </w:div>
    <w:div w:id="1852984090">
      <w:bodyDiv w:val="1"/>
      <w:marLeft w:val="0"/>
      <w:marRight w:val="0"/>
      <w:marTop w:val="0"/>
      <w:marBottom w:val="0"/>
      <w:divBdr>
        <w:top w:val="none" w:sz="0" w:space="0" w:color="auto"/>
        <w:left w:val="none" w:sz="0" w:space="0" w:color="auto"/>
        <w:bottom w:val="none" w:sz="0" w:space="0" w:color="auto"/>
        <w:right w:val="none" w:sz="0" w:space="0" w:color="auto"/>
      </w:divBdr>
    </w:div>
    <w:div w:id="1853303949">
      <w:bodyDiv w:val="1"/>
      <w:marLeft w:val="0"/>
      <w:marRight w:val="0"/>
      <w:marTop w:val="0"/>
      <w:marBottom w:val="0"/>
      <w:divBdr>
        <w:top w:val="none" w:sz="0" w:space="0" w:color="auto"/>
        <w:left w:val="none" w:sz="0" w:space="0" w:color="auto"/>
        <w:bottom w:val="none" w:sz="0" w:space="0" w:color="auto"/>
        <w:right w:val="none" w:sz="0" w:space="0" w:color="auto"/>
      </w:divBdr>
    </w:div>
    <w:div w:id="1855462693">
      <w:bodyDiv w:val="1"/>
      <w:marLeft w:val="0"/>
      <w:marRight w:val="0"/>
      <w:marTop w:val="0"/>
      <w:marBottom w:val="0"/>
      <w:divBdr>
        <w:top w:val="none" w:sz="0" w:space="0" w:color="auto"/>
        <w:left w:val="none" w:sz="0" w:space="0" w:color="auto"/>
        <w:bottom w:val="none" w:sz="0" w:space="0" w:color="auto"/>
        <w:right w:val="none" w:sz="0" w:space="0" w:color="auto"/>
      </w:divBdr>
    </w:div>
    <w:div w:id="1855534518">
      <w:bodyDiv w:val="1"/>
      <w:marLeft w:val="0"/>
      <w:marRight w:val="0"/>
      <w:marTop w:val="0"/>
      <w:marBottom w:val="0"/>
      <w:divBdr>
        <w:top w:val="none" w:sz="0" w:space="0" w:color="auto"/>
        <w:left w:val="none" w:sz="0" w:space="0" w:color="auto"/>
        <w:bottom w:val="none" w:sz="0" w:space="0" w:color="auto"/>
        <w:right w:val="none" w:sz="0" w:space="0" w:color="auto"/>
      </w:divBdr>
    </w:div>
    <w:div w:id="1855606907">
      <w:bodyDiv w:val="1"/>
      <w:marLeft w:val="0"/>
      <w:marRight w:val="0"/>
      <w:marTop w:val="0"/>
      <w:marBottom w:val="0"/>
      <w:divBdr>
        <w:top w:val="none" w:sz="0" w:space="0" w:color="auto"/>
        <w:left w:val="none" w:sz="0" w:space="0" w:color="auto"/>
        <w:bottom w:val="none" w:sz="0" w:space="0" w:color="auto"/>
        <w:right w:val="none" w:sz="0" w:space="0" w:color="auto"/>
      </w:divBdr>
    </w:div>
    <w:div w:id="1855653717">
      <w:bodyDiv w:val="1"/>
      <w:marLeft w:val="0"/>
      <w:marRight w:val="0"/>
      <w:marTop w:val="0"/>
      <w:marBottom w:val="0"/>
      <w:divBdr>
        <w:top w:val="none" w:sz="0" w:space="0" w:color="auto"/>
        <w:left w:val="none" w:sz="0" w:space="0" w:color="auto"/>
        <w:bottom w:val="none" w:sz="0" w:space="0" w:color="auto"/>
        <w:right w:val="none" w:sz="0" w:space="0" w:color="auto"/>
      </w:divBdr>
    </w:div>
    <w:div w:id="1855879367">
      <w:bodyDiv w:val="1"/>
      <w:marLeft w:val="0"/>
      <w:marRight w:val="0"/>
      <w:marTop w:val="0"/>
      <w:marBottom w:val="0"/>
      <w:divBdr>
        <w:top w:val="none" w:sz="0" w:space="0" w:color="auto"/>
        <w:left w:val="none" w:sz="0" w:space="0" w:color="auto"/>
        <w:bottom w:val="none" w:sz="0" w:space="0" w:color="auto"/>
        <w:right w:val="none" w:sz="0" w:space="0" w:color="auto"/>
      </w:divBdr>
    </w:div>
    <w:div w:id="1856456171">
      <w:bodyDiv w:val="1"/>
      <w:marLeft w:val="0"/>
      <w:marRight w:val="0"/>
      <w:marTop w:val="0"/>
      <w:marBottom w:val="0"/>
      <w:divBdr>
        <w:top w:val="none" w:sz="0" w:space="0" w:color="auto"/>
        <w:left w:val="none" w:sz="0" w:space="0" w:color="auto"/>
        <w:bottom w:val="none" w:sz="0" w:space="0" w:color="auto"/>
        <w:right w:val="none" w:sz="0" w:space="0" w:color="auto"/>
      </w:divBdr>
    </w:div>
    <w:div w:id="1856846096">
      <w:bodyDiv w:val="1"/>
      <w:marLeft w:val="0"/>
      <w:marRight w:val="0"/>
      <w:marTop w:val="0"/>
      <w:marBottom w:val="0"/>
      <w:divBdr>
        <w:top w:val="none" w:sz="0" w:space="0" w:color="auto"/>
        <w:left w:val="none" w:sz="0" w:space="0" w:color="auto"/>
        <w:bottom w:val="none" w:sz="0" w:space="0" w:color="auto"/>
        <w:right w:val="none" w:sz="0" w:space="0" w:color="auto"/>
      </w:divBdr>
    </w:div>
    <w:div w:id="1857386052">
      <w:bodyDiv w:val="1"/>
      <w:marLeft w:val="0"/>
      <w:marRight w:val="0"/>
      <w:marTop w:val="0"/>
      <w:marBottom w:val="0"/>
      <w:divBdr>
        <w:top w:val="none" w:sz="0" w:space="0" w:color="auto"/>
        <w:left w:val="none" w:sz="0" w:space="0" w:color="auto"/>
        <w:bottom w:val="none" w:sz="0" w:space="0" w:color="auto"/>
        <w:right w:val="none" w:sz="0" w:space="0" w:color="auto"/>
      </w:divBdr>
    </w:div>
    <w:div w:id="1857570275">
      <w:bodyDiv w:val="1"/>
      <w:marLeft w:val="0"/>
      <w:marRight w:val="0"/>
      <w:marTop w:val="0"/>
      <w:marBottom w:val="0"/>
      <w:divBdr>
        <w:top w:val="none" w:sz="0" w:space="0" w:color="auto"/>
        <w:left w:val="none" w:sz="0" w:space="0" w:color="auto"/>
        <w:bottom w:val="none" w:sz="0" w:space="0" w:color="auto"/>
        <w:right w:val="none" w:sz="0" w:space="0" w:color="auto"/>
      </w:divBdr>
    </w:div>
    <w:div w:id="1859000172">
      <w:bodyDiv w:val="1"/>
      <w:marLeft w:val="0"/>
      <w:marRight w:val="0"/>
      <w:marTop w:val="0"/>
      <w:marBottom w:val="0"/>
      <w:divBdr>
        <w:top w:val="none" w:sz="0" w:space="0" w:color="auto"/>
        <w:left w:val="none" w:sz="0" w:space="0" w:color="auto"/>
        <w:bottom w:val="none" w:sz="0" w:space="0" w:color="auto"/>
        <w:right w:val="none" w:sz="0" w:space="0" w:color="auto"/>
      </w:divBdr>
    </w:div>
    <w:div w:id="1859002030">
      <w:bodyDiv w:val="1"/>
      <w:marLeft w:val="0"/>
      <w:marRight w:val="0"/>
      <w:marTop w:val="0"/>
      <w:marBottom w:val="0"/>
      <w:divBdr>
        <w:top w:val="none" w:sz="0" w:space="0" w:color="auto"/>
        <w:left w:val="none" w:sz="0" w:space="0" w:color="auto"/>
        <w:bottom w:val="none" w:sz="0" w:space="0" w:color="auto"/>
        <w:right w:val="none" w:sz="0" w:space="0" w:color="auto"/>
      </w:divBdr>
    </w:div>
    <w:div w:id="1860701347">
      <w:bodyDiv w:val="1"/>
      <w:marLeft w:val="0"/>
      <w:marRight w:val="0"/>
      <w:marTop w:val="0"/>
      <w:marBottom w:val="0"/>
      <w:divBdr>
        <w:top w:val="none" w:sz="0" w:space="0" w:color="auto"/>
        <w:left w:val="none" w:sz="0" w:space="0" w:color="auto"/>
        <w:bottom w:val="none" w:sz="0" w:space="0" w:color="auto"/>
        <w:right w:val="none" w:sz="0" w:space="0" w:color="auto"/>
      </w:divBdr>
    </w:div>
    <w:div w:id="1860924689">
      <w:bodyDiv w:val="1"/>
      <w:marLeft w:val="0"/>
      <w:marRight w:val="0"/>
      <w:marTop w:val="0"/>
      <w:marBottom w:val="0"/>
      <w:divBdr>
        <w:top w:val="none" w:sz="0" w:space="0" w:color="auto"/>
        <w:left w:val="none" w:sz="0" w:space="0" w:color="auto"/>
        <w:bottom w:val="none" w:sz="0" w:space="0" w:color="auto"/>
        <w:right w:val="none" w:sz="0" w:space="0" w:color="auto"/>
      </w:divBdr>
    </w:div>
    <w:div w:id="1862162963">
      <w:bodyDiv w:val="1"/>
      <w:marLeft w:val="0"/>
      <w:marRight w:val="0"/>
      <w:marTop w:val="0"/>
      <w:marBottom w:val="0"/>
      <w:divBdr>
        <w:top w:val="none" w:sz="0" w:space="0" w:color="auto"/>
        <w:left w:val="none" w:sz="0" w:space="0" w:color="auto"/>
        <w:bottom w:val="none" w:sz="0" w:space="0" w:color="auto"/>
        <w:right w:val="none" w:sz="0" w:space="0" w:color="auto"/>
      </w:divBdr>
    </w:div>
    <w:div w:id="1862819147">
      <w:bodyDiv w:val="1"/>
      <w:marLeft w:val="0"/>
      <w:marRight w:val="0"/>
      <w:marTop w:val="0"/>
      <w:marBottom w:val="0"/>
      <w:divBdr>
        <w:top w:val="none" w:sz="0" w:space="0" w:color="auto"/>
        <w:left w:val="none" w:sz="0" w:space="0" w:color="auto"/>
        <w:bottom w:val="none" w:sz="0" w:space="0" w:color="auto"/>
        <w:right w:val="none" w:sz="0" w:space="0" w:color="auto"/>
      </w:divBdr>
    </w:div>
    <w:div w:id="1862933094">
      <w:bodyDiv w:val="1"/>
      <w:marLeft w:val="0"/>
      <w:marRight w:val="0"/>
      <w:marTop w:val="0"/>
      <w:marBottom w:val="0"/>
      <w:divBdr>
        <w:top w:val="none" w:sz="0" w:space="0" w:color="auto"/>
        <w:left w:val="none" w:sz="0" w:space="0" w:color="auto"/>
        <w:bottom w:val="none" w:sz="0" w:space="0" w:color="auto"/>
        <w:right w:val="none" w:sz="0" w:space="0" w:color="auto"/>
      </w:divBdr>
    </w:div>
    <w:div w:id="1863009461">
      <w:bodyDiv w:val="1"/>
      <w:marLeft w:val="0"/>
      <w:marRight w:val="0"/>
      <w:marTop w:val="0"/>
      <w:marBottom w:val="0"/>
      <w:divBdr>
        <w:top w:val="none" w:sz="0" w:space="0" w:color="auto"/>
        <w:left w:val="none" w:sz="0" w:space="0" w:color="auto"/>
        <w:bottom w:val="none" w:sz="0" w:space="0" w:color="auto"/>
        <w:right w:val="none" w:sz="0" w:space="0" w:color="auto"/>
      </w:divBdr>
    </w:div>
    <w:div w:id="1863590050">
      <w:bodyDiv w:val="1"/>
      <w:marLeft w:val="0"/>
      <w:marRight w:val="0"/>
      <w:marTop w:val="0"/>
      <w:marBottom w:val="0"/>
      <w:divBdr>
        <w:top w:val="none" w:sz="0" w:space="0" w:color="auto"/>
        <w:left w:val="none" w:sz="0" w:space="0" w:color="auto"/>
        <w:bottom w:val="none" w:sz="0" w:space="0" w:color="auto"/>
        <w:right w:val="none" w:sz="0" w:space="0" w:color="auto"/>
      </w:divBdr>
    </w:div>
    <w:div w:id="1864128845">
      <w:bodyDiv w:val="1"/>
      <w:marLeft w:val="0"/>
      <w:marRight w:val="0"/>
      <w:marTop w:val="0"/>
      <w:marBottom w:val="0"/>
      <w:divBdr>
        <w:top w:val="none" w:sz="0" w:space="0" w:color="auto"/>
        <w:left w:val="none" w:sz="0" w:space="0" w:color="auto"/>
        <w:bottom w:val="none" w:sz="0" w:space="0" w:color="auto"/>
        <w:right w:val="none" w:sz="0" w:space="0" w:color="auto"/>
      </w:divBdr>
    </w:div>
    <w:div w:id="1864316613">
      <w:bodyDiv w:val="1"/>
      <w:marLeft w:val="0"/>
      <w:marRight w:val="0"/>
      <w:marTop w:val="0"/>
      <w:marBottom w:val="0"/>
      <w:divBdr>
        <w:top w:val="none" w:sz="0" w:space="0" w:color="auto"/>
        <w:left w:val="none" w:sz="0" w:space="0" w:color="auto"/>
        <w:bottom w:val="none" w:sz="0" w:space="0" w:color="auto"/>
        <w:right w:val="none" w:sz="0" w:space="0" w:color="auto"/>
      </w:divBdr>
    </w:div>
    <w:div w:id="1864511608">
      <w:bodyDiv w:val="1"/>
      <w:marLeft w:val="0"/>
      <w:marRight w:val="0"/>
      <w:marTop w:val="0"/>
      <w:marBottom w:val="0"/>
      <w:divBdr>
        <w:top w:val="none" w:sz="0" w:space="0" w:color="auto"/>
        <w:left w:val="none" w:sz="0" w:space="0" w:color="auto"/>
        <w:bottom w:val="none" w:sz="0" w:space="0" w:color="auto"/>
        <w:right w:val="none" w:sz="0" w:space="0" w:color="auto"/>
      </w:divBdr>
    </w:div>
    <w:div w:id="1867281476">
      <w:bodyDiv w:val="1"/>
      <w:marLeft w:val="0"/>
      <w:marRight w:val="0"/>
      <w:marTop w:val="0"/>
      <w:marBottom w:val="0"/>
      <w:divBdr>
        <w:top w:val="none" w:sz="0" w:space="0" w:color="auto"/>
        <w:left w:val="none" w:sz="0" w:space="0" w:color="auto"/>
        <w:bottom w:val="none" w:sz="0" w:space="0" w:color="auto"/>
        <w:right w:val="none" w:sz="0" w:space="0" w:color="auto"/>
      </w:divBdr>
    </w:div>
    <w:div w:id="1867911023">
      <w:bodyDiv w:val="1"/>
      <w:marLeft w:val="0"/>
      <w:marRight w:val="0"/>
      <w:marTop w:val="0"/>
      <w:marBottom w:val="0"/>
      <w:divBdr>
        <w:top w:val="none" w:sz="0" w:space="0" w:color="auto"/>
        <w:left w:val="none" w:sz="0" w:space="0" w:color="auto"/>
        <w:bottom w:val="none" w:sz="0" w:space="0" w:color="auto"/>
        <w:right w:val="none" w:sz="0" w:space="0" w:color="auto"/>
      </w:divBdr>
    </w:div>
    <w:div w:id="1868255908">
      <w:bodyDiv w:val="1"/>
      <w:marLeft w:val="0"/>
      <w:marRight w:val="0"/>
      <w:marTop w:val="0"/>
      <w:marBottom w:val="0"/>
      <w:divBdr>
        <w:top w:val="none" w:sz="0" w:space="0" w:color="auto"/>
        <w:left w:val="none" w:sz="0" w:space="0" w:color="auto"/>
        <w:bottom w:val="none" w:sz="0" w:space="0" w:color="auto"/>
        <w:right w:val="none" w:sz="0" w:space="0" w:color="auto"/>
      </w:divBdr>
    </w:div>
    <w:div w:id="1869490017">
      <w:bodyDiv w:val="1"/>
      <w:marLeft w:val="0"/>
      <w:marRight w:val="0"/>
      <w:marTop w:val="0"/>
      <w:marBottom w:val="0"/>
      <w:divBdr>
        <w:top w:val="none" w:sz="0" w:space="0" w:color="auto"/>
        <w:left w:val="none" w:sz="0" w:space="0" w:color="auto"/>
        <w:bottom w:val="none" w:sz="0" w:space="0" w:color="auto"/>
        <w:right w:val="none" w:sz="0" w:space="0" w:color="auto"/>
      </w:divBdr>
    </w:div>
    <w:div w:id="1871332388">
      <w:bodyDiv w:val="1"/>
      <w:marLeft w:val="0"/>
      <w:marRight w:val="0"/>
      <w:marTop w:val="0"/>
      <w:marBottom w:val="0"/>
      <w:divBdr>
        <w:top w:val="none" w:sz="0" w:space="0" w:color="auto"/>
        <w:left w:val="none" w:sz="0" w:space="0" w:color="auto"/>
        <w:bottom w:val="none" w:sz="0" w:space="0" w:color="auto"/>
        <w:right w:val="none" w:sz="0" w:space="0" w:color="auto"/>
      </w:divBdr>
    </w:div>
    <w:div w:id="1871334984">
      <w:bodyDiv w:val="1"/>
      <w:marLeft w:val="0"/>
      <w:marRight w:val="0"/>
      <w:marTop w:val="0"/>
      <w:marBottom w:val="0"/>
      <w:divBdr>
        <w:top w:val="none" w:sz="0" w:space="0" w:color="auto"/>
        <w:left w:val="none" w:sz="0" w:space="0" w:color="auto"/>
        <w:bottom w:val="none" w:sz="0" w:space="0" w:color="auto"/>
        <w:right w:val="none" w:sz="0" w:space="0" w:color="auto"/>
      </w:divBdr>
    </w:div>
    <w:div w:id="1871410297">
      <w:bodyDiv w:val="1"/>
      <w:marLeft w:val="0"/>
      <w:marRight w:val="0"/>
      <w:marTop w:val="0"/>
      <w:marBottom w:val="0"/>
      <w:divBdr>
        <w:top w:val="none" w:sz="0" w:space="0" w:color="auto"/>
        <w:left w:val="none" w:sz="0" w:space="0" w:color="auto"/>
        <w:bottom w:val="none" w:sz="0" w:space="0" w:color="auto"/>
        <w:right w:val="none" w:sz="0" w:space="0" w:color="auto"/>
      </w:divBdr>
    </w:div>
    <w:div w:id="1871453013">
      <w:bodyDiv w:val="1"/>
      <w:marLeft w:val="0"/>
      <w:marRight w:val="0"/>
      <w:marTop w:val="0"/>
      <w:marBottom w:val="0"/>
      <w:divBdr>
        <w:top w:val="none" w:sz="0" w:space="0" w:color="auto"/>
        <w:left w:val="none" w:sz="0" w:space="0" w:color="auto"/>
        <w:bottom w:val="none" w:sz="0" w:space="0" w:color="auto"/>
        <w:right w:val="none" w:sz="0" w:space="0" w:color="auto"/>
      </w:divBdr>
    </w:div>
    <w:div w:id="1871792892">
      <w:bodyDiv w:val="1"/>
      <w:marLeft w:val="0"/>
      <w:marRight w:val="0"/>
      <w:marTop w:val="0"/>
      <w:marBottom w:val="0"/>
      <w:divBdr>
        <w:top w:val="none" w:sz="0" w:space="0" w:color="auto"/>
        <w:left w:val="none" w:sz="0" w:space="0" w:color="auto"/>
        <w:bottom w:val="none" w:sz="0" w:space="0" w:color="auto"/>
        <w:right w:val="none" w:sz="0" w:space="0" w:color="auto"/>
      </w:divBdr>
    </w:div>
    <w:div w:id="1871920112">
      <w:bodyDiv w:val="1"/>
      <w:marLeft w:val="0"/>
      <w:marRight w:val="0"/>
      <w:marTop w:val="0"/>
      <w:marBottom w:val="0"/>
      <w:divBdr>
        <w:top w:val="none" w:sz="0" w:space="0" w:color="auto"/>
        <w:left w:val="none" w:sz="0" w:space="0" w:color="auto"/>
        <w:bottom w:val="none" w:sz="0" w:space="0" w:color="auto"/>
        <w:right w:val="none" w:sz="0" w:space="0" w:color="auto"/>
      </w:divBdr>
    </w:div>
    <w:div w:id="1872526891">
      <w:bodyDiv w:val="1"/>
      <w:marLeft w:val="0"/>
      <w:marRight w:val="0"/>
      <w:marTop w:val="0"/>
      <w:marBottom w:val="0"/>
      <w:divBdr>
        <w:top w:val="none" w:sz="0" w:space="0" w:color="auto"/>
        <w:left w:val="none" w:sz="0" w:space="0" w:color="auto"/>
        <w:bottom w:val="none" w:sz="0" w:space="0" w:color="auto"/>
        <w:right w:val="none" w:sz="0" w:space="0" w:color="auto"/>
      </w:divBdr>
    </w:div>
    <w:div w:id="1872691614">
      <w:bodyDiv w:val="1"/>
      <w:marLeft w:val="0"/>
      <w:marRight w:val="0"/>
      <w:marTop w:val="0"/>
      <w:marBottom w:val="0"/>
      <w:divBdr>
        <w:top w:val="none" w:sz="0" w:space="0" w:color="auto"/>
        <w:left w:val="none" w:sz="0" w:space="0" w:color="auto"/>
        <w:bottom w:val="none" w:sz="0" w:space="0" w:color="auto"/>
        <w:right w:val="none" w:sz="0" w:space="0" w:color="auto"/>
      </w:divBdr>
    </w:div>
    <w:div w:id="1872835566">
      <w:bodyDiv w:val="1"/>
      <w:marLeft w:val="0"/>
      <w:marRight w:val="0"/>
      <w:marTop w:val="0"/>
      <w:marBottom w:val="0"/>
      <w:divBdr>
        <w:top w:val="none" w:sz="0" w:space="0" w:color="auto"/>
        <w:left w:val="none" w:sz="0" w:space="0" w:color="auto"/>
        <w:bottom w:val="none" w:sz="0" w:space="0" w:color="auto"/>
        <w:right w:val="none" w:sz="0" w:space="0" w:color="auto"/>
      </w:divBdr>
    </w:div>
    <w:div w:id="1873806316">
      <w:bodyDiv w:val="1"/>
      <w:marLeft w:val="0"/>
      <w:marRight w:val="0"/>
      <w:marTop w:val="0"/>
      <w:marBottom w:val="0"/>
      <w:divBdr>
        <w:top w:val="none" w:sz="0" w:space="0" w:color="auto"/>
        <w:left w:val="none" w:sz="0" w:space="0" w:color="auto"/>
        <w:bottom w:val="none" w:sz="0" w:space="0" w:color="auto"/>
        <w:right w:val="none" w:sz="0" w:space="0" w:color="auto"/>
      </w:divBdr>
    </w:div>
    <w:div w:id="1874228869">
      <w:bodyDiv w:val="1"/>
      <w:marLeft w:val="0"/>
      <w:marRight w:val="0"/>
      <w:marTop w:val="0"/>
      <w:marBottom w:val="0"/>
      <w:divBdr>
        <w:top w:val="none" w:sz="0" w:space="0" w:color="auto"/>
        <w:left w:val="none" w:sz="0" w:space="0" w:color="auto"/>
        <w:bottom w:val="none" w:sz="0" w:space="0" w:color="auto"/>
        <w:right w:val="none" w:sz="0" w:space="0" w:color="auto"/>
      </w:divBdr>
    </w:div>
    <w:div w:id="1874879888">
      <w:bodyDiv w:val="1"/>
      <w:marLeft w:val="0"/>
      <w:marRight w:val="0"/>
      <w:marTop w:val="0"/>
      <w:marBottom w:val="0"/>
      <w:divBdr>
        <w:top w:val="none" w:sz="0" w:space="0" w:color="auto"/>
        <w:left w:val="none" w:sz="0" w:space="0" w:color="auto"/>
        <w:bottom w:val="none" w:sz="0" w:space="0" w:color="auto"/>
        <w:right w:val="none" w:sz="0" w:space="0" w:color="auto"/>
      </w:divBdr>
    </w:div>
    <w:div w:id="1874995191">
      <w:bodyDiv w:val="1"/>
      <w:marLeft w:val="0"/>
      <w:marRight w:val="0"/>
      <w:marTop w:val="0"/>
      <w:marBottom w:val="0"/>
      <w:divBdr>
        <w:top w:val="none" w:sz="0" w:space="0" w:color="auto"/>
        <w:left w:val="none" w:sz="0" w:space="0" w:color="auto"/>
        <w:bottom w:val="none" w:sz="0" w:space="0" w:color="auto"/>
        <w:right w:val="none" w:sz="0" w:space="0" w:color="auto"/>
      </w:divBdr>
    </w:div>
    <w:div w:id="1877040267">
      <w:bodyDiv w:val="1"/>
      <w:marLeft w:val="0"/>
      <w:marRight w:val="0"/>
      <w:marTop w:val="0"/>
      <w:marBottom w:val="0"/>
      <w:divBdr>
        <w:top w:val="none" w:sz="0" w:space="0" w:color="auto"/>
        <w:left w:val="none" w:sz="0" w:space="0" w:color="auto"/>
        <w:bottom w:val="none" w:sz="0" w:space="0" w:color="auto"/>
        <w:right w:val="none" w:sz="0" w:space="0" w:color="auto"/>
      </w:divBdr>
    </w:div>
    <w:div w:id="1877887751">
      <w:bodyDiv w:val="1"/>
      <w:marLeft w:val="0"/>
      <w:marRight w:val="0"/>
      <w:marTop w:val="0"/>
      <w:marBottom w:val="0"/>
      <w:divBdr>
        <w:top w:val="none" w:sz="0" w:space="0" w:color="auto"/>
        <w:left w:val="none" w:sz="0" w:space="0" w:color="auto"/>
        <w:bottom w:val="none" w:sz="0" w:space="0" w:color="auto"/>
        <w:right w:val="none" w:sz="0" w:space="0" w:color="auto"/>
      </w:divBdr>
    </w:div>
    <w:div w:id="1878465747">
      <w:bodyDiv w:val="1"/>
      <w:marLeft w:val="0"/>
      <w:marRight w:val="0"/>
      <w:marTop w:val="0"/>
      <w:marBottom w:val="0"/>
      <w:divBdr>
        <w:top w:val="none" w:sz="0" w:space="0" w:color="auto"/>
        <w:left w:val="none" w:sz="0" w:space="0" w:color="auto"/>
        <w:bottom w:val="none" w:sz="0" w:space="0" w:color="auto"/>
        <w:right w:val="none" w:sz="0" w:space="0" w:color="auto"/>
      </w:divBdr>
    </w:div>
    <w:div w:id="1879125961">
      <w:bodyDiv w:val="1"/>
      <w:marLeft w:val="0"/>
      <w:marRight w:val="0"/>
      <w:marTop w:val="0"/>
      <w:marBottom w:val="0"/>
      <w:divBdr>
        <w:top w:val="none" w:sz="0" w:space="0" w:color="auto"/>
        <w:left w:val="none" w:sz="0" w:space="0" w:color="auto"/>
        <w:bottom w:val="none" w:sz="0" w:space="0" w:color="auto"/>
        <w:right w:val="none" w:sz="0" w:space="0" w:color="auto"/>
      </w:divBdr>
    </w:div>
    <w:div w:id="1879320111">
      <w:bodyDiv w:val="1"/>
      <w:marLeft w:val="0"/>
      <w:marRight w:val="0"/>
      <w:marTop w:val="0"/>
      <w:marBottom w:val="0"/>
      <w:divBdr>
        <w:top w:val="none" w:sz="0" w:space="0" w:color="auto"/>
        <w:left w:val="none" w:sz="0" w:space="0" w:color="auto"/>
        <w:bottom w:val="none" w:sz="0" w:space="0" w:color="auto"/>
        <w:right w:val="none" w:sz="0" w:space="0" w:color="auto"/>
      </w:divBdr>
    </w:div>
    <w:div w:id="1880580195">
      <w:bodyDiv w:val="1"/>
      <w:marLeft w:val="0"/>
      <w:marRight w:val="0"/>
      <w:marTop w:val="0"/>
      <w:marBottom w:val="0"/>
      <w:divBdr>
        <w:top w:val="none" w:sz="0" w:space="0" w:color="auto"/>
        <w:left w:val="none" w:sz="0" w:space="0" w:color="auto"/>
        <w:bottom w:val="none" w:sz="0" w:space="0" w:color="auto"/>
        <w:right w:val="none" w:sz="0" w:space="0" w:color="auto"/>
      </w:divBdr>
    </w:div>
    <w:div w:id="1880900245">
      <w:bodyDiv w:val="1"/>
      <w:marLeft w:val="0"/>
      <w:marRight w:val="0"/>
      <w:marTop w:val="0"/>
      <w:marBottom w:val="0"/>
      <w:divBdr>
        <w:top w:val="none" w:sz="0" w:space="0" w:color="auto"/>
        <w:left w:val="none" w:sz="0" w:space="0" w:color="auto"/>
        <w:bottom w:val="none" w:sz="0" w:space="0" w:color="auto"/>
        <w:right w:val="none" w:sz="0" w:space="0" w:color="auto"/>
      </w:divBdr>
    </w:div>
    <w:div w:id="1881166722">
      <w:bodyDiv w:val="1"/>
      <w:marLeft w:val="0"/>
      <w:marRight w:val="0"/>
      <w:marTop w:val="0"/>
      <w:marBottom w:val="0"/>
      <w:divBdr>
        <w:top w:val="none" w:sz="0" w:space="0" w:color="auto"/>
        <w:left w:val="none" w:sz="0" w:space="0" w:color="auto"/>
        <w:bottom w:val="none" w:sz="0" w:space="0" w:color="auto"/>
        <w:right w:val="none" w:sz="0" w:space="0" w:color="auto"/>
      </w:divBdr>
    </w:div>
    <w:div w:id="1882208996">
      <w:bodyDiv w:val="1"/>
      <w:marLeft w:val="0"/>
      <w:marRight w:val="0"/>
      <w:marTop w:val="0"/>
      <w:marBottom w:val="0"/>
      <w:divBdr>
        <w:top w:val="none" w:sz="0" w:space="0" w:color="auto"/>
        <w:left w:val="none" w:sz="0" w:space="0" w:color="auto"/>
        <w:bottom w:val="none" w:sz="0" w:space="0" w:color="auto"/>
        <w:right w:val="none" w:sz="0" w:space="0" w:color="auto"/>
      </w:divBdr>
    </w:div>
    <w:div w:id="1883520815">
      <w:bodyDiv w:val="1"/>
      <w:marLeft w:val="0"/>
      <w:marRight w:val="0"/>
      <w:marTop w:val="0"/>
      <w:marBottom w:val="0"/>
      <w:divBdr>
        <w:top w:val="none" w:sz="0" w:space="0" w:color="auto"/>
        <w:left w:val="none" w:sz="0" w:space="0" w:color="auto"/>
        <w:bottom w:val="none" w:sz="0" w:space="0" w:color="auto"/>
        <w:right w:val="none" w:sz="0" w:space="0" w:color="auto"/>
      </w:divBdr>
    </w:div>
    <w:div w:id="1885021213">
      <w:bodyDiv w:val="1"/>
      <w:marLeft w:val="0"/>
      <w:marRight w:val="0"/>
      <w:marTop w:val="0"/>
      <w:marBottom w:val="0"/>
      <w:divBdr>
        <w:top w:val="none" w:sz="0" w:space="0" w:color="auto"/>
        <w:left w:val="none" w:sz="0" w:space="0" w:color="auto"/>
        <w:bottom w:val="none" w:sz="0" w:space="0" w:color="auto"/>
        <w:right w:val="none" w:sz="0" w:space="0" w:color="auto"/>
      </w:divBdr>
    </w:div>
    <w:div w:id="1885827054">
      <w:bodyDiv w:val="1"/>
      <w:marLeft w:val="0"/>
      <w:marRight w:val="0"/>
      <w:marTop w:val="0"/>
      <w:marBottom w:val="0"/>
      <w:divBdr>
        <w:top w:val="none" w:sz="0" w:space="0" w:color="auto"/>
        <w:left w:val="none" w:sz="0" w:space="0" w:color="auto"/>
        <w:bottom w:val="none" w:sz="0" w:space="0" w:color="auto"/>
        <w:right w:val="none" w:sz="0" w:space="0" w:color="auto"/>
      </w:divBdr>
    </w:div>
    <w:div w:id="1886402809">
      <w:bodyDiv w:val="1"/>
      <w:marLeft w:val="0"/>
      <w:marRight w:val="0"/>
      <w:marTop w:val="0"/>
      <w:marBottom w:val="0"/>
      <w:divBdr>
        <w:top w:val="none" w:sz="0" w:space="0" w:color="auto"/>
        <w:left w:val="none" w:sz="0" w:space="0" w:color="auto"/>
        <w:bottom w:val="none" w:sz="0" w:space="0" w:color="auto"/>
        <w:right w:val="none" w:sz="0" w:space="0" w:color="auto"/>
      </w:divBdr>
    </w:div>
    <w:div w:id="1886481702">
      <w:bodyDiv w:val="1"/>
      <w:marLeft w:val="0"/>
      <w:marRight w:val="0"/>
      <w:marTop w:val="0"/>
      <w:marBottom w:val="0"/>
      <w:divBdr>
        <w:top w:val="none" w:sz="0" w:space="0" w:color="auto"/>
        <w:left w:val="none" w:sz="0" w:space="0" w:color="auto"/>
        <w:bottom w:val="none" w:sz="0" w:space="0" w:color="auto"/>
        <w:right w:val="none" w:sz="0" w:space="0" w:color="auto"/>
      </w:divBdr>
    </w:div>
    <w:div w:id="1887139268">
      <w:bodyDiv w:val="1"/>
      <w:marLeft w:val="0"/>
      <w:marRight w:val="0"/>
      <w:marTop w:val="0"/>
      <w:marBottom w:val="0"/>
      <w:divBdr>
        <w:top w:val="none" w:sz="0" w:space="0" w:color="auto"/>
        <w:left w:val="none" w:sz="0" w:space="0" w:color="auto"/>
        <w:bottom w:val="none" w:sz="0" w:space="0" w:color="auto"/>
        <w:right w:val="none" w:sz="0" w:space="0" w:color="auto"/>
      </w:divBdr>
    </w:div>
    <w:div w:id="1887183995">
      <w:bodyDiv w:val="1"/>
      <w:marLeft w:val="0"/>
      <w:marRight w:val="0"/>
      <w:marTop w:val="0"/>
      <w:marBottom w:val="0"/>
      <w:divBdr>
        <w:top w:val="none" w:sz="0" w:space="0" w:color="auto"/>
        <w:left w:val="none" w:sz="0" w:space="0" w:color="auto"/>
        <w:bottom w:val="none" w:sz="0" w:space="0" w:color="auto"/>
        <w:right w:val="none" w:sz="0" w:space="0" w:color="auto"/>
      </w:divBdr>
    </w:div>
    <w:div w:id="1887524678">
      <w:bodyDiv w:val="1"/>
      <w:marLeft w:val="0"/>
      <w:marRight w:val="0"/>
      <w:marTop w:val="0"/>
      <w:marBottom w:val="0"/>
      <w:divBdr>
        <w:top w:val="none" w:sz="0" w:space="0" w:color="auto"/>
        <w:left w:val="none" w:sz="0" w:space="0" w:color="auto"/>
        <w:bottom w:val="none" w:sz="0" w:space="0" w:color="auto"/>
        <w:right w:val="none" w:sz="0" w:space="0" w:color="auto"/>
      </w:divBdr>
    </w:div>
    <w:div w:id="1887989832">
      <w:bodyDiv w:val="1"/>
      <w:marLeft w:val="0"/>
      <w:marRight w:val="0"/>
      <w:marTop w:val="0"/>
      <w:marBottom w:val="0"/>
      <w:divBdr>
        <w:top w:val="none" w:sz="0" w:space="0" w:color="auto"/>
        <w:left w:val="none" w:sz="0" w:space="0" w:color="auto"/>
        <w:bottom w:val="none" w:sz="0" w:space="0" w:color="auto"/>
        <w:right w:val="none" w:sz="0" w:space="0" w:color="auto"/>
      </w:divBdr>
    </w:div>
    <w:div w:id="1888032202">
      <w:bodyDiv w:val="1"/>
      <w:marLeft w:val="0"/>
      <w:marRight w:val="0"/>
      <w:marTop w:val="0"/>
      <w:marBottom w:val="0"/>
      <w:divBdr>
        <w:top w:val="none" w:sz="0" w:space="0" w:color="auto"/>
        <w:left w:val="none" w:sz="0" w:space="0" w:color="auto"/>
        <w:bottom w:val="none" w:sz="0" w:space="0" w:color="auto"/>
        <w:right w:val="none" w:sz="0" w:space="0" w:color="auto"/>
      </w:divBdr>
    </w:div>
    <w:div w:id="1888488588">
      <w:bodyDiv w:val="1"/>
      <w:marLeft w:val="0"/>
      <w:marRight w:val="0"/>
      <w:marTop w:val="0"/>
      <w:marBottom w:val="0"/>
      <w:divBdr>
        <w:top w:val="none" w:sz="0" w:space="0" w:color="auto"/>
        <w:left w:val="none" w:sz="0" w:space="0" w:color="auto"/>
        <w:bottom w:val="none" w:sz="0" w:space="0" w:color="auto"/>
        <w:right w:val="none" w:sz="0" w:space="0" w:color="auto"/>
      </w:divBdr>
    </w:div>
    <w:div w:id="1889148866">
      <w:bodyDiv w:val="1"/>
      <w:marLeft w:val="0"/>
      <w:marRight w:val="0"/>
      <w:marTop w:val="0"/>
      <w:marBottom w:val="0"/>
      <w:divBdr>
        <w:top w:val="none" w:sz="0" w:space="0" w:color="auto"/>
        <w:left w:val="none" w:sz="0" w:space="0" w:color="auto"/>
        <w:bottom w:val="none" w:sz="0" w:space="0" w:color="auto"/>
        <w:right w:val="none" w:sz="0" w:space="0" w:color="auto"/>
      </w:divBdr>
    </w:div>
    <w:div w:id="1889877138">
      <w:bodyDiv w:val="1"/>
      <w:marLeft w:val="0"/>
      <w:marRight w:val="0"/>
      <w:marTop w:val="0"/>
      <w:marBottom w:val="0"/>
      <w:divBdr>
        <w:top w:val="none" w:sz="0" w:space="0" w:color="auto"/>
        <w:left w:val="none" w:sz="0" w:space="0" w:color="auto"/>
        <w:bottom w:val="none" w:sz="0" w:space="0" w:color="auto"/>
        <w:right w:val="none" w:sz="0" w:space="0" w:color="auto"/>
      </w:divBdr>
    </w:div>
    <w:div w:id="1890411791">
      <w:bodyDiv w:val="1"/>
      <w:marLeft w:val="0"/>
      <w:marRight w:val="0"/>
      <w:marTop w:val="0"/>
      <w:marBottom w:val="0"/>
      <w:divBdr>
        <w:top w:val="none" w:sz="0" w:space="0" w:color="auto"/>
        <w:left w:val="none" w:sz="0" w:space="0" w:color="auto"/>
        <w:bottom w:val="none" w:sz="0" w:space="0" w:color="auto"/>
        <w:right w:val="none" w:sz="0" w:space="0" w:color="auto"/>
      </w:divBdr>
    </w:div>
    <w:div w:id="1890417469">
      <w:bodyDiv w:val="1"/>
      <w:marLeft w:val="0"/>
      <w:marRight w:val="0"/>
      <w:marTop w:val="0"/>
      <w:marBottom w:val="0"/>
      <w:divBdr>
        <w:top w:val="none" w:sz="0" w:space="0" w:color="auto"/>
        <w:left w:val="none" w:sz="0" w:space="0" w:color="auto"/>
        <w:bottom w:val="none" w:sz="0" w:space="0" w:color="auto"/>
        <w:right w:val="none" w:sz="0" w:space="0" w:color="auto"/>
      </w:divBdr>
    </w:div>
    <w:div w:id="1890531802">
      <w:bodyDiv w:val="1"/>
      <w:marLeft w:val="0"/>
      <w:marRight w:val="0"/>
      <w:marTop w:val="0"/>
      <w:marBottom w:val="0"/>
      <w:divBdr>
        <w:top w:val="none" w:sz="0" w:space="0" w:color="auto"/>
        <w:left w:val="none" w:sz="0" w:space="0" w:color="auto"/>
        <w:bottom w:val="none" w:sz="0" w:space="0" w:color="auto"/>
        <w:right w:val="none" w:sz="0" w:space="0" w:color="auto"/>
      </w:divBdr>
    </w:div>
    <w:div w:id="1892379557">
      <w:bodyDiv w:val="1"/>
      <w:marLeft w:val="0"/>
      <w:marRight w:val="0"/>
      <w:marTop w:val="0"/>
      <w:marBottom w:val="0"/>
      <w:divBdr>
        <w:top w:val="none" w:sz="0" w:space="0" w:color="auto"/>
        <w:left w:val="none" w:sz="0" w:space="0" w:color="auto"/>
        <w:bottom w:val="none" w:sz="0" w:space="0" w:color="auto"/>
        <w:right w:val="none" w:sz="0" w:space="0" w:color="auto"/>
      </w:divBdr>
    </w:div>
    <w:div w:id="1892498149">
      <w:bodyDiv w:val="1"/>
      <w:marLeft w:val="0"/>
      <w:marRight w:val="0"/>
      <w:marTop w:val="0"/>
      <w:marBottom w:val="0"/>
      <w:divBdr>
        <w:top w:val="none" w:sz="0" w:space="0" w:color="auto"/>
        <w:left w:val="none" w:sz="0" w:space="0" w:color="auto"/>
        <w:bottom w:val="none" w:sz="0" w:space="0" w:color="auto"/>
        <w:right w:val="none" w:sz="0" w:space="0" w:color="auto"/>
      </w:divBdr>
    </w:div>
    <w:div w:id="1893467777">
      <w:bodyDiv w:val="1"/>
      <w:marLeft w:val="0"/>
      <w:marRight w:val="0"/>
      <w:marTop w:val="0"/>
      <w:marBottom w:val="0"/>
      <w:divBdr>
        <w:top w:val="none" w:sz="0" w:space="0" w:color="auto"/>
        <w:left w:val="none" w:sz="0" w:space="0" w:color="auto"/>
        <w:bottom w:val="none" w:sz="0" w:space="0" w:color="auto"/>
        <w:right w:val="none" w:sz="0" w:space="0" w:color="auto"/>
      </w:divBdr>
    </w:div>
    <w:div w:id="1893927369">
      <w:bodyDiv w:val="1"/>
      <w:marLeft w:val="0"/>
      <w:marRight w:val="0"/>
      <w:marTop w:val="0"/>
      <w:marBottom w:val="0"/>
      <w:divBdr>
        <w:top w:val="none" w:sz="0" w:space="0" w:color="auto"/>
        <w:left w:val="none" w:sz="0" w:space="0" w:color="auto"/>
        <w:bottom w:val="none" w:sz="0" w:space="0" w:color="auto"/>
        <w:right w:val="none" w:sz="0" w:space="0" w:color="auto"/>
      </w:divBdr>
    </w:div>
    <w:div w:id="1894004560">
      <w:bodyDiv w:val="1"/>
      <w:marLeft w:val="0"/>
      <w:marRight w:val="0"/>
      <w:marTop w:val="0"/>
      <w:marBottom w:val="0"/>
      <w:divBdr>
        <w:top w:val="none" w:sz="0" w:space="0" w:color="auto"/>
        <w:left w:val="none" w:sz="0" w:space="0" w:color="auto"/>
        <w:bottom w:val="none" w:sz="0" w:space="0" w:color="auto"/>
        <w:right w:val="none" w:sz="0" w:space="0" w:color="auto"/>
      </w:divBdr>
    </w:div>
    <w:div w:id="1894273692">
      <w:bodyDiv w:val="1"/>
      <w:marLeft w:val="0"/>
      <w:marRight w:val="0"/>
      <w:marTop w:val="0"/>
      <w:marBottom w:val="0"/>
      <w:divBdr>
        <w:top w:val="none" w:sz="0" w:space="0" w:color="auto"/>
        <w:left w:val="none" w:sz="0" w:space="0" w:color="auto"/>
        <w:bottom w:val="none" w:sz="0" w:space="0" w:color="auto"/>
        <w:right w:val="none" w:sz="0" w:space="0" w:color="auto"/>
      </w:divBdr>
    </w:div>
    <w:div w:id="1895237141">
      <w:bodyDiv w:val="1"/>
      <w:marLeft w:val="0"/>
      <w:marRight w:val="0"/>
      <w:marTop w:val="0"/>
      <w:marBottom w:val="0"/>
      <w:divBdr>
        <w:top w:val="none" w:sz="0" w:space="0" w:color="auto"/>
        <w:left w:val="none" w:sz="0" w:space="0" w:color="auto"/>
        <w:bottom w:val="none" w:sz="0" w:space="0" w:color="auto"/>
        <w:right w:val="none" w:sz="0" w:space="0" w:color="auto"/>
      </w:divBdr>
    </w:div>
    <w:div w:id="1895388659">
      <w:bodyDiv w:val="1"/>
      <w:marLeft w:val="0"/>
      <w:marRight w:val="0"/>
      <w:marTop w:val="0"/>
      <w:marBottom w:val="0"/>
      <w:divBdr>
        <w:top w:val="none" w:sz="0" w:space="0" w:color="auto"/>
        <w:left w:val="none" w:sz="0" w:space="0" w:color="auto"/>
        <w:bottom w:val="none" w:sz="0" w:space="0" w:color="auto"/>
        <w:right w:val="none" w:sz="0" w:space="0" w:color="auto"/>
      </w:divBdr>
    </w:div>
    <w:div w:id="1895657101">
      <w:bodyDiv w:val="1"/>
      <w:marLeft w:val="0"/>
      <w:marRight w:val="0"/>
      <w:marTop w:val="0"/>
      <w:marBottom w:val="0"/>
      <w:divBdr>
        <w:top w:val="none" w:sz="0" w:space="0" w:color="auto"/>
        <w:left w:val="none" w:sz="0" w:space="0" w:color="auto"/>
        <w:bottom w:val="none" w:sz="0" w:space="0" w:color="auto"/>
        <w:right w:val="none" w:sz="0" w:space="0" w:color="auto"/>
      </w:divBdr>
    </w:div>
    <w:div w:id="1896626774">
      <w:bodyDiv w:val="1"/>
      <w:marLeft w:val="0"/>
      <w:marRight w:val="0"/>
      <w:marTop w:val="0"/>
      <w:marBottom w:val="0"/>
      <w:divBdr>
        <w:top w:val="none" w:sz="0" w:space="0" w:color="auto"/>
        <w:left w:val="none" w:sz="0" w:space="0" w:color="auto"/>
        <w:bottom w:val="none" w:sz="0" w:space="0" w:color="auto"/>
        <w:right w:val="none" w:sz="0" w:space="0" w:color="auto"/>
      </w:divBdr>
    </w:div>
    <w:div w:id="1897159178">
      <w:bodyDiv w:val="1"/>
      <w:marLeft w:val="0"/>
      <w:marRight w:val="0"/>
      <w:marTop w:val="0"/>
      <w:marBottom w:val="0"/>
      <w:divBdr>
        <w:top w:val="none" w:sz="0" w:space="0" w:color="auto"/>
        <w:left w:val="none" w:sz="0" w:space="0" w:color="auto"/>
        <w:bottom w:val="none" w:sz="0" w:space="0" w:color="auto"/>
        <w:right w:val="none" w:sz="0" w:space="0" w:color="auto"/>
      </w:divBdr>
    </w:div>
    <w:div w:id="1897232628">
      <w:bodyDiv w:val="1"/>
      <w:marLeft w:val="0"/>
      <w:marRight w:val="0"/>
      <w:marTop w:val="0"/>
      <w:marBottom w:val="0"/>
      <w:divBdr>
        <w:top w:val="none" w:sz="0" w:space="0" w:color="auto"/>
        <w:left w:val="none" w:sz="0" w:space="0" w:color="auto"/>
        <w:bottom w:val="none" w:sz="0" w:space="0" w:color="auto"/>
        <w:right w:val="none" w:sz="0" w:space="0" w:color="auto"/>
      </w:divBdr>
    </w:div>
    <w:div w:id="1897474215">
      <w:bodyDiv w:val="1"/>
      <w:marLeft w:val="0"/>
      <w:marRight w:val="0"/>
      <w:marTop w:val="0"/>
      <w:marBottom w:val="0"/>
      <w:divBdr>
        <w:top w:val="none" w:sz="0" w:space="0" w:color="auto"/>
        <w:left w:val="none" w:sz="0" w:space="0" w:color="auto"/>
        <w:bottom w:val="none" w:sz="0" w:space="0" w:color="auto"/>
        <w:right w:val="none" w:sz="0" w:space="0" w:color="auto"/>
      </w:divBdr>
    </w:div>
    <w:div w:id="1898583864">
      <w:bodyDiv w:val="1"/>
      <w:marLeft w:val="0"/>
      <w:marRight w:val="0"/>
      <w:marTop w:val="0"/>
      <w:marBottom w:val="0"/>
      <w:divBdr>
        <w:top w:val="none" w:sz="0" w:space="0" w:color="auto"/>
        <w:left w:val="none" w:sz="0" w:space="0" w:color="auto"/>
        <w:bottom w:val="none" w:sz="0" w:space="0" w:color="auto"/>
        <w:right w:val="none" w:sz="0" w:space="0" w:color="auto"/>
      </w:divBdr>
    </w:div>
    <w:div w:id="1899584362">
      <w:bodyDiv w:val="1"/>
      <w:marLeft w:val="0"/>
      <w:marRight w:val="0"/>
      <w:marTop w:val="0"/>
      <w:marBottom w:val="0"/>
      <w:divBdr>
        <w:top w:val="none" w:sz="0" w:space="0" w:color="auto"/>
        <w:left w:val="none" w:sz="0" w:space="0" w:color="auto"/>
        <w:bottom w:val="none" w:sz="0" w:space="0" w:color="auto"/>
        <w:right w:val="none" w:sz="0" w:space="0" w:color="auto"/>
      </w:divBdr>
    </w:div>
    <w:div w:id="1900239386">
      <w:bodyDiv w:val="1"/>
      <w:marLeft w:val="0"/>
      <w:marRight w:val="0"/>
      <w:marTop w:val="0"/>
      <w:marBottom w:val="0"/>
      <w:divBdr>
        <w:top w:val="none" w:sz="0" w:space="0" w:color="auto"/>
        <w:left w:val="none" w:sz="0" w:space="0" w:color="auto"/>
        <w:bottom w:val="none" w:sz="0" w:space="0" w:color="auto"/>
        <w:right w:val="none" w:sz="0" w:space="0" w:color="auto"/>
      </w:divBdr>
    </w:div>
    <w:div w:id="1900824915">
      <w:bodyDiv w:val="1"/>
      <w:marLeft w:val="0"/>
      <w:marRight w:val="0"/>
      <w:marTop w:val="0"/>
      <w:marBottom w:val="0"/>
      <w:divBdr>
        <w:top w:val="none" w:sz="0" w:space="0" w:color="auto"/>
        <w:left w:val="none" w:sz="0" w:space="0" w:color="auto"/>
        <w:bottom w:val="none" w:sz="0" w:space="0" w:color="auto"/>
        <w:right w:val="none" w:sz="0" w:space="0" w:color="auto"/>
      </w:divBdr>
    </w:div>
    <w:div w:id="1900899218">
      <w:bodyDiv w:val="1"/>
      <w:marLeft w:val="0"/>
      <w:marRight w:val="0"/>
      <w:marTop w:val="0"/>
      <w:marBottom w:val="0"/>
      <w:divBdr>
        <w:top w:val="none" w:sz="0" w:space="0" w:color="auto"/>
        <w:left w:val="none" w:sz="0" w:space="0" w:color="auto"/>
        <w:bottom w:val="none" w:sz="0" w:space="0" w:color="auto"/>
        <w:right w:val="none" w:sz="0" w:space="0" w:color="auto"/>
      </w:divBdr>
    </w:div>
    <w:div w:id="1901282992">
      <w:bodyDiv w:val="1"/>
      <w:marLeft w:val="0"/>
      <w:marRight w:val="0"/>
      <w:marTop w:val="0"/>
      <w:marBottom w:val="0"/>
      <w:divBdr>
        <w:top w:val="none" w:sz="0" w:space="0" w:color="auto"/>
        <w:left w:val="none" w:sz="0" w:space="0" w:color="auto"/>
        <w:bottom w:val="none" w:sz="0" w:space="0" w:color="auto"/>
        <w:right w:val="none" w:sz="0" w:space="0" w:color="auto"/>
      </w:divBdr>
    </w:div>
    <w:div w:id="1903715942">
      <w:bodyDiv w:val="1"/>
      <w:marLeft w:val="0"/>
      <w:marRight w:val="0"/>
      <w:marTop w:val="0"/>
      <w:marBottom w:val="0"/>
      <w:divBdr>
        <w:top w:val="none" w:sz="0" w:space="0" w:color="auto"/>
        <w:left w:val="none" w:sz="0" w:space="0" w:color="auto"/>
        <w:bottom w:val="none" w:sz="0" w:space="0" w:color="auto"/>
        <w:right w:val="none" w:sz="0" w:space="0" w:color="auto"/>
      </w:divBdr>
    </w:div>
    <w:div w:id="1903952593">
      <w:bodyDiv w:val="1"/>
      <w:marLeft w:val="0"/>
      <w:marRight w:val="0"/>
      <w:marTop w:val="0"/>
      <w:marBottom w:val="0"/>
      <w:divBdr>
        <w:top w:val="none" w:sz="0" w:space="0" w:color="auto"/>
        <w:left w:val="none" w:sz="0" w:space="0" w:color="auto"/>
        <w:bottom w:val="none" w:sz="0" w:space="0" w:color="auto"/>
        <w:right w:val="none" w:sz="0" w:space="0" w:color="auto"/>
      </w:divBdr>
    </w:div>
    <w:div w:id="1904023107">
      <w:bodyDiv w:val="1"/>
      <w:marLeft w:val="0"/>
      <w:marRight w:val="0"/>
      <w:marTop w:val="0"/>
      <w:marBottom w:val="0"/>
      <w:divBdr>
        <w:top w:val="none" w:sz="0" w:space="0" w:color="auto"/>
        <w:left w:val="none" w:sz="0" w:space="0" w:color="auto"/>
        <w:bottom w:val="none" w:sz="0" w:space="0" w:color="auto"/>
        <w:right w:val="none" w:sz="0" w:space="0" w:color="auto"/>
      </w:divBdr>
    </w:div>
    <w:div w:id="1904414499">
      <w:bodyDiv w:val="1"/>
      <w:marLeft w:val="0"/>
      <w:marRight w:val="0"/>
      <w:marTop w:val="0"/>
      <w:marBottom w:val="0"/>
      <w:divBdr>
        <w:top w:val="none" w:sz="0" w:space="0" w:color="auto"/>
        <w:left w:val="none" w:sz="0" w:space="0" w:color="auto"/>
        <w:bottom w:val="none" w:sz="0" w:space="0" w:color="auto"/>
        <w:right w:val="none" w:sz="0" w:space="0" w:color="auto"/>
      </w:divBdr>
    </w:div>
    <w:div w:id="1904484509">
      <w:bodyDiv w:val="1"/>
      <w:marLeft w:val="0"/>
      <w:marRight w:val="0"/>
      <w:marTop w:val="0"/>
      <w:marBottom w:val="0"/>
      <w:divBdr>
        <w:top w:val="none" w:sz="0" w:space="0" w:color="auto"/>
        <w:left w:val="none" w:sz="0" w:space="0" w:color="auto"/>
        <w:bottom w:val="none" w:sz="0" w:space="0" w:color="auto"/>
        <w:right w:val="none" w:sz="0" w:space="0" w:color="auto"/>
      </w:divBdr>
    </w:div>
    <w:div w:id="1904557310">
      <w:bodyDiv w:val="1"/>
      <w:marLeft w:val="0"/>
      <w:marRight w:val="0"/>
      <w:marTop w:val="0"/>
      <w:marBottom w:val="0"/>
      <w:divBdr>
        <w:top w:val="none" w:sz="0" w:space="0" w:color="auto"/>
        <w:left w:val="none" w:sz="0" w:space="0" w:color="auto"/>
        <w:bottom w:val="none" w:sz="0" w:space="0" w:color="auto"/>
        <w:right w:val="none" w:sz="0" w:space="0" w:color="auto"/>
      </w:divBdr>
    </w:div>
    <w:div w:id="1907884315">
      <w:bodyDiv w:val="1"/>
      <w:marLeft w:val="0"/>
      <w:marRight w:val="0"/>
      <w:marTop w:val="0"/>
      <w:marBottom w:val="0"/>
      <w:divBdr>
        <w:top w:val="none" w:sz="0" w:space="0" w:color="auto"/>
        <w:left w:val="none" w:sz="0" w:space="0" w:color="auto"/>
        <w:bottom w:val="none" w:sz="0" w:space="0" w:color="auto"/>
        <w:right w:val="none" w:sz="0" w:space="0" w:color="auto"/>
      </w:divBdr>
    </w:div>
    <w:div w:id="1908302322">
      <w:bodyDiv w:val="1"/>
      <w:marLeft w:val="0"/>
      <w:marRight w:val="0"/>
      <w:marTop w:val="0"/>
      <w:marBottom w:val="0"/>
      <w:divBdr>
        <w:top w:val="none" w:sz="0" w:space="0" w:color="auto"/>
        <w:left w:val="none" w:sz="0" w:space="0" w:color="auto"/>
        <w:bottom w:val="none" w:sz="0" w:space="0" w:color="auto"/>
        <w:right w:val="none" w:sz="0" w:space="0" w:color="auto"/>
      </w:divBdr>
    </w:div>
    <w:div w:id="1908344964">
      <w:bodyDiv w:val="1"/>
      <w:marLeft w:val="0"/>
      <w:marRight w:val="0"/>
      <w:marTop w:val="0"/>
      <w:marBottom w:val="0"/>
      <w:divBdr>
        <w:top w:val="none" w:sz="0" w:space="0" w:color="auto"/>
        <w:left w:val="none" w:sz="0" w:space="0" w:color="auto"/>
        <w:bottom w:val="none" w:sz="0" w:space="0" w:color="auto"/>
        <w:right w:val="none" w:sz="0" w:space="0" w:color="auto"/>
      </w:divBdr>
    </w:div>
    <w:div w:id="1910119099">
      <w:bodyDiv w:val="1"/>
      <w:marLeft w:val="0"/>
      <w:marRight w:val="0"/>
      <w:marTop w:val="0"/>
      <w:marBottom w:val="0"/>
      <w:divBdr>
        <w:top w:val="none" w:sz="0" w:space="0" w:color="auto"/>
        <w:left w:val="none" w:sz="0" w:space="0" w:color="auto"/>
        <w:bottom w:val="none" w:sz="0" w:space="0" w:color="auto"/>
        <w:right w:val="none" w:sz="0" w:space="0" w:color="auto"/>
      </w:divBdr>
    </w:div>
    <w:div w:id="1910966439">
      <w:bodyDiv w:val="1"/>
      <w:marLeft w:val="0"/>
      <w:marRight w:val="0"/>
      <w:marTop w:val="0"/>
      <w:marBottom w:val="0"/>
      <w:divBdr>
        <w:top w:val="none" w:sz="0" w:space="0" w:color="auto"/>
        <w:left w:val="none" w:sz="0" w:space="0" w:color="auto"/>
        <w:bottom w:val="none" w:sz="0" w:space="0" w:color="auto"/>
        <w:right w:val="none" w:sz="0" w:space="0" w:color="auto"/>
      </w:divBdr>
    </w:div>
    <w:div w:id="1911427076">
      <w:bodyDiv w:val="1"/>
      <w:marLeft w:val="0"/>
      <w:marRight w:val="0"/>
      <w:marTop w:val="0"/>
      <w:marBottom w:val="0"/>
      <w:divBdr>
        <w:top w:val="none" w:sz="0" w:space="0" w:color="auto"/>
        <w:left w:val="none" w:sz="0" w:space="0" w:color="auto"/>
        <w:bottom w:val="none" w:sz="0" w:space="0" w:color="auto"/>
        <w:right w:val="none" w:sz="0" w:space="0" w:color="auto"/>
      </w:divBdr>
    </w:div>
    <w:div w:id="1911845638">
      <w:bodyDiv w:val="1"/>
      <w:marLeft w:val="0"/>
      <w:marRight w:val="0"/>
      <w:marTop w:val="0"/>
      <w:marBottom w:val="0"/>
      <w:divBdr>
        <w:top w:val="none" w:sz="0" w:space="0" w:color="auto"/>
        <w:left w:val="none" w:sz="0" w:space="0" w:color="auto"/>
        <w:bottom w:val="none" w:sz="0" w:space="0" w:color="auto"/>
        <w:right w:val="none" w:sz="0" w:space="0" w:color="auto"/>
      </w:divBdr>
    </w:div>
    <w:div w:id="1911889504">
      <w:bodyDiv w:val="1"/>
      <w:marLeft w:val="0"/>
      <w:marRight w:val="0"/>
      <w:marTop w:val="0"/>
      <w:marBottom w:val="0"/>
      <w:divBdr>
        <w:top w:val="none" w:sz="0" w:space="0" w:color="auto"/>
        <w:left w:val="none" w:sz="0" w:space="0" w:color="auto"/>
        <w:bottom w:val="none" w:sz="0" w:space="0" w:color="auto"/>
        <w:right w:val="none" w:sz="0" w:space="0" w:color="auto"/>
      </w:divBdr>
    </w:div>
    <w:div w:id="1912422080">
      <w:bodyDiv w:val="1"/>
      <w:marLeft w:val="0"/>
      <w:marRight w:val="0"/>
      <w:marTop w:val="0"/>
      <w:marBottom w:val="0"/>
      <w:divBdr>
        <w:top w:val="none" w:sz="0" w:space="0" w:color="auto"/>
        <w:left w:val="none" w:sz="0" w:space="0" w:color="auto"/>
        <w:bottom w:val="none" w:sz="0" w:space="0" w:color="auto"/>
        <w:right w:val="none" w:sz="0" w:space="0" w:color="auto"/>
      </w:divBdr>
    </w:div>
    <w:div w:id="1913156675">
      <w:bodyDiv w:val="1"/>
      <w:marLeft w:val="0"/>
      <w:marRight w:val="0"/>
      <w:marTop w:val="0"/>
      <w:marBottom w:val="0"/>
      <w:divBdr>
        <w:top w:val="none" w:sz="0" w:space="0" w:color="auto"/>
        <w:left w:val="none" w:sz="0" w:space="0" w:color="auto"/>
        <w:bottom w:val="none" w:sz="0" w:space="0" w:color="auto"/>
        <w:right w:val="none" w:sz="0" w:space="0" w:color="auto"/>
      </w:divBdr>
    </w:div>
    <w:div w:id="1913543893">
      <w:bodyDiv w:val="1"/>
      <w:marLeft w:val="0"/>
      <w:marRight w:val="0"/>
      <w:marTop w:val="0"/>
      <w:marBottom w:val="0"/>
      <w:divBdr>
        <w:top w:val="none" w:sz="0" w:space="0" w:color="auto"/>
        <w:left w:val="none" w:sz="0" w:space="0" w:color="auto"/>
        <w:bottom w:val="none" w:sz="0" w:space="0" w:color="auto"/>
        <w:right w:val="none" w:sz="0" w:space="0" w:color="auto"/>
      </w:divBdr>
    </w:div>
    <w:div w:id="1913615498">
      <w:bodyDiv w:val="1"/>
      <w:marLeft w:val="0"/>
      <w:marRight w:val="0"/>
      <w:marTop w:val="0"/>
      <w:marBottom w:val="0"/>
      <w:divBdr>
        <w:top w:val="none" w:sz="0" w:space="0" w:color="auto"/>
        <w:left w:val="none" w:sz="0" w:space="0" w:color="auto"/>
        <w:bottom w:val="none" w:sz="0" w:space="0" w:color="auto"/>
        <w:right w:val="none" w:sz="0" w:space="0" w:color="auto"/>
      </w:divBdr>
    </w:div>
    <w:div w:id="1913812010">
      <w:bodyDiv w:val="1"/>
      <w:marLeft w:val="0"/>
      <w:marRight w:val="0"/>
      <w:marTop w:val="0"/>
      <w:marBottom w:val="0"/>
      <w:divBdr>
        <w:top w:val="none" w:sz="0" w:space="0" w:color="auto"/>
        <w:left w:val="none" w:sz="0" w:space="0" w:color="auto"/>
        <w:bottom w:val="none" w:sz="0" w:space="0" w:color="auto"/>
        <w:right w:val="none" w:sz="0" w:space="0" w:color="auto"/>
      </w:divBdr>
    </w:div>
    <w:div w:id="1914390269">
      <w:bodyDiv w:val="1"/>
      <w:marLeft w:val="0"/>
      <w:marRight w:val="0"/>
      <w:marTop w:val="0"/>
      <w:marBottom w:val="0"/>
      <w:divBdr>
        <w:top w:val="none" w:sz="0" w:space="0" w:color="auto"/>
        <w:left w:val="none" w:sz="0" w:space="0" w:color="auto"/>
        <w:bottom w:val="none" w:sz="0" w:space="0" w:color="auto"/>
        <w:right w:val="none" w:sz="0" w:space="0" w:color="auto"/>
      </w:divBdr>
    </w:div>
    <w:div w:id="1914468477">
      <w:bodyDiv w:val="1"/>
      <w:marLeft w:val="0"/>
      <w:marRight w:val="0"/>
      <w:marTop w:val="0"/>
      <w:marBottom w:val="0"/>
      <w:divBdr>
        <w:top w:val="none" w:sz="0" w:space="0" w:color="auto"/>
        <w:left w:val="none" w:sz="0" w:space="0" w:color="auto"/>
        <w:bottom w:val="none" w:sz="0" w:space="0" w:color="auto"/>
        <w:right w:val="none" w:sz="0" w:space="0" w:color="auto"/>
      </w:divBdr>
    </w:div>
    <w:div w:id="1914972881">
      <w:bodyDiv w:val="1"/>
      <w:marLeft w:val="0"/>
      <w:marRight w:val="0"/>
      <w:marTop w:val="0"/>
      <w:marBottom w:val="0"/>
      <w:divBdr>
        <w:top w:val="none" w:sz="0" w:space="0" w:color="auto"/>
        <w:left w:val="none" w:sz="0" w:space="0" w:color="auto"/>
        <w:bottom w:val="none" w:sz="0" w:space="0" w:color="auto"/>
        <w:right w:val="none" w:sz="0" w:space="0" w:color="auto"/>
      </w:divBdr>
    </w:div>
    <w:div w:id="1915895044">
      <w:bodyDiv w:val="1"/>
      <w:marLeft w:val="0"/>
      <w:marRight w:val="0"/>
      <w:marTop w:val="0"/>
      <w:marBottom w:val="0"/>
      <w:divBdr>
        <w:top w:val="none" w:sz="0" w:space="0" w:color="auto"/>
        <w:left w:val="none" w:sz="0" w:space="0" w:color="auto"/>
        <w:bottom w:val="none" w:sz="0" w:space="0" w:color="auto"/>
        <w:right w:val="none" w:sz="0" w:space="0" w:color="auto"/>
      </w:divBdr>
    </w:div>
    <w:div w:id="1916090221">
      <w:bodyDiv w:val="1"/>
      <w:marLeft w:val="0"/>
      <w:marRight w:val="0"/>
      <w:marTop w:val="0"/>
      <w:marBottom w:val="0"/>
      <w:divBdr>
        <w:top w:val="none" w:sz="0" w:space="0" w:color="auto"/>
        <w:left w:val="none" w:sz="0" w:space="0" w:color="auto"/>
        <w:bottom w:val="none" w:sz="0" w:space="0" w:color="auto"/>
        <w:right w:val="none" w:sz="0" w:space="0" w:color="auto"/>
      </w:divBdr>
    </w:div>
    <w:div w:id="1917784944">
      <w:bodyDiv w:val="1"/>
      <w:marLeft w:val="0"/>
      <w:marRight w:val="0"/>
      <w:marTop w:val="0"/>
      <w:marBottom w:val="0"/>
      <w:divBdr>
        <w:top w:val="none" w:sz="0" w:space="0" w:color="auto"/>
        <w:left w:val="none" w:sz="0" w:space="0" w:color="auto"/>
        <w:bottom w:val="none" w:sz="0" w:space="0" w:color="auto"/>
        <w:right w:val="none" w:sz="0" w:space="0" w:color="auto"/>
      </w:divBdr>
    </w:div>
    <w:div w:id="1918249919">
      <w:bodyDiv w:val="1"/>
      <w:marLeft w:val="0"/>
      <w:marRight w:val="0"/>
      <w:marTop w:val="0"/>
      <w:marBottom w:val="0"/>
      <w:divBdr>
        <w:top w:val="none" w:sz="0" w:space="0" w:color="auto"/>
        <w:left w:val="none" w:sz="0" w:space="0" w:color="auto"/>
        <w:bottom w:val="none" w:sz="0" w:space="0" w:color="auto"/>
        <w:right w:val="none" w:sz="0" w:space="0" w:color="auto"/>
      </w:divBdr>
    </w:div>
    <w:div w:id="1918513634">
      <w:bodyDiv w:val="1"/>
      <w:marLeft w:val="0"/>
      <w:marRight w:val="0"/>
      <w:marTop w:val="0"/>
      <w:marBottom w:val="0"/>
      <w:divBdr>
        <w:top w:val="none" w:sz="0" w:space="0" w:color="auto"/>
        <w:left w:val="none" w:sz="0" w:space="0" w:color="auto"/>
        <w:bottom w:val="none" w:sz="0" w:space="0" w:color="auto"/>
        <w:right w:val="none" w:sz="0" w:space="0" w:color="auto"/>
      </w:divBdr>
    </w:div>
    <w:div w:id="1919289295">
      <w:bodyDiv w:val="1"/>
      <w:marLeft w:val="0"/>
      <w:marRight w:val="0"/>
      <w:marTop w:val="0"/>
      <w:marBottom w:val="0"/>
      <w:divBdr>
        <w:top w:val="none" w:sz="0" w:space="0" w:color="auto"/>
        <w:left w:val="none" w:sz="0" w:space="0" w:color="auto"/>
        <w:bottom w:val="none" w:sz="0" w:space="0" w:color="auto"/>
        <w:right w:val="none" w:sz="0" w:space="0" w:color="auto"/>
      </w:divBdr>
    </w:div>
    <w:div w:id="1919633437">
      <w:bodyDiv w:val="1"/>
      <w:marLeft w:val="0"/>
      <w:marRight w:val="0"/>
      <w:marTop w:val="0"/>
      <w:marBottom w:val="0"/>
      <w:divBdr>
        <w:top w:val="none" w:sz="0" w:space="0" w:color="auto"/>
        <w:left w:val="none" w:sz="0" w:space="0" w:color="auto"/>
        <w:bottom w:val="none" w:sz="0" w:space="0" w:color="auto"/>
        <w:right w:val="none" w:sz="0" w:space="0" w:color="auto"/>
      </w:divBdr>
    </w:div>
    <w:div w:id="1920826670">
      <w:bodyDiv w:val="1"/>
      <w:marLeft w:val="0"/>
      <w:marRight w:val="0"/>
      <w:marTop w:val="0"/>
      <w:marBottom w:val="0"/>
      <w:divBdr>
        <w:top w:val="none" w:sz="0" w:space="0" w:color="auto"/>
        <w:left w:val="none" w:sz="0" w:space="0" w:color="auto"/>
        <w:bottom w:val="none" w:sz="0" w:space="0" w:color="auto"/>
        <w:right w:val="none" w:sz="0" w:space="0" w:color="auto"/>
      </w:divBdr>
    </w:div>
    <w:div w:id="1921015783">
      <w:bodyDiv w:val="1"/>
      <w:marLeft w:val="0"/>
      <w:marRight w:val="0"/>
      <w:marTop w:val="0"/>
      <w:marBottom w:val="0"/>
      <w:divBdr>
        <w:top w:val="none" w:sz="0" w:space="0" w:color="auto"/>
        <w:left w:val="none" w:sz="0" w:space="0" w:color="auto"/>
        <w:bottom w:val="none" w:sz="0" w:space="0" w:color="auto"/>
        <w:right w:val="none" w:sz="0" w:space="0" w:color="auto"/>
      </w:divBdr>
    </w:div>
    <w:div w:id="1921405429">
      <w:bodyDiv w:val="1"/>
      <w:marLeft w:val="0"/>
      <w:marRight w:val="0"/>
      <w:marTop w:val="0"/>
      <w:marBottom w:val="0"/>
      <w:divBdr>
        <w:top w:val="none" w:sz="0" w:space="0" w:color="auto"/>
        <w:left w:val="none" w:sz="0" w:space="0" w:color="auto"/>
        <w:bottom w:val="none" w:sz="0" w:space="0" w:color="auto"/>
        <w:right w:val="none" w:sz="0" w:space="0" w:color="auto"/>
      </w:divBdr>
    </w:div>
    <w:div w:id="1922063202">
      <w:bodyDiv w:val="1"/>
      <w:marLeft w:val="0"/>
      <w:marRight w:val="0"/>
      <w:marTop w:val="0"/>
      <w:marBottom w:val="0"/>
      <w:divBdr>
        <w:top w:val="none" w:sz="0" w:space="0" w:color="auto"/>
        <w:left w:val="none" w:sz="0" w:space="0" w:color="auto"/>
        <w:bottom w:val="none" w:sz="0" w:space="0" w:color="auto"/>
        <w:right w:val="none" w:sz="0" w:space="0" w:color="auto"/>
      </w:divBdr>
    </w:div>
    <w:div w:id="1922981132">
      <w:bodyDiv w:val="1"/>
      <w:marLeft w:val="0"/>
      <w:marRight w:val="0"/>
      <w:marTop w:val="0"/>
      <w:marBottom w:val="0"/>
      <w:divBdr>
        <w:top w:val="none" w:sz="0" w:space="0" w:color="auto"/>
        <w:left w:val="none" w:sz="0" w:space="0" w:color="auto"/>
        <w:bottom w:val="none" w:sz="0" w:space="0" w:color="auto"/>
        <w:right w:val="none" w:sz="0" w:space="0" w:color="auto"/>
      </w:divBdr>
    </w:div>
    <w:div w:id="1923371871">
      <w:bodyDiv w:val="1"/>
      <w:marLeft w:val="0"/>
      <w:marRight w:val="0"/>
      <w:marTop w:val="0"/>
      <w:marBottom w:val="0"/>
      <w:divBdr>
        <w:top w:val="none" w:sz="0" w:space="0" w:color="auto"/>
        <w:left w:val="none" w:sz="0" w:space="0" w:color="auto"/>
        <w:bottom w:val="none" w:sz="0" w:space="0" w:color="auto"/>
        <w:right w:val="none" w:sz="0" w:space="0" w:color="auto"/>
      </w:divBdr>
    </w:div>
    <w:div w:id="1923641643">
      <w:bodyDiv w:val="1"/>
      <w:marLeft w:val="0"/>
      <w:marRight w:val="0"/>
      <w:marTop w:val="0"/>
      <w:marBottom w:val="0"/>
      <w:divBdr>
        <w:top w:val="none" w:sz="0" w:space="0" w:color="auto"/>
        <w:left w:val="none" w:sz="0" w:space="0" w:color="auto"/>
        <w:bottom w:val="none" w:sz="0" w:space="0" w:color="auto"/>
        <w:right w:val="none" w:sz="0" w:space="0" w:color="auto"/>
      </w:divBdr>
    </w:div>
    <w:div w:id="1923757630">
      <w:bodyDiv w:val="1"/>
      <w:marLeft w:val="0"/>
      <w:marRight w:val="0"/>
      <w:marTop w:val="0"/>
      <w:marBottom w:val="0"/>
      <w:divBdr>
        <w:top w:val="none" w:sz="0" w:space="0" w:color="auto"/>
        <w:left w:val="none" w:sz="0" w:space="0" w:color="auto"/>
        <w:bottom w:val="none" w:sz="0" w:space="0" w:color="auto"/>
        <w:right w:val="none" w:sz="0" w:space="0" w:color="auto"/>
      </w:divBdr>
    </w:div>
    <w:div w:id="1923761475">
      <w:bodyDiv w:val="1"/>
      <w:marLeft w:val="0"/>
      <w:marRight w:val="0"/>
      <w:marTop w:val="0"/>
      <w:marBottom w:val="0"/>
      <w:divBdr>
        <w:top w:val="none" w:sz="0" w:space="0" w:color="auto"/>
        <w:left w:val="none" w:sz="0" w:space="0" w:color="auto"/>
        <w:bottom w:val="none" w:sz="0" w:space="0" w:color="auto"/>
        <w:right w:val="none" w:sz="0" w:space="0" w:color="auto"/>
      </w:divBdr>
    </w:div>
    <w:div w:id="1925139196">
      <w:bodyDiv w:val="1"/>
      <w:marLeft w:val="0"/>
      <w:marRight w:val="0"/>
      <w:marTop w:val="0"/>
      <w:marBottom w:val="0"/>
      <w:divBdr>
        <w:top w:val="none" w:sz="0" w:space="0" w:color="auto"/>
        <w:left w:val="none" w:sz="0" w:space="0" w:color="auto"/>
        <w:bottom w:val="none" w:sz="0" w:space="0" w:color="auto"/>
        <w:right w:val="none" w:sz="0" w:space="0" w:color="auto"/>
      </w:divBdr>
    </w:div>
    <w:div w:id="1926379200">
      <w:bodyDiv w:val="1"/>
      <w:marLeft w:val="0"/>
      <w:marRight w:val="0"/>
      <w:marTop w:val="0"/>
      <w:marBottom w:val="0"/>
      <w:divBdr>
        <w:top w:val="none" w:sz="0" w:space="0" w:color="auto"/>
        <w:left w:val="none" w:sz="0" w:space="0" w:color="auto"/>
        <w:bottom w:val="none" w:sz="0" w:space="0" w:color="auto"/>
        <w:right w:val="none" w:sz="0" w:space="0" w:color="auto"/>
      </w:divBdr>
    </w:div>
    <w:div w:id="1927767268">
      <w:bodyDiv w:val="1"/>
      <w:marLeft w:val="0"/>
      <w:marRight w:val="0"/>
      <w:marTop w:val="0"/>
      <w:marBottom w:val="0"/>
      <w:divBdr>
        <w:top w:val="none" w:sz="0" w:space="0" w:color="auto"/>
        <w:left w:val="none" w:sz="0" w:space="0" w:color="auto"/>
        <w:bottom w:val="none" w:sz="0" w:space="0" w:color="auto"/>
        <w:right w:val="none" w:sz="0" w:space="0" w:color="auto"/>
      </w:divBdr>
    </w:div>
    <w:div w:id="1927807770">
      <w:bodyDiv w:val="1"/>
      <w:marLeft w:val="0"/>
      <w:marRight w:val="0"/>
      <w:marTop w:val="0"/>
      <w:marBottom w:val="0"/>
      <w:divBdr>
        <w:top w:val="none" w:sz="0" w:space="0" w:color="auto"/>
        <w:left w:val="none" w:sz="0" w:space="0" w:color="auto"/>
        <w:bottom w:val="none" w:sz="0" w:space="0" w:color="auto"/>
        <w:right w:val="none" w:sz="0" w:space="0" w:color="auto"/>
      </w:divBdr>
    </w:div>
    <w:div w:id="1929847990">
      <w:bodyDiv w:val="1"/>
      <w:marLeft w:val="0"/>
      <w:marRight w:val="0"/>
      <w:marTop w:val="0"/>
      <w:marBottom w:val="0"/>
      <w:divBdr>
        <w:top w:val="none" w:sz="0" w:space="0" w:color="auto"/>
        <w:left w:val="none" w:sz="0" w:space="0" w:color="auto"/>
        <w:bottom w:val="none" w:sz="0" w:space="0" w:color="auto"/>
        <w:right w:val="none" w:sz="0" w:space="0" w:color="auto"/>
      </w:divBdr>
    </w:div>
    <w:div w:id="1930507354">
      <w:bodyDiv w:val="1"/>
      <w:marLeft w:val="0"/>
      <w:marRight w:val="0"/>
      <w:marTop w:val="0"/>
      <w:marBottom w:val="0"/>
      <w:divBdr>
        <w:top w:val="none" w:sz="0" w:space="0" w:color="auto"/>
        <w:left w:val="none" w:sz="0" w:space="0" w:color="auto"/>
        <w:bottom w:val="none" w:sz="0" w:space="0" w:color="auto"/>
        <w:right w:val="none" w:sz="0" w:space="0" w:color="auto"/>
      </w:divBdr>
    </w:div>
    <w:div w:id="1930842680">
      <w:bodyDiv w:val="1"/>
      <w:marLeft w:val="0"/>
      <w:marRight w:val="0"/>
      <w:marTop w:val="0"/>
      <w:marBottom w:val="0"/>
      <w:divBdr>
        <w:top w:val="none" w:sz="0" w:space="0" w:color="auto"/>
        <w:left w:val="none" w:sz="0" w:space="0" w:color="auto"/>
        <w:bottom w:val="none" w:sz="0" w:space="0" w:color="auto"/>
        <w:right w:val="none" w:sz="0" w:space="0" w:color="auto"/>
      </w:divBdr>
    </w:div>
    <w:div w:id="1931312174">
      <w:bodyDiv w:val="1"/>
      <w:marLeft w:val="0"/>
      <w:marRight w:val="0"/>
      <w:marTop w:val="0"/>
      <w:marBottom w:val="0"/>
      <w:divBdr>
        <w:top w:val="none" w:sz="0" w:space="0" w:color="auto"/>
        <w:left w:val="none" w:sz="0" w:space="0" w:color="auto"/>
        <w:bottom w:val="none" w:sz="0" w:space="0" w:color="auto"/>
        <w:right w:val="none" w:sz="0" w:space="0" w:color="auto"/>
      </w:divBdr>
    </w:div>
    <w:div w:id="1931424598">
      <w:bodyDiv w:val="1"/>
      <w:marLeft w:val="0"/>
      <w:marRight w:val="0"/>
      <w:marTop w:val="0"/>
      <w:marBottom w:val="0"/>
      <w:divBdr>
        <w:top w:val="none" w:sz="0" w:space="0" w:color="auto"/>
        <w:left w:val="none" w:sz="0" w:space="0" w:color="auto"/>
        <w:bottom w:val="none" w:sz="0" w:space="0" w:color="auto"/>
        <w:right w:val="none" w:sz="0" w:space="0" w:color="auto"/>
      </w:divBdr>
    </w:div>
    <w:div w:id="1931546253">
      <w:bodyDiv w:val="1"/>
      <w:marLeft w:val="0"/>
      <w:marRight w:val="0"/>
      <w:marTop w:val="0"/>
      <w:marBottom w:val="0"/>
      <w:divBdr>
        <w:top w:val="none" w:sz="0" w:space="0" w:color="auto"/>
        <w:left w:val="none" w:sz="0" w:space="0" w:color="auto"/>
        <w:bottom w:val="none" w:sz="0" w:space="0" w:color="auto"/>
        <w:right w:val="none" w:sz="0" w:space="0" w:color="auto"/>
      </w:divBdr>
    </w:div>
    <w:div w:id="1932811332">
      <w:bodyDiv w:val="1"/>
      <w:marLeft w:val="0"/>
      <w:marRight w:val="0"/>
      <w:marTop w:val="0"/>
      <w:marBottom w:val="0"/>
      <w:divBdr>
        <w:top w:val="none" w:sz="0" w:space="0" w:color="auto"/>
        <w:left w:val="none" w:sz="0" w:space="0" w:color="auto"/>
        <w:bottom w:val="none" w:sz="0" w:space="0" w:color="auto"/>
        <w:right w:val="none" w:sz="0" w:space="0" w:color="auto"/>
      </w:divBdr>
    </w:div>
    <w:div w:id="1934624910">
      <w:bodyDiv w:val="1"/>
      <w:marLeft w:val="0"/>
      <w:marRight w:val="0"/>
      <w:marTop w:val="0"/>
      <w:marBottom w:val="0"/>
      <w:divBdr>
        <w:top w:val="none" w:sz="0" w:space="0" w:color="auto"/>
        <w:left w:val="none" w:sz="0" w:space="0" w:color="auto"/>
        <w:bottom w:val="none" w:sz="0" w:space="0" w:color="auto"/>
        <w:right w:val="none" w:sz="0" w:space="0" w:color="auto"/>
      </w:divBdr>
    </w:div>
    <w:div w:id="1934699023">
      <w:bodyDiv w:val="1"/>
      <w:marLeft w:val="0"/>
      <w:marRight w:val="0"/>
      <w:marTop w:val="0"/>
      <w:marBottom w:val="0"/>
      <w:divBdr>
        <w:top w:val="none" w:sz="0" w:space="0" w:color="auto"/>
        <w:left w:val="none" w:sz="0" w:space="0" w:color="auto"/>
        <w:bottom w:val="none" w:sz="0" w:space="0" w:color="auto"/>
        <w:right w:val="none" w:sz="0" w:space="0" w:color="auto"/>
      </w:divBdr>
    </w:div>
    <w:div w:id="1934782526">
      <w:bodyDiv w:val="1"/>
      <w:marLeft w:val="0"/>
      <w:marRight w:val="0"/>
      <w:marTop w:val="0"/>
      <w:marBottom w:val="0"/>
      <w:divBdr>
        <w:top w:val="none" w:sz="0" w:space="0" w:color="auto"/>
        <w:left w:val="none" w:sz="0" w:space="0" w:color="auto"/>
        <w:bottom w:val="none" w:sz="0" w:space="0" w:color="auto"/>
        <w:right w:val="none" w:sz="0" w:space="0" w:color="auto"/>
      </w:divBdr>
    </w:div>
    <w:div w:id="1935046995">
      <w:bodyDiv w:val="1"/>
      <w:marLeft w:val="0"/>
      <w:marRight w:val="0"/>
      <w:marTop w:val="0"/>
      <w:marBottom w:val="0"/>
      <w:divBdr>
        <w:top w:val="none" w:sz="0" w:space="0" w:color="auto"/>
        <w:left w:val="none" w:sz="0" w:space="0" w:color="auto"/>
        <w:bottom w:val="none" w:sz="0" w:space="0" w:color="auto"/>
        <w:right w:val="none" w:sz="0" w:space="0" w:color="auto"/>
      </w:divBdr>
    </w:div>
    <w:div w:id="1935629783">
      <w:bodyDiv w:val="1"/>
      <w:marLeft w:val="0"/>
      <w:marRight w:val="0"/>
      <w:marTop w:val="0"/>
      <w:marBottom w:val="0"/>
      <w:divBdr>
        <w:top w:val="none" w:sz="0" w:space="0" w:color="auto"/>
        <w:left w:val="none" w:sz="0" w:space="0" w:color="auto"/>
        <w:bottom w:val="none" w:sz="0" w:space="0" w:color="auto"/>
        <w:right w:val="none" w:sz="0" w:space="0" w:color="auto"/>
      </w:divBdr>
    </w:div>
    <w:div w:id="1936785735">
      <w:bodyDiv w:val="1"/>
      <w:marLeft w:val="0"/>
      <w:marRight w:val="0"/>
      <w:marTop w:val="0"/>
      <w:marBottom w:val="0"/>
      <w:divBdr>
        <w:top w:val="none" w:sz="0" w:space="0" w:color="auto"/>
        <w:left w:val="none" w:sz="0" w:space="0" w:color="auto"/>
        <w:bottom w:val="none" w:sz="0" w:space="0" w:color="auto"/>
        <w:right w:val="none" w:sz="0" w:space="0" w:color="auto"/>
      </w:divBdr>
    </w:div>
    <w:div w:id="1938512824">
      <w:bodyDiv w:val="1"/>
      <w:marLeft w:val="0"/>
      <w:marRight w:val="0"/>
      <w:marTop w:val="0"/>
      <w:marBottom w:val="0"/>
      <w:divBdr>
        <w:top w:val="none" w:sz="0" w:space="0" w:color="auto"/>
        <w:left w:val="none" w:sz="0" w:space="0" w:color="auto"/>
        <w:bottom w:val="none" w:sz="0" w:space="0" w:color="auto"/>
        <w:right w:val="none" w:sz="0" w:space="0" w:color="auto"/>
      </w:divBdr>
    </w:div>
    <w:div w:id="1939210906">
      <w:bodyDiv w:val="1"/>
      <w:marLeft w:val="0"/>
      <w:marRight w:val="0"/>
      <w:marTop w:val="0"/>
      <w:marBottom w:val="0"/>
      <w:divBdr>
        <w:top w:val="none" w:sz="0" w:space="0" w:color="auto"/>
        <w:left w:val="none" w:sz="0" w:space="0" w:color="auto"/>
        <w:bottom w:val="none" w:sz="0" w:space="0" w:color="auto"/>
        <w:right w:val="none" w:sz="0" w:space="0" w:color="auto"/>
      </w:divBdr>
    </w:div>
    <w:div w:id="1940991680">
      <w:bodyDiv w:val="1"/>
      <w:marLeft w:val="0"/>
      <w:marRight w:val="0"/>
      <w:marTop w:val="0"/>
      <w:marBottom w:val="0"/>
      <w:divBdr>
        <w:top w:val="none" w:sz="0" w:space="0" w:color="auto"/>
        <w:left w:val="none" w:sz="0" w:space="0" w:color="auto"/>
        <w:bottom w:val="none" w:sz="0" w:space="0" w:color="auto"/>
        <w:right w:val="none" w:sz="0" w:space="0" w:color="auto"/>
      </w:divBdr>
    </w:div>
    <w:div w:id="1941139240">
      <w:bodyDiv w:val="1"/>
      <w:marLeft w:val="0"/>
      <w:marRight w:val="0"/>
      <w:marTop w:val="0"/>
      <w:marBottom w:val="0"/>
      <w:divBdr>
        <w:top w:val="none" w:sz="0" w:space="0" w:color="auto"/>
        <w:left w:val="none" w:sz="0" w:space="0" w:color="auto"/>
        <w:bottom w:val="none" w:sz="0" w:space="0" w:color="auto"/>
        <w:right w:val="none" w:sz="0" w:space="0" w:color="auto"/>
      </w:divBdr>
    </w:div>
    <w:div w:id="1941602281">
      <w:bodyDiv w:val="1"/>
      <w:marLeft w:val="0"/>
      <w:marRight w:val="0"/>
      <w:marTop w:val="0"/>
      <w:marBottom w:val="0"/>
      <w:divBdr>
        <w:top w:val="none" w:sz="0" w:space="0" w:color="auto"/>
        <w:left w:val="none" w:sz="0" w:space="0" w:color="auto"/>
        <w:bottom w:val="none" w:sz="0" w:space="0" w:color="auto"/>
        <w:right w:val="none" w:sz="0" w:space="0" w:color="auto"/>
      </w:divBdr>
    </w:div>
    <w:div w:id="1941835212">
      <w:bodyDiv w:val="1"/>
      <w:marLeft w:val="0"/>
      <w:marRight w:val="0"/>
      <w:marTop w:val="0"/>
      <w:marBottom w:val="0"/>
      <w:divBdr>
        <w:top w:val="none" w:sz="0" w:space="0" w:color="auto"/>
        <w:left w:val="none" w:sz="0" w:space="0" w:color="auto"/>
        <w:bottom w:val="none" w:sz="0" w:space="0" w:color="auto"/>
        <w:right w:val="none" w:sz="0" w:space="0" w:color="auto"/>
      </w:divBdr>
    </w:div>
    <w:div w:id="1942687791">
      <w:bodyDiv w:val="1"/>
      <w:marLeft w:val="0"/>
      <w:marRight w:val="0"/>
      <w:marTop w:val="0"/>
      <w:marBottom w:val="0"/>
      <w:divBdr>
        <w:top w:val="none" w:sz="0" w:space="0" w:color="auto"/>
        <w:left w:val="none" w:sz="0" w:space="0" w:color="auto"/>
        <w:bottom w:val="none" w:sz="0" w:space="0" w:color="auto"/>
        <w:right w:val="none" w:sz="0" w:space="0" w:color="auto"/>
      </w:divBdr>
    </w:div>
    <w:div w:id="1942836527">
      <w:bodyDiv w:val="1"/>
      <w:marLeft w:val="0"/>
      <w:marRight w:val="0"/>
      <w:marTop w:val="0"/>
      <w:marBottom w:val="0"/>
      <w:divBdr>
        <w:top w:val="none" w:sz="0" w:space="0" w:color="auto"/>
        <w:left w:val="none" w:sz="0" w:space="0" w:color="auto"/>
        <w:bottom w:val="none" w:sz="0" w:space="0" w:color="auto"/>
        <w:right w:val="none" w:sz="0" w:space="0" w:color="auto"/>
      </w:divBdr>
    </w:div>
    <w:div w:id="1943217985">
      <w:bodyDiv w:val="1"/>
      <w:marLeft w:val="0"/>
      <w:marRight w:val="0"/>
      <w:marTop w:val="0"/>
      <w:marBottom w:val="0"/>
      <w:divBdr>
        <w:top w:val="none" w:sz="0" w:space="0" w:color="auto"/>
        <w:left w:val="none" w:sz="0" w:space="0" w:color="auto"/>
        <w:bottom w:val="none" w:sz="0" w:space="0" w:color="auto"/>
        <w:right w:val="none" w:sz="0" w:space="0" w:color="auto"/>
      </w:divBdr>
    </w:div>
    <w:div w:id="1943369972">
      <w:bodyDiv w:val="1"/>
      <w:marLeft w:val="0"/>
      <w:marRight w:val="0"/>
      <w:marTop w:val="0"/>
      <w:marBottom w:val="0"/>
      <w:divBdr>
        <w:top w:val="none" w:sz="0" w:space="0" w:color="auto"/>
        <w:left w:val="none" w:sz="0" w:space="0" w:color="auto"/>
        <w:bottom w:val="none" w:sz="0" w:space="0" w:color="auto"/>
        <w:right w:val="none" w:sz="0" w:space="0" w:color="auto"/>
      </w:divBdr>
    </w:div>
    <w:div w:id="1944220728">
      <w:bodyDiv w:val="1"/>
      <w:marLeft w:val="0"/>
      <w:marRight w:val="0"/>
      <w:marTop w:val="0"/>
      <w:marBottom w:val="0"/>
      <w:divBdr>
        <w:top w:val="none" w:sz="0" w:space="0" w:color="auto"/>
        <w:left w:val="none" w:sz="0" w:space="0" w:color="auto"/>
        <w:bottom w:val="none" w:sz="0" w:space="0" w:color="auto"/>
        <w:right w:val="none" w:sz="0" w:space="0" w:color="auto"/>
      </w:divBdr>
    </w:div>
    <w:div w:id="1945115100">
      <w:bodyDiv w:val="1"/>
      <w:marLeft w:val="0"/>
      <w:marRight w:val="0"/>
      <w:marTop w:val="0"/>
      <w:marBottom w:val="0"/>
      <w:divBdr>
        <w:top w:val="none" w:sz="0" w:space="0" w:color="auto"/>
        <w:left w:val="none" w:sz="0" w:space="0" w:color="auto"/>
        <w:bottom w:val="none" w:sz="0" w:space="0" w:color="auto"/>
        <w:right w:val="none" w:sz="0" w:space="0" w:color="auto"/>
      </w:divBdr>
    </w:div>
    <w:div w:id="1945646307">
      <w:bodyDiv w:val="1"/>
      <w:marLeft w:val="0"/>
      <w:marRight w:val="0"/>
      <w:marTop w:val="0"/>
      <w:marBottom w:val="0"/>
      <w:divBdr>
        <w:top w:val="none" w:sz="0" w:space="0" w:color="auto"/>
        <w:left w:val="none" w:sz="0" w:space="0" w:color="auto"/>
        <w:bottom w:val="none" w:sz="0" w:space="0" w:color="auto"/>
        <w:right w:val="none" w:sz="0" w:space="0" w:color="auto"/>
      </w:divBdr>
    </w:div>
    <w:div w:id="1947149473">
      <w:bodyDiv w:val="1"/>
      <w:marLeft w:val="0"/>
      <w:marRight w:val="0"/>
      <w:marTop w:val="0"/>
      <w:marBottom w:val="0"/>
      <w:divBdr>
        <w:top w:val="none" w:sz="0" w:space="0" w:color="auto"/>
        <w:left w:val="none" w:sz="0" w:space="0" w:color="auto"/>
        <w:bottom w:val="none" w:sz="0" w:space="0" w:color="auto"/>
        <w:right w:val="none" w:sz="0" w:space="0" w:color="auto"/>
      </w:divBdr>
    </w:div>
    <w:div w:id="1947612156">
      <w:bodyDiv w:val="1"/>
      <w:marLeft w:val="0"/>
      <w:marRight w:val="0"/>
      <w:marTop w:val="0"/>
      <w:marBottom w:val="0"/>
      <w:divBdr>
        <w:top w:val="none" w:sz="0" w:space="0" w:color="auto"/>
        <w:left w:val="none" w:sz="0" w:space="0" w:color="auto"/>
        <w:bottom w:val="none" w:sz="0" w:space="0" w:color="auto"/>
        <w:right w:val="none" w:sz="0" w:space="0" w:color="auto"/>
      </w:divBdr>
    </w:div>
    <w:div w:id="1947689751">
      <w:bodyDiv w:val="1"/>
      <w:marLeft w:val="0"/>
      <w:marRight w:val="0"/>
      <w:marTop w:val="0"/>
      <w:marBottom w:val="0"/>
      <w:divBdr>
        <w:top w:val="none" w:sz="0" w:space="0" w:color="auto"/>
        <w:left w:val="none" w:sz="0" w:space="0" w:color="auto"/>
        <w:bottom w:val="none" w:sz="0" w:space="0" w:color="auto"/>
        <w:right w:val="none" w:sz="0" w:space="0" w:color="auto"/>
      </w:divBdr>
    </w:div>
    <w:div w:id="1948536613">
      <w:bodyDiv w:val="1"/>
      <w:marLeft w:val="0"/>
      <w:marRight w:val="0"/>
      <w:marTop w:val="0"/>
      <w:marBottom w:val="0"/>
      <w:divBdr>
        <w:top w:val="none" w:sz="0" w:space="0" w:color="auto"/>
        <w:left w:val="none" w:sz="0" w:space="0" w:color="auto"/>
        <w:bottom w:val="none" w:sz="0" w:space="0" w:color="auto"/>
        <w:right w:val="none" w:sz="0" w:space="0" w:color="auto"/>
      </w:divBdr>
    </w:div>
    <w:div w:id="1948543441">
      <w:bodyDiv w:val="1"/>
      <w:marLeft w:val="0"/>
      <w:marRight w:val="0"/>
      <w:marTop w:val="0"/>
      <w:marBottom w:val="0"/>
      <w:divBdr>
        <w:top w:val="none" w:sz="0" w:space="0" w:color="auto"/>
        <w:left w:val="none" w:sz="0" w:space="0" w:color="auto"/>
        <w:bottom w:val="none" w:sz="0" w:space="0" w:color="auto"/>
        <w:right w:val="none" w:sz="0" w:space="0" w:color="auto"/>
      </w:divBdr>
    </w:div>
    <w:div w:id="1948852574">
      <w:bodyDiv w:val="1"/>
      <w:marLeft w:val="0"/>
      <w:marRight w:val="0"/>
      <w:marTop w:val="0"/>
      <w:marBottom w:val="0"/>
      <w:divBdr>
        <w:top w:val="none" w:sz="0" w:space="0" w:color="auto"/>
        <w:left w:val="none" w:sz="0" w:space="0" w:color="auto"/>
        <w:bottom w:val="none" w:sz="0" w:space="0" w:color="auto"/>
        <w:right w:val="none" w:sz="0" w:space="0" w:color="auto"/>
      </w:divBdr>
    </w:div>
    <w:div w:id="1949045630">
      <w:bodyDiv w:val="1"/>
      <w:marLeft w:val="0"/>
      <w:marRight w:val="0"/>
      <w:marTop w:val="0"/>
      <w:marBottom w:val="0"/>
      <w:divBdr>
        <w:top w:val="none" w:sz="0" w:space="0" w:color="auto"/>
        <w:left w:val="none" w:sz="0" w:space="0" w:color="auto"/>
        <w:bottom w:val="none" w:sz="0" w:space="0" w:color="auto"/>
        <w:right w:val="none" w:sz="0" w:space="0" w:color="auto"/>
      </w:divBdr>
    </w:div>
    <w:div w:id="1949118254">
      <w:bodyDiv w:val="1"/>
      <w:marLeft w:val="0"/>
      <w:marRight w:val="0"/>
      <w:marTop w:val="0"/>
      <w:marBottom w:val="0"/>
      <w:divBdr>
        <w:top w:val="none" w:sz="0" w:space="0" w:color="auto"/>
        <w:left w:val="none" w:sz="0" w:space="0" w:color="auto"/>
        <w:bottom w:val="none" w:sz="0" w:space="0" w:color="auto"/>
        <w:right w:val="none" w:sz="0" w:space="0" w:color="auto"/>
      </w:divBdr>
    </w:div>
    <w:div w:id="1950619666">
      <w:bodyDiv w:val="1"/>
      <w:marLeft w:val="0"/>
      <w:marRight w:val="0"/>
      <w:marTop w:val="0"/>
      <w:marBottom w:val="0"/>
      <w:divBdr>
        <w:top w:val="none" w:sz="0" w:space="0" w:color="auto"/>
        <w:left w:val="none" w:sz="0" w:space="0" w:color="auto"/>
        <w:bottom w:val="none" w:sz="0" w:space="0" w:color="auto"/>
        <w:right w:val="none" w:sz="0" w:space="0" w:color="auto"/>
      </w:divBdr>
    </w:div>
    <w:div w:id="1952517248">
      <w:bodyDiv w:val="1"/>
      <w:marLeft w:val="0"/>
      <w:marRight w:val="0"/>
      <w:marTop w:val="0"/>
      <w:marBottom w:val="0"/>
      <w:divBdr>
        <w:top w:val="none" w:sz="0" w:space="0" w:color="auto"/>
        <w:left w:val="none" w:sz="0" w:space="0" w:color="auto"/>
        <w:bottom w:val="none" w:sz="0" w:space="0" w:color="auto"/>
        <w:right w:val="none" w:sz="0" w:space="0" w:color="auto"/>
      </w:divBdr>
    </w:div>
    <w:div w:id="1953240149">
      <w:bodyDiv w:val="1"/>
      <w:marLeft w:val="0"/>
      <w:marRight w:val="0"/>
      <w:marTop w:val="0"/>
      <w:marBottom w:val="0"/>
      <w:divBdr>
        <w:top w:val="none" w:sz="0" w:space="0" w:color="auto"/>
        <w:left w:val="none" w:sz="0" w:space="0" w:color="auto"/>
        <w:bottom w:val="none" w:sz="0" w:space="0" w:color="auto"/>
        <w:right w:val="none" w:sz="0" w:space="0" w:color="auto"/>
      </w:divBdr>
    </w:div>
    <w:div w:id="1953319344">
      <w:bodyDiv w:val="1"/>
      <w:marLeft w:val="0"/>
      <w:marRight w:val="0"/>
      <w:marTop w:val="0"/>
      <w:marBottom w:val="0"/>
      <w:divBdr>
        <w:top w:val="none" w:sz="0" w:space="0" w:color="auto"/>
        <w:left w:val="none" w:sz="0" w:space="0" w:color="auto"/>
        <w:bottom w:val="none" w:sz="0" w:space="0" w:color="auto"/>
        <w:right w:val="none" w:sz="0" w:space="0" w:color="auto"/>
      </w:divBdr>
    </w:div>
    <w:div w:id="1953437611">
      <w:bodyDiv w:val="1"/>
      <w:marLeft w:val="0"/>
      <w:marRight w:val="0"/>
      <w:marTop w:val="0"/>
      <w:marBottom w:val="0"/>
      <w:divBdr>
        <w:top w:val="none" w:sz="0" w:space="0" w:color="auto"/>
        <w:left w:val="none" w:sz="0" w:space="0" w:color="auto"/>
        <w:bottom w:val="none" w:sz="0" w:space="0" w:color="auto"/>
        <w:right w:val="none" w:sz="0" w:space="0" w:color="auto"/>
      </w:divBdr>
    </w:div>
    <w:div w:id="1955941014">
      <w:bodyDiv w:val="1"/>
      <w:marLeft w:val="0"/>
      <w:marRight w:val="0"/>
      <w:marTop w:val="0"/>
      <w:marBottom w:val="0"/>
      <w:divBdr>
        <w:top w:val="none" w:sz="0" w:space="0" w:color="auto"/>
        <w:left w:val="none" w:sz="0" w:space="0" w:color="auto"/>
        <w:bottom w:val="none" w:sz="0" w:space="0" w:color="auto"/>
        <w:right w:val="none" w:sz="0" w:space="0" w:color="auto"/>
      </w:divBdr>
    </w:div>
    <w:div w:id="1956982040">
      <w:bodyDiv w:val="1"/>
      <w:marLeft w:val="0"/>
      <w:marRight w:val="0"/>
      <w:marTop w:val="0"/>
      <w:marBottom w:val="0"/>
      <w:divBdr>
        <w:top w:val="none" w:sz="0" w:space="0" w:color="auto"/>
        <w:left w:val="none" w:sz="0" w:space="0" w:color="auto"/>
        <w:bottom w:val="none" w:sz="0" w:space="0" w:color="auto"/>
        <w:right w:val="none" w:sz="0" w:space="0" w:color="auto"/>
      </w:divBdr>
    </w:div>
    <w:div w:id="1957131770">
      <w:bodyDiv w:val="1"/>
      <w:marLeft w:val="0"/>
      <w:marRight w:val="0"/>
      <w:marTop w:val="0"/>
      <w:marBottom w:val="0"/>
      <w:divBdr>
        <w:top w:val="none" w:sz="0" w:space="0" w:color="auto"/>
        <w:left w:val="none" w:sz="0" w:space="0" w:color="auto"/>
        <w:bottom w:val="none" w:sz="0" w:space="0" w:color="auto"/>
        <w:right w:val="none" w:sz="0" w:space="0" w:color="auto"/>
      </w:divBdr>
    </w:div>
    <w:div w:id="1957368979">
      <w:bodyDiv w:val="1"/>
      <w:marLeft w:val="0"/>
      <w:marRight w:val="0"/>
      <w:marTop w:val="0"/>
      <w:marBottom w:val="0"/>
      <w:divBdr>
        <w:top w:val="none" w:sz="0" w:space="0" w:color="auto"/>
        <w:left w:val="none" w:sz="0" w:space="0" w:color="auto"/>
        <w:bottom w:val="none" w:sz="0" w:space="0" w:color="auto"/>
        <w:right w:val="none" w:sz="0" w:space="0" w:color="auto"/>
      </w:divBdr>
    </w:div>
    <w:div w:id="1959218260">
      <w:bodyDiv w:val="1"/>
      <w:marLeft w:val="0"/>
      <w:marRight w:val="0"/>
      <w:marTop w:val="0"/>
      <w:marBottom w:val="0"/>
      <w:divBdr>
        <w:top w:val="none" w:sz="0" w:space="0" w:color="auto"/>
        <w:left w:val="none" w:sz="0" w:space="0" w:color="auto"/>
        <w:bottom w:val="none" w:sz="0" w:space="0" w:color="auto"/>
        <w:right w:val="none" w:sz="0" w:space="0" w:color="auto"/>
      </w:divBdr>
    </w:div>
    <w:div w:id="1959678976">
      <w:bodyDiv w:val="1"/>
      <w:marLeft w:val="0"/>
      <w:marRight w:val="0"/>
      <w:marTop w:val="0"/>
      <w:marBottom w:val="0"/>
      <w:divBdr>
        <w:top w:val="none" w:sz="0" w:space="0" w:color="auto"/>
        <w:left w:val="none" w:sz="0" w:space="0" w:color="auto"/>
        <w:bottom w:val="none" w:sz="0" w:space="0" w:color="auto"/>
        <w:right w:val="none" w:sz="0" w:space="0" w:color="auto"/>
      </w:divBdr>
    </w:div>
    <w:div w:id="1960456370">
      <w:bodyDiv w:val="1"/>
      <w:marLeft w:val="0"/>
      <w:marRight w:val="0"/>
      <w:marTop w:val="0"/>
      <w:marBottom w:val="0"/>
      <w:divBdr>
        <w:top w:val="none" w:sz="0" w:space="0" w:color="auto"/>
        <w:left w:val="none" w:sz="0" w:space="0" w:color="auto"/>
        <w:bottom w:val="none" w:sz="0" w:space="0" w:color="auto"/>
        <w:right w:val="none" w:sz="0" w:space="0" w:color="auto"/>
      </w:divBdr>
    </w:div>
    <w:div w:id="1960523866">
      <w:bodyDiv w:val="1"/>
      <w:marLeft w:val="0"/>
      <w:marRight w:val="0"/>
      <w:marTop w:val="0"/>
      <w:marBottom w:val="0"/>
      <w:divBdr>
        <w:top w:val="none" w:sz="0" w:space="0" w:color="auto"/>
        <w:left w:val="none" w:sz="0" w:space="0" w:color="auto"/>
        <w:bottom w:val="none" w:sz="0" w:space="0" w:color="auto"/>
        <w:right w:val="none" w:sz="0" w:space="0" w:color="auto"/>
      </w:divBdr>
    </w:div>
    <w:div w:id="1962151442">
      <w:bodyDiv w:val="1"/>
      <w:marLeft w:val="0"/>
      <w:marRight w:val="0"/>
      <w:marTop w:val="0"/>
      <w:marBottom w:val="0"/>
      <w:divBdr>
        <w:top w:val="none" w:sz="0" w:space="0" w:color="auto"/>
        <w:left w:val="none" w:sz="0" w:space="0" w:color="auto"/>
        <w:bottom w:val="none" w:sz="0" w:space="0" w:color="auto"/>
        <w:right w:val="none" w:sz="0" w:space="0" w:color="auto"/>
      </w:divBdr>
    </w:div>
    <w:div w:id="1963488205">
      <w:bodyDiv w:val="1"/>
      <w:marLeft w:val="0"/>
      <w:marRight w:val="0"/>
      <w:marTop w:val="0"/>
      <w:marBottom w:val="0"/>
      <w:divBdr>
        <w:top w:val="none" w:sz="0" w:space="0" w:color="auto"/>
        <w:left w:val="none" w:sz="0" w:space="0" w:color="auto"/>
        <w:bottom w:val="none" w:sz="0" w:space="0" w:color="auto"/>
        <w:right w:val="none" w:sz="0" w:space="0" w:color="auto"/>
      </w:divBdr>
    </w:div>
    <w:div w:id="1964774404">
      <w:bodyDiv w:val="1"/>
      <w:marLeft w:val="0"/>
      <w:marRight w:val="0"/>
      <w:marTop w:val="0"/>
      <w:marBottom w:val="0"/>
      <w:divBdr>
        <w:top w:val="none" w:sz="0" w:space="0" w:color="auto"/>
        <w:left w:val="none" w:sz="0" w:space="0" w:color="auto"/>
        <w:bottom w:val="none" w:sz="0" w:space="0" w:color="auto"/>
        <w:right w:val="none" w:sz="0" w:space="0" w:color="auto"/>
      </w:divBdr>
    </w:div>
    <w:div w:id="1964996368">
      <w:bodyDiv w:val="1"/>
      <w:marLeft w:val="0"/>
      <w:marRight w:val="0"/>
      <w:marTop w:val="0"/>
      <w:marBottom w:val="0"/>
      <w:divBdr>
        <w:top w:val="none" w:sz="0" w:space="0" w:color="auto"/>
        <w:left w:val="none" w:sz="0" w:space="0" w:color="auto"/>
        <w:bottom w:val="none" w:sz="0" w:space="0" w:color="auto"/>
        <w:right w:val="none" w:sz="0" w:space="0" w:color="auto"/>
      </w:divBdr>
    </w:div>
    <w:div w:id="1965575497">
      <w:bodyDiv w:val="1"/>
      <w:marLeft w:val="0"/>
      <w:marRight w:val="0"/>
      <w:marTop w:val="0"/>
      <w:marBottom w:val="0"/>
      <w:divBdr>
        <w:top w:val="none" w:sz="0" w:space="0" w:color="auto"/>
        <w:left w:val="none" w:sz="0" w:space="0" w:color="auto"/>
        <w:bottom w:val="none" w:sz="0" w:space="0" w:color="auto"/>
        <w:right w:val="none" w:sz="0" w:space="0" w:color="auto"/>
      </w:divBdr>
    </w:div>
    <w:div w:id="1966152647">
      <w:bodyDiv w:val="1"/>
      <w:marLeft w:val="0"/>
      <w:marRight w:val="0"/>
      <w:marTop w:val="0"/>
      <w:marBottom w:val="0"/>
      <w:divBdr>
        <w:top w:val="none" w:sz="0" w:space="0" w:color="auto"/>
        <w:left w:val="none" w:sz="0" w:space="0" w:color="auto"/>
        <w:bottom w:val="none" w:sz="0" w:space="0" w:color="auto"/>
        <w:right w:val="none" w:sz="0" w:space="0" w:color="auto"/>
      </w:divBdr>
    </w:div>
    <w:div w:id="1966496101">
      <w:bodyDiv w:val="1"/>
      <w:marLeft w:val="0"/>
      <w:marRight w:val="0"/>
      <w:marTop w:val="0"/>
      <w:marBottom w:val="0"/>
      <w:divBdr>
        <w:top w:val="none" w:sz="0" w:space="0" w:color="auto"/>
        <w:left w:val="none" w:sz="0" w:space="0" w:color="auto"/>
        <w:bottom w:val="none" w:sz="0" w:space="0" w:color="auto"/>
        <w:right w:val="none" w:sz="0" w:space="0" w:color="auto"/>
      </w:divBdr>
    </w:div>
    <w:div w:id="1967081209">
      <w:bodyDiv w:val="1"/>
      <w:marLeft w:val="0"/>
      <w:marRight w:val="0"/>
      <w:marTop w:val="0"/>
      <w:marBottom w:val="0"/>
      <w:divBdr>
        <w:top w:val="none" w:sz="0" w:space="0" w:color="auto"/>
        <w:left w:val="none" w:sz="0" w:space="0" w:color="auto"/>
        <w:bottom w:val="none" w:sz="0" w:space="0" w:color="auto"/>
        <w:right w:val="none" w:sz="0" w:space="0" w:color="auto"/>
      </w:divBdr>
    </w:div>
    <w:div w:id="1967733095">
      <w:bodyDiv w:val="1"/>
      <w:marLeft w:val="0"/>
      <w:marRight w:val="0"/>
      <w:marTop w:val="0"/>
      <w:marBottom w:val="0"/>
      <w:divBdr>
        <w:top w:val="none" w:sz="0" w:space="0" w:color="auto"/>
        <w:left w:val="none" w:sz="0" w:space="0" w:color="auto"/>
        <w:bottom w:val="none" w:sz="0" w:space="0" w:color="auto"/>
        <w:right w:val="none" w:sz="0" w:space="0" w:color="auto"/>
      </w:divBdr>
    </w:div>
    <w:div w:id="1968126129">
      <w:bodyDiv w:val="1"/>
      <w:marLeft w:val="0"/>
      <w:marRight w:val="0"/>
      <w:marTop w:val="0"/>
      <w:marBottom w:val="0"/>
      <w:divBdr>
        <w:top w:val="none" w:sz="0" w:space="0" w:color="auto"/>
        <w:left w:val="none" w:sz="0" w:space="0" w:color="auto"/>
        <w:bottom w:val="none" w:sz="0" w:space="0" w:color="auto"/>
        <w:right w:val="none" w:sz="0" w:space="0" w:color="auto"/>
      </w:divBdr>
    </w:div>
    <w:div w:id="1968778657">
      <w:bodyDiv w:val="1"/>
      <w:marLeft w:val="0"/>
      <w:marRight w:val="0"/>
      <w:marTop w:val="0"/>
      <w:marBottom w:val="0"/>
      <w:divBdr>
        <w:top w:val="none" w:sz="0" w:space="0" w:color="auto"/>
        <w:left w:val="none" w:sz="0" w:space="0" w:color="auto"/>
        <w:bottom w:val="none" w:sz="0" w:space="0" w:color="auto"/>
        <w:right w:val="none" w:sz="0" w:space="0" w:color="auto"/>
      </w:divBdr>
    </w:div>
    <w:div w:id="1969041273">
      <w:bodyDiv w:val="1"/>
      <w:marLeft w:val="0"/>
      <w:marRight w:val="0"/>
      <w:marTop w:val="0"/>
      <w:marBottom w:val="0"/>
      <w:divBdr>
        <w:top w:val="none" w:sz="0" w:space="0" w:color="auto"/>
        <w:left w:val="none" w:sz="0" w:space="0" w:color="auto"/>
        <w:bottom w:val="none" w:sz="0" w:space="0" w:color="auto"/>
        <w:right w:val="none" w:sz="0" w:space="0" w:color="auto"/>
      </w:divBdr>
    </w:div>
    <w:div w:id="1970282769">
      <w:bodyDiv w:val="1"/>
      <w:marLeft w:val="0"/>
      <w:marRight w:val="0"/>
      <w:marTop w:val="0"/>
      <w:marBottom w:val="0"/>
      <w:divBdr>
        <w:top w:val="none" w:sz="0" w:space="0" w:color="auto"/>
        <w:left w:val="none" w:sz="0" w:space="0" w:color="auto"/>
        <w:bottom w:val="none" w:sz="0" w:space="0" w:color="auto"/>
        <w:right w:val="none" w:sz="0" w:space="0" w:color="auto"/>
      </w:divBdr>
    </w:div>
    <w:div w:id="1970622453">
      <w:bodyDiv w:val="1"/>
      <w:marLeft w:val="0"/>
      <w:marRight w:val="0"/>
      <w:marTop w:val="0"/>
      <w:marBottom w:val="0"/>
      <w:divBdr>
        <w:top w:val="none" w:sz="0" w:space="0" w:color="auto"/>
        <w:left w:val="none" w:sz="0" w:space="0" w:color="auto"/>
        <w:bottom w:val="none" w:sz="0" w:space="0" w:color="auto"/>
        <w:right w:val="none" w:sz="0" w:space="0" w:color="auto"/>
      </w:divBdr>
    </w:div>
    <w:div w:id="1970624127">
      <w:bodyDiv w:val="1"/>
      <w:marLeft w:val="0"/>
      <w:marRight w:val="0"/>
      <w:marTop w:val="0"/>
      <w:marBottom w:val="0"/>
      <w:divBdr>
        <w:top w:val="none" w:sz="0" w:space="0" w:color="auto"/>
        <w:left w:val="none" w:sz="0" w:space="0" w:color="auto"/>
        <w:bottom w:val="none" w:sz="0" w:space="0" w:color="auto"/>
        <w:right w:val="none" w:sz="0" w:space="0" w:color="auto"/>
      </w:divBdr>
    </w:div>
    <w:div w:id="1970890207">
      <w:bodyDiv w:val="1"/>
      <w:marLeft w:val="0"/>
      <w:marRight w:val="0"/>
      <w:marTop w:val="0"/>
      <w:marBottom w:val="0"/>
      <w:divBdr>
        <w:top w:val="none" w:sz="0" w:space="0" w:color="auto"/>
        <w:left w:val="none" w:sz="0" w:space="0" w:color="auto"/>
        <w:bottom w:val="none" w:sz="0" w:space="0" w:color="auto"/>
        <w:right w:val="none" w:sz="0" w:space="0" w:color="auto"/>
      </w:divBdr>
    </w:div>
    <w:div w:id="1973437169">
      <w:bodyDiv w:val="1"/>
      <w:marLeft w:val="0"/>
      <w:marRight w:val="0"/>
      <w:marTop w:val="0"/>
      <w:marBottom w:val="0"/>
      <w:divBdr>
        <w:top w:val="none" w:sz="0" w:space="0" w:color="auto"/>
        <w:left w:val="none" w:sz="0" w:space="0" w:color="auto"/>
        <w:bottom w:val="none" w:sz="0" w:space="0" w:color="auto"/>
        <w:right w:val="none" w:sz="0" w:space="0" w:color="auto"/>
      </w:divBdr>
    </w:div>
    <w:div w:id="1973633947">
      <w:bodyDiv w:val="1"/>
      <w:marLeft w:val="0"/>
      <w:marRight w:val="0"/>
      <w:marTop w:val="0"/>
      <w:marBottom w:val="0"/>
      <w:divBdr>
        <w:top w:val="none" w:sz="0" w:space="0" w:color="auto"/>
        <w:left w:val="none" w:sz="0" w:space="0" w:color="auto"/>
        <w:bottom w:val="none" w:sz="0" w:space="0" w:color="auto"/>
        <w:right w:val="none" w:sz="0" w:space="0" w:color="auto"/>
      </w:divBdr>
    </w:div>
    <w:div w:id="1973904698">
      <w:bodyDiv w:val="1"/>
      <w:marLeft w:val="0"/>
      <w:marRight w:val="0"/>
      <w:marTop w:val="0"/>
      <w:marBottom w:val="0"/>
      <w:divBdr>
        <w:top w:val="none" w:sz="0" w:space="0" w:color="auto"/>
        <w:left w:val="none" w:sz="0" w:space="0" w:color="auto"/>
        <w:bottom w:val="none" w:sz="0" w:space="0" w:color="auto"/>
        <w:right w:val="none" w:sz="0" w:space="0" w:color="auto"/>
      </w:divBdr>
    </w:div>
    <w:div w:id="1974368347">
      <w:bodyDiv w:val="1"/>
      <w:marLeft w:val="0"/>
      <w:marRight w:val="0"/>
      <w:marTop w:val="0"/>
      <w:marBottom w:val="0"/>
      <w:divBdr>
        <w:top w:val="none" w:sz="0" w:space="0" w:color="auto"/>
        <w:left w:val="none" w:sz="0" w:space="0" w:color="auto"/>
        <w:bottom w:val="none" w:sz="0" w:space="0" w:color="auto"/>
        <w:right w:val="none" w:sz="0" w:space="0" w:color="auto"/>
      </w:divBdr>
    </w:div>
    <w:div w:id="1975912723">
      <w:bodyDiv w:val="1"/>
      <w:marLeft w:val="0"/>
      <w:marRight w:val="0"/>
      <w:marTop w:val="0"/>
      <w:marBottom w:val="0"/>
      <w:divBdr>
        <w:top w:val="none" w:sz="0" w:space="0" w:color="auto"/>
        <w:left w:val="none" w:sz="0" w:space="0" w:color="auto"/>
        <w:bottom w:val="none" w:sz="0" w:space="0" w:color="auto"/>
        <w:right w:val="none" w:sz="0" w:space="0" w:color="auto"/>
      </w:divBdr>
    </w:div>
    <w:div w:id="1977099110">
      <w:bodyDiv w:val="1"/>
      <w:marLeft w:val="0"/>
      <w:marRight w:val="0"/>
      <w:marTop w:val="0"/>
      <w:marBottom w:val="0"/>
      <w:divBdr>
        <w:top w:val="none" w:sz="0" w:space="0" w:color="auto"/>
        <w:left w:val="none" w:sz="0" w:space="0" w:color="auto"/>
        <w:bottom w:val="none" w:sz="0" w:space="0" w:color="auto"/>
        <w:right w:val="none" w:sz="0" w:space="0" w:color="auto"/>
      </w:divBdr>
    </w:div>
    <w:div w:id="1977683455">
      <w:bodyDiv w:val="1"/>
      <w:marLeft w:val="0"/>
      <w:marRight w:val="0"/>
      <w:marTop w:val="0"/>
      <w:marBottom w:val="0"/>
      <w:divBdr>
        <w:top w:val="none" w:sz="0" w:space="0" w:color="auto"/>
        <w:left w:val="none" w:sz="0" w:space="0" w:color="auto"/>
        <w:bottom w:val="none" w:sz="0" w:space="0" w:color="auto"/>
        <w:right w:val="none" w:sz="0" w:space="0" w:color="auto"/>
      </w:divBdr>
    </w:div>
    <w:div w:id="1979917507">
      <w:bodyDiv w:val="1"/>
      <w:marLeft w:val="0"/>
      <w:marRight w:val="0"/>
      <w:marTop w:val="0"/>
      <w:marBottom w:val="0"/>
      <w:divBdr>
        <w:top w:val="none" w:sz="0" w:space="0" w:color="auto"/>
        <w:left w:val="none" w:sz="0" w:space="0" w:color="auto"/>
        <w:bottom w:val="none" w:sz="0" w:space="0" w:color="auto"/>
        <w:right w:val="none" w:sz="0" w:space="0" w:color="auto"/>
      </w:divBdr>
    </w:div>
    <w:div w:id="1982344325">
      <w:bodyDiv w:val="1"/>
      <w:marLeft w:val="0"/>
      <w:marRight w:val="0"/>
      <w:marTop w:val="0"/>
      <w:marBottom w:val="0"/>
      <w:divBdr>
        <w:top w:val="none" w:sz="0" w:space="0" w:color="auto"/>
        <w:left w:val="none" w:sz="0" w:space="0" w:color="auto"/>
        <w:bottom w:val="none" w:sz="0" w:space="0" w:color="auto"/>
        <w:right w:val="none" w:sz="0" w:space="0" w:color="auto"/>
      </w:divBdr>
    </w:div>
    <w:div w:id="1982616374">
      <w:bodyDiv w:val="1"/>
      <w:marLeft w:val="0"/>
      <w:marRight w:val="0"/>
      <w:marTop w:val="0"/>
      <w:marBottom w:val="0"/>
      <w:divBdr>
        <w:top w:val="none" w:sz="0" w:space="0" w:color="auto"/>
        <w:left w:val="none" w:sz="0" w:space="0" w:color="auto"/>
        <w:bottom w:val="none" w:sz="0" w:space="0" w:color="auto"/>
        <w:right w:val="none" w:sz="0" w:space="0" w:color="auto"/>
      </w:divBdr>
    </w:div>
    <w:div w:id="1983384191">
      <w:bodyDiv w:val="1"/>
      <w:marLeft w:val="0"/>
      <w:marRight w:val="0"/>
      <w:marTop w:val="0"/>
      <w:marBottom w:val="0"/>
      <w:divBdr>
        <w:top w:val="none" w:sz="0" w:space="0" w:color="auto"/>
        <w:left w:val="none" w:sz="0" w:space="0" w:color="auto"/>
        <w:bottom w:val="none" w:sz="0" w:space="0" w:color="auto"/>
        <w:right w:val="none" w:sz="0" w:space="0" w:color="auto"/>
      </w:divBdr>
    </w:div>
    <w:div w:id="1983388980">
      <w:bodyDiv w:val="1"/>
      <w:marLeft w:val="0"/>
      <w:marRight w:val="0"/>
      <w:marTop w:val="0"/>
      <w:marBottom w:val="0"/>
      <w:divBdr>
        <w:top w:val="none" w:sz="0" w:space="0" w:color="auto"/>
        <w:left w:val="none" w:sz="0" w:space="0" w:color="auto"/>
        <w:bottom w:val="none" w:sz="0" w:space="0" w:color="auto"/>
        <w:right w:val="none" w:sz="0" w:space="0" w:color="auto"/>
      </w:divBdr>
    </w:div>
    <w:div w:id="1984116945">
      <w:bodyDiv w:val="1"/>
      <w:marLeft w:val="0"/>
      <w:marRight w:val="0"/>
      <w:marTop w:val="0"/>
      <w:marBottom w:val="0"/>
      <w:divBdr>
        <w:top w:val="none" w:sz="0" w:space="0" w:color="auto"/>
        <w:left w:val="none" w:sz="0" w:space="0" w:color="auto"/>
        <w:bottom w:val="none" w:sz="0" w:space="0" w:color="auto"/>
        <w:right w:val="none" w:sz="0" w:space="0" w:color="auto"/>
      </w:divBdr>
    </w:div>
    <w:div w:id="1984237286">
      <w:bodyDiv w:val="1"/>
      <w:marLeft w:val="0"/>
      <w:marRight w:val="0"/>
      <w:marTop w:val="0"/>
      <w:marBottom w:val="0"/>
      <w:divBdr>
        <w:top w:val="none" w:sz="0" w:space="0" w:color="auto"/>
        <w:left w:val="none" w:sz="0" w:space="0" w:color="auto"/>
        <w:bottom w:val="none" w:sz="0" w:space="0" w:color="auto"/>
        <w:right w:val="none" w:sz="0" w:space="0" w:color="auto"/>
      </w:divBdr>
    </w:div>
    <w:div w:id="1984312209">
      <w:bodyDiv w:val="1"/>
      <w:marLeft w:val="0"/>
      <w:marRight w:val="0"/>
      <w:marTop w:val="0"/>
      <w:marBottom w:val="0"/>
      <w:divBdr>
        <w:top w:val="none" w:sz="0" w:space="0" w:color="auto"/>
        <w:left w:val="none" w:sz="0" w:space="0" w:color="auto"/>
        <w:bottom w:val="none" w:sz="0" w:space="0" w:color="auto"/>
        <w:right w:val="none" w:sz="0" w:space="0" w:color="auto"/>
      </w:divBdr>
    </w:div>
    <w:div w:id="1984460896">
      <w:bodyDiv w:val="1"/>
      <w:marLeft w:val="0"/>
      <w:marRight w:val="0"/>
      <w:marTop w:val="0"/>
      <w:marBottom w:val="0"/>
      <w:divBdr>
        <w:top w:val="none" w:sz="0" w:space="0" w:color="auto"/>
        <w:left w:val="none" w:sz="0" w:space="0" w:color="auto"/>
        <w:bottom w:val="none" w:sz="0" w:space="0" w:color="auto"/>
        <w:right w:val="none" w:sz="0" w:space="0" w:color="auto"/>
      </w:divBdr>
    </w:div>
    <w:div w:id="1985576431">
      <w:bodyDiv w:val="1"/>
      <w:marLeft w:val="0"/>
      <w:marRight w:val="0"/>
      <w:marTop w:val="0"/>
      <w:marBottom w:val="0"/>
      <w:divBdr>
        <w:top w:val="none" w:sz="0" w:space="0" w:color="auto"/>
        <w:left w:val="none" w:sz="0" w:space="0" w:color="auto"/>
        <w:bottom w:val="none" w:sz="0" w:space="0" w:color="auto"/>
        <w:right w:val="none" w:sz="0" w:space="0" w:color="auto"/>
      </w:divBdr>
    </w:div>
    <w:div w:id="1986817702">
      <w:bodyDiv w:val="1"/>
      <w:marLeft w:val="0"/>
      <w:marRight w:val="0"/>
      <w:marTop w:val="0"/>
      <w:marBottom w:val="0"/>
      <w:divBdr>
        <w:top w:val="none" w:sz="0" w:space="0" w:color="auto"/>
        <w:left w:val="none" w:sz="0" w:space="0" w:color="auto"/>
        <w:bottom w:val="none" w:sz="0" w:space="0" w:color="auto"/>
        <w:right w:val="none" w:sz="0" w:space="0" w:color="auto"/>
      </w:divBdr>
    </w:div>
    <w:div w:id="1987004806">
      <w:bodyDiv w:val="1"/>
      <w:marLeft w:val="0"/>
      <w:marRight w:val="0"/>
      <w:marTop w:val="0"/>
      <w:marBottom w:val="0"/>
      <w:divBdr>
        <w:top w:val="none" w:sz="0" w:space="0" w:color="auto"/>
        <w:left w:val="none" w:sz="0" w:space="0" w:color="auto"/>
        <w:bottom w:val="none" w:sz="0" w:space="0" w:color="auto"/>
        <w:right w:val="none" w:sz="0" w:space="0" w:color="auto"/>
      </w:divBdr>
    </w:div>
    <w:div w:id="1987011312">
      <w:bodyDiv w:val="1"/>
      <w:marLeft w:val="0"/>
      <w:marRight w:val="0"/>
      <w:marTop w:val="0"/>
      <w:marBottom w:val="0"/>
      <w:divBdr>
        <w:top w:val="none" w:sz="0" w:space="0" w:color="auto"/>
        <w:left w:val="none" w:sz="0" w:space="0" w:color="auto"/>
        <w:bottom w:val="none" w:sz="0" w:space="0" w:color="auto"/>
        <w:right w:val="none" w:sz="0" w:space="0" w:color="auto"/>
      </w:divBdr>
    </w:div>
    <w:div w:id="1987708524">
      <w:bodyDiv w:val="1"/>
      <w:marLeft w:val="0"/>
      <w:marRight w:val="0"/>
      <w:marTop w:val="0"/>
      <w:marBottom w:val="0"/>
      <w:divBdr>
        <w:top w:val="none" w:sz="0" w:space="0" w:color="auto"/>
        <w:left w:val="none" w:sz="0" w:space="0" w:color="auto"/>
        <w:bottom w:val="none" w:sz="0" w:space="0" w:color="auto"/>
        <w:right w:val="none" w:sz="0" w:space="0" w:color="auto"/>
      </w:divBdr>
    </w:div>
    <w:div w:id="1988169985">
      <w:bodyDiv w:val="1"/>
      <w:marLeft w:val="0"/>
      <w:marRight w:val="0"/>
      <w:marTop w:val="0"/>
      <w:marBottom w:val="0"/>
      <w:divBdr>
        <w:top w:val="none" w:sz="0" w:space="0" w:color="auto"/>
        <w:left w:val="none" w:sz="0" w:space="0" w:color="auto"/>
        <w:bottom w:val="none" w:sz="0" w:space="0" w:color="auto"/>
        <w:right w:val="none" w:sz="0" w:space="0" w:color="auto"/>
      </w:divBdr>
    </w:div>
    <w:div w:id="1988433281">
      <w:bodyDiv w:val="1"/>
      <w:marLeft w:val="0"/>
      <w:marRight w:val="0"/>
      <w:marTop w:val="0"/>
      <w:marBottom w:val="0"/>
      <w:divBdr>
        <w:top w:val="none" w:sz="0" w:space="0" w:color="auto"/>
        <w:left w:val="none" w:sz="0" w:space="0" w:color="auto"/>
        <w:bottom w:val="none" w:sz="0" w:space="0" w:color="auto"/>
        <w:right w:val="none" w:sz="0" w:space="0" w:color="auto"/>
      </w:divBdr>
    </w:div>
    <w:div w:id="1988822489">
      <w:bodyDiv w:val="1"/>
      <w:marLeft w:val="0"/>
      <w:marRight w:val="0"/>
      <w:marTop w:val="0"/>
      <w:marBottom w:val="0"/>
      <w:divBdr>
        <w:top w:val="none" w:sz="0" w:space="0" w:color="auto"/>
        <w:left w:val="none" w:sz="0" w:space="0" w:color="auto"/>
        <w:bottom w:val="none" w:sz="0" w:space="0" w:color="auto"/>
        <w:right w:val="none" w:sz="0" w:space="0" w:color="auto"/>
      </w:divBdr>
    </w:div>
    <w:div w:id="1989705497">
      <w:bodyDiv w:val="1"/>
      <w:marLeft w:val="0"/>
      <w:marRight w:val="0"/>
      <w:marTop w:val="0"/>
      <w:marBottom w:val="0"/>
      <w:divBdr>
        <w:top w:val="none" w:sz="0" w:space="0" w:color="auto"/>
        <w:left w:val="none" w:sz="0" w:space="0" w:color="auto"/>
        <w:bottom w:val="none" w:sz="0" w:space="0" w:color="auto"/>
        <w:right w:val="none" w:sz="0" w:space="0" w:color="auto"/>
      </w:divBdr>
    </w:div>
    <w:div w:id="1989822900">
      <w:bodyDiv w:val="1"/>
      <w:marLeft w:val="0"/>
      <w:marRight w:val="0"/>
      <w:marTop w:val="0"/>
      <w:marBottom w:val="0"/>
      <w:divBdr>
        <w:top w:val="none" w:sz="0" w:space="0" w:color="auto"/>
        <w:left w:val="none" w:sz="0" w:space="0" w:color="auto"/>
        <w:bottom w:val="none" w:sz="0" w:space="0" w:color="auto"/>
        <w:right w:val="none" w:sz="0" w:space="0" w:color="auto"/>
      </w:divBdr>
    </w:div>
    <w:div w:id="1991442513">
      <w:bodyDiv w:val="1"/>
      <w:marLeft w:val="0"/>
      <w:marRight w:val="0"/>
      <w:marTop w:val="0"/>
      <w:marBottom w:val="0"/>
      <w:divBdr>
        <w:top w:val="none" w:sz="0" w:space="0" w:color="auto"/>
        <w:left w:val="none" w:sz="0" w:space="0" w:color="auto"/>
        <w:bottom w:val="none" w:sz="0" w:space="0" w:color="auto"/>
        <w:right w:val="none" w:sz="0" w:space="0" w:color="auto"/>
      </w:divBdr>
    </w:div>
    <w:div w:id="1995254282">
      <w:bodyDiv w:val="1"/>
      <w:marLeft w:val="0"/>
      <w:marRight w:val="0"/>
      <w:marTop w:val="0"/>
      <w:marBottom w:val="0"/>
      <w:divBdr>
        <w:top w:val="none" w:sz="0" w:space="0" w:color="auto"/>
        <w:left w:val="none" w:sz="0" w:space="0" w:color="auto"/>
        <w:bottom w:val="none" w:sz="0" w:space="0" w:color="auto"/>
        <w:right w:val="none" w:sz="0" w:space="0" w:color="auto"/>
      </w:divBdr>
    </w:div>
    <w:div w:id="1997151540">
      <w:bodyDiv w:val="1"/>
      <w:marLeft w:val="0"/>
      <w:marRight w:val="0"/>
      <w:marTop w:val="0"/>
      <w:marBottom w:val="0"/>
      <w:divBdr>
        <w:top w:val="none" w:sz="0" w:space="0" w:color="auto"/>
        <w:left w:val="none" w:sz="0" w:space="0" w:color="auto"/>
        <w:bottom w:val="none" w:sz="0" w:space="0" w:color="auto"/>
        <w:right w:val="none" w:sz="0" w:space="0" w:color="auto"/>
      </w:divBdr>
    </w:div>
    <w:div w:id="2000305019">
      <w:bodyDiv w:val="1"/>
      <w:marLeft w:val="0"/>
      <w:marRight w:val="0"/>
      <w:marTop w:val="0"/>
      <w:marBottom w:val="0"/>
      <w:divBdr>
        <w:top w:val="none" w:sz="0" w:space="0" w:color="auto"/>
        <w:left w:val="none" w:sz="0" w:space="0" w:color="auto"/>
        <w:bottom w:val="none" w:sz="0" w:space="0" w:color="auto"/>
        <w:right w:val="none" w:sz="0" w:space="0" w:color="auto"/>
      </w:divBdr>
    </w:div>
    <w:div w:id="2000619437">
      <w:bodyDiv w:val="1"/>
      <w:marLeft w:val="0"/>
      <w:marRight w:val="0"/>
      <w:marTop w:val="0"/>
      <w:marBottom w:val="0"/>
      <w:divBdr>
        <w:top w:val="none" w:sz="0" w:space="0" w:color="auto"/>
        <w:left w:val="none" w:sz="0" w:space="0" w:color="auto"/>
        <w:bottom w:val="none" w:sz="0" w:space="0" w:color="auto"/>
        <w:right w:val="none" w:sz="0" w:space="0" w:color="auto"/>
      </w:divBdr>
    </w:div>
    <w:div w:id="2001225651">
      <w:bodyDiv w:val="1"/>
      <w:marLeft w:val="0"/>
      <w:marRight w:val="0"/>
      <w:marTop w:val="0"/>
      <w:marBottom w:val="0"/>
      <w:divBdr>
        <w:top w:val="none" w:sz="0" w:space="0" w:color="auto"/>
        <w:left w:val="none" w:sz="0" w:space="0" w:color="auto"/>
        <w:bottom w:val="none" w:sz="0" w:space="0" w:color="auto"/>
        <w:right w:val="none" w:sz="0" w:space="0" w:color="auto"/>
      </w:divBdr>
    </w:div>
    <w:div w:id="2001733840">
      <w:bodyDiv w:val="1"/>
      <w:marLeft w:val="0"/>
      <w:marRight w:val="0"/>
      <w:marTop w:val="0"/>
      <w:marBottom w:val="0"/>
      <w:divBdr>
        <w:top w:val="none" w:sz="0" w:space="0" w:color="auto"/>
        <w:left w:val="none" w:sz="0" w:space="0" w:color="auto"/>
        <w:bottom w:val="none" w:sz="0" w:space="0" w:color="auto"/>
        <w:right w:val="none" w:sz="0" w:space="0" w:color="auto"/>
      </w:divBdr>
    </w:div>
    <w:div w:id="2001888707">
      <w:bodyDiv w:val="1"/>
      <w:marLeft w:val="0"/>
      <w:marRight w:val="0"/>
      <w:marTop w:val="0"/>
      <w:marBottom w:val="0"/>
      <w:divBdr>
        <w:top w:val="none" w:sz="0" w:space="0" w:color="auto"/>
        <w:left w:val="none" w:sz="0" w:space="0" w:color="auto"/>
        <w:bottom w:val="none" w:sz="0" w:space="0" w:color="auto"/>
        <w:right w:val="none" w:sz="0" w:space="0" w:color="auto"/>
      </w:divBdr>
    </w:div>
    <w:div w:id="2003851551">
      <w:bodyDiv w:val="1"/>
      <w:marLeft w:val="0"/>
      <w:marRight w:val="0"/>
      <w:marTop w:val="0"/>
      <w:marBottom w:val="0"/>
      <w:divBdr>
        <w:top w:val="none" w:sz="0" w:space="0" w:color="auto"/>
        <w:left w:val="none" w:sz="0" w:space="0" w:color="auto"/>
        <w:bottom w:val="none" w:sz="0" w:space="0" w:color="auto"/>
        <w:right w:val="none" w:sz="0" w:space="0" w:color="auto"/>
      </w:divBdr>
    </w:div>
    <w:div w:id="2003855373">
      <w:bodyDiv w:val="1"/>
      <w:marLeft w:val="0"/>
      <w:marRight w:val="0"/>
      <w:marTop w:val="0"/>
      <w:marBottom w:val="0"/>
      <w:divBdr>
        <w:top w:val="none" w:sz="0" w:space="0" w:color="auto"/>
        <w:left w:val="none" w:sz="0" w:space="0" w:color="auto"/>
        <w:bottom w:val="none" w:sz="0" w:space="0" w:color="auto"/>
        <w:right w:val="none" w:sz="0" w:space="0" w:color="auto"/>
      </w:divBdr>
    </w:div>
    <w:div w:id="2004504187">
      <w:bodyDiv w:val="1"/>
      <w:marLeft w:val="0"/>
      <w:marRight w:val="0"/>
      <w:marTop w:val="0"/>
      <w:marBottom w:val="0"/>
      <w:divBdr>
        <w:top w:val="none" w:sz="0" w:space="0" w:color="auto"/>
        <w:left w:val="none" w:sz="0" w:space="0" w:color="auto"/>
        <w:bottom w:val="none" w:sz="0" w:space="0" w:color="auto"/>
        <w:right w:val="none" w:sz="0" w:space="0" w:color="auto"/>
      </w:divBdr>
    </w:div>
    <w:div w:id="2005085784">
      <w:bodyDiv w:val="1"/>
      <w:marLeft w:val="0"/>
      <w:marRight w:val="0"/>
      <w:marTop w:val="0"/>
      <w:marBottom w:val="0"/>
      <w:divBdr>
        <w:top w:val="none" w:sz="0" w:space="0" w:color="auto"/>
        <w:left w:val="none" w:sz="0" w:space="0" w:color="auto"/>
        <w:bottom w:val="none" w:sz="0" w:space="0" w:color="auto"/>
        <w:right w:val="none" w:sz="0" w:space="0" w:color="auto"/>
      </w:divBdr>
    </w:div>
    <w:div w:id="2005087486">
      <w:bodyDiv w:val="1"/>
      <w:marLeft w:val="0"/>
      <w:marRight w:val="0"/>
      <w:marTop w:val="0"/>
      <w:marBottom w:val="0"/>
      <w:divBdr>
        <w:top w:val="none" w:sz="0" w:space="0" w:color="auto"/>
        <w:left w:val="none" w:sz="0" w:space="0" w:color="auto"/>
        <w:bottom w:val="none" w:sz="0" w:space="0" w:color="auto"/>
        <w:right w:val="none" w:sz="0" w:space="0" w:color="auto"/>
      </w:divBdr>
    </w:div>
    <w:div w:id="2005357317">
      <w:bodyDiv w:val="1"/>
      <w:marLeft w:val="0"/>
      <w:marRight w:val="0"/>
      <w:marTop w:val="0"/>
      <w:marBottom w:val="0"/>
      <w:divBdr>
        <w:top w:val="none" w:sz="0" w:space="0" w:color="auto"/>
        <w:left w:val="none" w:sz="0" w:space="0" w:color="auto"/>
        <w:bottom w:val="none" w:sz="0" w:space="0" w:color="auto"/>
        <w:right w:val="none" w:sz="0" w:space="0" w:color="auto"/>
      </w:divBdr>
    </w:div>
    <w:div w:id="2006547635">
      <w:bodyDiv w:val="1"/>
      <w:marLeft w:val="0"/>
      <w:marRight w:val="0"/>
      <w:marTop w:val="0"/>
      <w:marBottom w:val="0"/>
      <w:divBdr>
        <w:top w:val="none" w:sz="0" w:space="0" w:color="auto"/>
        <w:left w:val="none" w:sz="0" w:space="0" w:color="auto"/>
        <w:bottom w:val="none" w:sz="0" w:space="0" w:color="auto"/>
        <w:right w:val="none" w:sz="0" w:space="0" w:color="auto"/>
      </w:divBdr>
    </w:div>
    <w:div w:id="2006548443">
      <w:bodyDiv w:val="1"/>
      <w:marLeft w:val="0"/>
      <w:marRight w:val="0"/>
      <w:marTop w:val="0"/>
      <w:marBottom w:val="0"/>
      <w:divBdr>
        <w:top w:val="none" w:sz="0" w:space="0" w:color="auto"/>
        <w:left w:val="none" w:sz="0" w:space="0" w:color="auto"/>
        <w:bottom w:val="none" w:sz="0" w:space="0" w:color="auto"/>
        <w:right w:val="none" w:sz="0" w:space="0" w:color="auto"/>
      </w:divBdr>
    </w:div>
    <w:div w:id="2006778505">
      <w:bodyDiv w:val="1"/>
      <w:marLeft w:val="0"/>
      <w:marRight w:val="0"/>
      <w:marTop w:val="0"/>
      <w:marBottom w:val="0"/>
      <w:divBdr>
        <w:top w:val="none" w:sz="0" w:space="0" w:color="auto"/>
        <w:left w:val="none" w:sz="0" w:space="0" w:color="auto"/>
        <w:bottom w:val="none" w:sz="0" w:space="0" w:color="auto"/>
        <w:right w:val="none" w:sz="0" w:space="0" w:color="auto"/>
      </w:divBdr>
    </w:div>
    <w:div w:id="2007324614">
      <w:bodyDiv w:val="1"/>
      <w:marLeft w:val="0"/>
      <w:marRight w:val="0"/>
      <w:marTop w:val="0"/>
      <w:marBottom w:val="0"/>
      <w:divBdr>
        <w:top w:val="none" w:sz="0" w:space="0" w:color="auto"/>
        <w:left w:val="none" w:sz="0" w:space="0" w:color="auto"/>
        <w:bottom w:val="none" w:sz="0" w:space="0" w:color="auto"/>
        <w:right w:val="none" w:sz="0" w:space="0" w:color="auto"/>
      </w:divBdr>
    </w:div>
    <w:div w:id="2008316071">
      <w:bodyDiv w:val="1"/>
      <w:marLeft w:val="0"/>
      <w:marRight w:val="0"/>
      <w:marTop w:val="0"/>
      <w:marBottom w:val="0"/>
      <w:divBdr>
        <w:top w:val="none" w:sz="0" w:space="0" w:color="auto"/>
        <w:left w:val="none" w:sz="0" w:space="0" w:color="auto"/>
        <w:bottom w:val="none" w:sz="0" w:space="0" w:color="auto"/>
        <w:right w:val="none" w:sz="0" w:space="0" w:color="auto"/>
      </w:divBdr>
    </w:div>
    <w:div w:id="2008436607">
      <w:bodyDiv w:val="1"/>
      <w:marLeft w:val="0"/>
      <w:marRight w:val="0"/>
      <w:marTop w:val="0"/>
      <w:marBottom w:val="0"/>
      <w:divBdr>
        <w:top w:val="none" w:sz="0" w:space="0" w:color="auto"/>
        <w:left w:val="none" w:sz="0" w:space="0" w:color="auto"/>
        <w:bottom w:val="none" w:sz="0" w:space="0" w:color="auto"/>
        <w:right w:val="none" w:sz="0" w:space="0" w:color="auto"/>
      </w:divBdr>
    </w:div>
    <w:div w:id="2010675828">
      <w:bodyDiv w:val="1"/>
      <w:marLeft w:val="0"/>
      <w:marRight w:val="0"/>
      <w:marTop w:val="0"/>
      <w:marBottom w:val="0"/>
      <w:divBdr>
        <w:top w:val="none" w:sz="0" w:space="0" w:color="auto"/>
        <w:left w:val="none" w:sz="0" w:space="0" w:color="auto"/>
        <w:bottom w:val="none" w:sz="0" w:space="0" w:color="auto"/>
        <w:right w:val="none" w:sz="0" w:space="0" w:color="auto"/>
      </w:divBdr>
    </w:div>
    <w:div w:id="2010676826">
      <w:bodyDiv w:val="1"/>
      <w:marLeft w:val="0"/>
      <w:marRight w:val="0"/>
      <w:marTop w:val="0"/>
      <w:marBottom w:val="0"/>
      <w:divBdr>
        <w:top w:val="none" w:sz="0" w:space="0" w:color="auto"/>
        <w:left w:val="none" w:sz="0" w:space="0" w:color="auto"/>
        <w:bottom w:val="none" w:sz="0" w:space="0" w:color="auto"/>
        <w:right w:val="none" w:sz="0" w:space="0" w:color="auto"/>
      </w:divBdr>
    </w:div>
    <w:div w:id="2011516717">
      <w:bodyDiv w:val="1"/>
      <w:marLeft w:val="0"/>
      <w:marRight w:val="0"/>
      <w:marTop w:val="0"/>
      <w:marBottom w:val="0"/>
      <w:divBdr>
        <w:top w:val="none" w:sz="0" w:space="0" w:color="auto"/>
        <w:left w:val="none" w:sz="0" w:space="0" w:color="auto"/>
        <w:bottom w:val="none" w:sz="0" w:space="0" w:color="auto"/>
        <w:right w:val="none" w:sz="0" w:space="0" w:color="auto"/>
      </w:divBdr>
    </w:div>
    <w:div w:id="2012172748">
      <w:bodyDiv w:val="1"/>
      <w:marLeft w:val="0"/>
      <w:marRight w:val="0"/>
      <w:marTop w:val="0"/>
      <w:marBottom w:val="0"/>
      <w:divBdr>
        <w:top w:val="none" w:sz="0" w:space="0" w:color="auto"/>
        <w:left w:val="none" w:sz="0" w:space="0" w:color="auto"/>
        <w:bottom w:val="none" w:sz="0" w:space="0" w:color="auto"/>
        <w:right w:val="none" w:sz="0" w:space="0" w:color="auto"/>
      </w:divBdr>
    </w:div>
    <w:div w:id="2012370565">
      <w:bodyDiv w:val="1"/>
      <w:marLeft w:val="0"/>
      <w:marRight w:val="0"/>
      <w:marTop w:val="0"/>
      <w:marBottom w:val="0"/>
      <w:divBdr>
        <w:top w:val="none" w:sz="0" w:space="0" w:color="auto"/>
        <w:left w:val="none" w:sz="0" w:space="0" w:color="auto"/>
        <w:bottom w:val="none" w:sz="0" w:space="0" w:color="auto"/>
        <w:right w:val="none" w:sz="0" w:space="0" w:color="auto"/>
      </w:divBdr>
    </w:div>
    <w:div w:id="2012877104">
      <w:bodyDiv w:val="1"/>
      <w:marLeft w:val="0"/>
      <w:marRight w:val="0"/>
      <w:marTop w:val="0"/>
      <w:marBottom w:val="0"/>
      <w:divBdr>
        <w:top w:val="none" w:sz="0" w:space="0" w:color="auto"/>
        <w:left w:val="none" w:sz="0" w:space="0" w:color="auto"/>
        <w:bottom w:val="none" w:sz="0" w:space="0" w:color="auto"/>
        <w:right w:val="none" w:sz="0" w:space="0" w:color="auto"/>
      </w:divBdr>
    </w:div>
    <w:div w:id="2012949096">
      <w:bodyDiv w:val="1"/>
      <w:marLeft w:val="0"/>
      <w:marRight w:val="0"/>
      <w:marTop w:val="0"/>
      <w:marBottom w:val="0"/>
      <w:divBdr>
        <w:top w:val="none" w:sz="0" w:space="0" w:color="auto"/>
        <w:left w:val="none" w:sz="0" w:space="0" w:color="auto"/>
        <w:bottom w:val="none" w:sz="0" w:space="0" w:color="auto"/>
        <w:right w:val="none" w:sz="0" w:space="0" w:color="auto"/>
      </w:divBdr>
    </w:div>
    <w:div w:id="2013482954">
      <w:bodyDiv w:val="1"/>
      <w:marLeft w:val="0"/>
      <w:marRight w:val="0"/>
      <w:marTop w:val="0"/>
      <w:marBottom w:val="0"/>
      <w:divBdr>
        <w:top w:val="none" w:sz="0" w:space="0" w:color="auto"/>
        <w:left w:val="none" w:sz="0" w:space="0" w:color="auto"/>
        <w:bottom w:val="none" w:sz="0" w:space="0" w:color="auto"/>
        <w:right w:val="none" w:sz="0" w:space="0" w:color="auto"/>
      </w:divBdr>
    </w:div>
    <w:div w:id="2013557216">
      <w:bodyDiv w:val="1"/>
      <w:marLeft w:val="0"/>
      <w:marRight w:val="0"/>
      <w:marTop w:val="0"/>
      <w:marBottom w:val="0"/>
      <w:divBdr>
        <w:top w:val="none" w:sz="0" w:space="0" w:color="auto"/>
        <w:left w:val="none" w:sz="0" w:space="0" w:color="auto"/>
        <w:bottom w:val="none" w:sz="0" w:space="0" w:color="auto"/>
        <w:right w:val="none" w:sz="0" w:space="0" w:color="auto"/>
      </w:divBdr>
    </w:div>
    <w:div w:id="2014186365">
      <w:bodyDiv w:val="1"/>
      <w:marLeft w:val="0"/>
      <w:marRight w:val="0"/>
      <w:marTop w:val="0"/>
      <w:marBottom w:val="0"/>
      <w:divBdr>
        <w:top w:val="none" w:sz="0" w:space="0" w:color="auto"/>
        <w:left w:val="none" w:sz="0" w:space="0" w:color="auto"/>
        <w:bottom w:val="none" w:sz="0" w:space="0" w:color="auto"/>
        <w:right w:val="none" w:sz="0" w:space="0" w:color="auto"/>
      </w:divBdr>
    </w:div>
    <w:div w:id="2015526369">
      <w:bodyDiv w:val="1"/>
      <w:marLeft w:val="0"/>
      <w:marRight w:val="0"/>
      <w:marTop w:val="0"/>
      <w:marBottom w:val="0"/>
      <w:divBdr>
        <w:top w:val="none" w:sz="0" w:space="0" w:color="auto"/>
        <w:left w:val="none" w:sz="0" w:space="0" w:color="auto"/>
        <w:bottom w:val="none" w:sz="0" w:space="0" w:color="auto"/>
        <w:right w:val="none" w:sz="0" w:space="0" w:color="auto"/>
      </w:divBdr>
    </w:div>
    <w:div w:id="2016572187">
      <w:bodyDiv w:val="1"/>
      <w:marLeft w:val="0"/>
      <w:marRight w:val="0"/>
      <w:marTop w:val="0"/>
      <w:marBottom w:val="0"/>
      <w:divBdr>
        <w:top w:val="none" w:sz="0" w:space="0" w:color="auto"/>
        <w:left w:val="none" w:sz="0" w:space="0" w:color="auto"/>
        <w:bottom w:val="none" w:sz="0" w:space="0" w:color="auto"/>
        <w:right w:val="none" w:sz="0" w:space="0" w:color="auto"/>
      </w:divBdr>
    </w:div>
    <w:div w:id="2017030779">
      <w:bodyDiv w:val="1"/>
      <w:marLeft w:val="0"/>
      <w:marRight w:val="0"/>
      <w:marTop w:val="0"/>
      <w:marBottom w:val="0"/>
      <w:divBdr>
        <w:top w:val="none" w:sz="0" w:space="0" w:color="auto"/>
        <w:left w:val="none" w:sz="0" w:space="0" w:color="auto"/>
        <w:bottom w:val="none" w:sz="0" w:space="0" w:color="auto"/>
        <w:right w:val="none" w:sz="0" w:space="0" w:color="auto"/>
      </w:divBdr>
    </w:div>
    <w:div w:id="2017535119">
      <w:bodyDiv w:val="1"/>
      <w:marLeft w:val="0"/>
      <w:marRight w:val="0"/>
      <w:marTop w:val="0"/>
      <w:marBottom w:val="0"/>
      <w:divBdr>
        <w:top w:val="none" w:sz="0" w:space="0" w:color="auto"/>
        <w:left w:val="none" w:sz="0" w:space="0" w:color="auto"/>
        <w:bottom w:val="none" w:sz="0" w:space="0" w:color="auto"/>
        <w:right w:val="none" w:sz="0" w:space="0" w:color="auto"/>
      </w:divBdr>
    </w:div>
    <w:div w:id="2017922317">
      <w:bodyDiv w:val="1"/>
      <w:marLeft w:val="0"/>
      <w:marRight w:val="0"/>
      <w:marTop w:val="0"/>
      <w:marBottom w:val="0"/>
      <w:divBdr>
        <w:top w:val="none" w:sz="0" w:space="0" w:color="auto"/>
        <w:left w:val="none" w:sz="0" w:space="0" w:color="auto"/>
        <w:bottom w:val="none" w:sz="0" w:space="0" w:color="auto"/>
        <w:right w:val="none" w:sz="0" w:space="0" w:color="auto"/>
      </w:divBdr>
    </w:div>
    <w:div w:id="2017998085">
      <w:bodyDiv w:val="1"/>
      <w:marLeft w:val="0"/>
      <w:marRight w:val="0"/>
      <w:marTop w:val="0"/>
      <w:marBottom w:val="0"/>
      <w:divBdr>
        <w:top w:val="none" w:sz="0" w:space="0" w:color="auto"/>
        <w:left w:val="none" w:sz="0" w:space="0" w:color="auto"/>
        <w:bottom w:val="none" w:sz="0" w:space="0" w:color="auto"/>
        <w:right w:val="none" w:sz="0" w:space="0" w:color="auto"/>
      </w:divBdr>
    </w:div>
    <w:div w:id="2018271370">
      <w:bodyDiv w:val="1"/>
      <w:marLeft w:val="0"/>
      <w:marRight w:val="0"/>
      <w:marTop w:val="0"/>
      <w:marBottom w:val="0"/>
      <w:divBdr>
        <w:top w:val="none" w:sz="0" w:space="0" w:color="auto"/>
        <w:left w:val="none" w:sz="0" w:space="0" w:color="auto"/>
        <w:bottom w:val="none" w:sz="0" w:space="0" w:color="auto"/>
        <w:right w:val="none" w:sz="0" w:space="0" w:color="auto"/>
      </w:divBdr>
    </w:div>
    <w:div w:id="2018458691">
      <w:bodyDiv w:val="1"/>
      <w:marLeft w:val="0"/>
      <w:marRight w:val="0"/>
      <w:marTop w:val="0"/>
      <w:marBottom w:val="0"/>
      <w:divBdr>
        <w:top w:val="none" w:sz="0" w:space="0" w:color="auto"/>
        <w:left w:val="none" w:sz="0" w:space="0" w:color="auto"/>
        <w:bottom w:val="none" w:sz="0" w:space="0" w:color="auto"/>
        <w:right w:val="none" w:sz="0" w:space="0" w:color="auto"/>
      </w:divBdr>
    </w:div>
    <w:div w:id="2018648965">
      <w:bodyDiv w:val="1"/>
      <w:marLeft w:val="0"/>
      <w:marRight w:val="0"/>
      <w:marTop w:val="0"/>
      <w:marBottom w:val="0"/>
      <w:divBdr>
        <w:top w:val="none" w:sz="0" w:space="0" w:color="auto"/>
        <w:left w:val="none" w:sz="0" w:space="0" w:color="auto"/>
        <w:bottom w:val="none" w:sz="0" w:space="0" w:color="auto"/>
        <w:right w:val="none" w:sz="0" w:space="0" w:color="auto"/>
      </w:divBdr>
    </w:div>
    <w:div w:id="2018726194">
      <w:bodyDiv w:val="1"/>
      <w:marLeft w:val="0"/>
      <w:marRight w:val="0"/>
      <w:marTop w:val="0"/>
      <w:marBottom w:val="0"/>
      <w:divBdr>
        <w:top w:val="none" w:sz="0" w:space="0" w:color="auto"/>
        <w:left w:val="none" w:sz="0" w:space="0" w:color="auto"/>
        <w:bottom w:val="none" w:sz="0" w:space="0" w:color="auto"/>
        <w:right w:val="none" w:sz="0" w:space="0" w:color="auto"/>
      </w:divBdr>
    </w:div>
    <w:div w:id="2018729889">
      <w:bodyDiv w:val="1"/>
      <w:marLeft w:val="0"/>
      <w:marRight w:val="0"/>
      <w:marTop w:val="0"/>
      <w:marBottom w:val="0"/>
      <w:divBdr>
        <w:top w:val="none" w:sz="0" w:space="0" w:color="auto"/>
        <w:left w:val="none" w:sz="0" w:space="0" w:color="auto"/>
        <w:bottom w:val="none" w:sz="0" w:space="0" w:color="auto"/>
        <w:right w:val="none" w:sz="0" w:space="0" w:color="auto"/>
      </w:divBdr>
    </w:div>
    <w:div w:id="2019192832">
      <w:bodyDiv w:val="1"/>
      <w:marLeft w:val="0"/>
      <w:marRight w:val="0"/>
      <w:marTop w:val="0"/>
      <w:marBottom w:val="0"/>
      <w:divBdr>
        <w:top w:val="none" w:sz="0" w:space="0" w:color="auto"/>
        <w:left w:val="none" w:sz="0" w:space="0" w:color="auto"/>
        <w:bottom w:val="none" w:sz="0" w:space="0" w:color="auto"/>
        <w:right w:val="none" w:sz="0" w:space="0" w:color="auto"/>
      </w:divBdr>
    </w:div>
    <w:div w:id="2020807462">
      <w:bodyDiv w:val="1"/>
      <w:marLeft w:val="0"/>
      <w:marRight w:val="0"/>
      <w:marTop w:val="0"/>
      <w:marBottom w:val="0"/>
      <w:divBdr>
        <w:top w:val="none" w:sz="0" w:space="0" w:color="auto"/>
        <w:left w:val="none" w:sz="0" w:space="0" w:color="auto"/>
        <w:bottom w:val="none" w:sz="0" w:space="0" w:color="auto"/>
        <w:right w:val="none" w:sz="0" w:space="0" w:color="auto"/>
      </w:divBdr>
    </w:div>
    <w:div w:id="2021277123">
      <w:bodyDiv w:val="1"/>
      <w:marLeft w:val="0"/>
      <w:marRight w:val="0"/>
      <w:marTop w:val="0"/>
      <w:marBottom w:val="0"/>
      <w:divBdr>
        <w:top w:val="none" w:sz="0" w:space="0" w:color="auto"/>
        <w:left w:val="none" w:sz="0" w:space="0" w:color="auto"/>
        <w:bottom w:val="none" w:sz="0" w:space="0" w:color="auto"/>
        <w:right w:val="none" w:sz="0" w:space="0" w:color="auto"/>
      </w:divBdr>
    </w:div>
    <w:div w:id="2021348631">
      <w:bodyDiv w:val="1"/>
      <w:marLeft w:val="0"/>
      <w:marRight w:val="0"/>
      <w:marTop w:val="0"/>
      <w:marBottom w:val="0"/>
      <w:divBdr>
        <w:top w:val="none" w:sz="0" w:space="0" w:color="auto"/>
        <w:left w:val="none" w:sz="0" w:space="0" w:color="auto"/>
        <w:bottom w:val="none" w:sz="0" w:space="0" w:color="auto"/>
        <w:right w:val="none" w:sz="0" w:space="0" w:color="auto"/>
      </w:divBdr>
    </w:div>
    <w:div w:id="2022586539">
      <w:bodyDiv w:val="1"/>
      <w:marLeft w:val="0"/>
      <w:marRight w:val="0"/>
      <w:marTop w:val="0"/>
      <w:marBottom w:val="0"/>
      <w:divBdr>
        <w:top w:val="none" w:sz="0" w:space="0" w:color="auto"/>
        <w:left w:val="none" w:sz="0" w:space="0" w:color="auto"/>
        <w:bottom w:val="none" w:sz="0" w:space="0" w:color="auto"/>
        <w:right w:val="none" w:sz="0" w:space="0" w:color="auto"/>
      </w:divBdr>
    </w:div>
    <w:div w:id="2024277864">
      <w:bodyDiv w:val="1"/>
      <w:marLeft w:val="0"/>
      <w:marRight w:val="0"/>
      <w:marTop w:val="0"/>
      <w:marBottom w:val="0"/>
      <w:divBdr>
        <w:top w:val="none" w:sz="0" w:space="0" w:color="auto"/>
        <w:left w:val="none" w:sz="0" w:space="0" w:color="auto"/>
        <w:bottom w:val="none" w:sz="0" w:space="0" w:color="auto"/>
        <w:right w:val="none" w:sz="0" w:space="0" w:color="auto"/>
      </w:divBdr>
    </w:div>
    <w:div w:id="2026127227">
      <w:bodyDiv w:val="1"/>
      <w:marLeft w:val="0"/>
      <w:marRight w:val="0"/>
      <w:marTop w:val="0"/>
      <w:marBottom w:val="0"/>
      <w:divBdr>
        <w:top w:val="none" w:sz="0" w:space="0" w:color="auto"/>
        <w:left w:val="none" w:sz="0" w:space="0" w:color="auto"/>
        <w:bottom w:val="none" w:sz="0" w:space="0" w:color="auto"/>
        <w:right w:val="none" w:sz="0" w:space="0" w:color="auto"/>
      </w:divBdr>
    </w:div>
    <w:div w:id="2026176977">
      <w:bodyDiv w:val="1"/>
      <w:marLeft w:val="0"/>
      <w:marRight w:val="0"/>
      <w:marTop w:val="0"/>
      <w:marBottom w:val="0"/>
      <w:divBdr>
        <w:top w:val="none" w:sz="0" w:space="0" w:color="auto"/>
        <w:left w:val="none" w:sz="0" w:space="0" w:color="auto"/>
        <w:bottom w:val="none" w:sz="0" w:space="0" w:color="auto"/>
        <w:right w:val="none" w:sz="0" w:space="0" w:color="auto"/>
      </w:divBdr>
    </w:div>
    <w:div w:id="2027054654">
      <w:bodyDiv w:val="1"/>
      <w:marLeft w:val="0"/>
      <w:marRight w:val="0"/>
      <w:marTop w:val="0"/>
      <w:marBottom w:val="0"/>
      <w:divBdr>
        <w:top w:val="none" w:sz="0" w:space="0" w:color="auto"/>
        <w:left w:val="none" w:sz="0" w:space="0" w:color="auto"/>
        <w:bottom w:val="none" w:sz="0" w:space="0" w:color="auto"/>
        <w:right w:val="none" w:sz="0" w:space="0" w:color="auto"/>
      </w:divBdr>
    </w:div>
    <w:div w:id="2027169913">
      <w:bodyDiv w:val="1"/>
      <w:marLeft w:val="0"/>
      <w:marRight w:val="0"/>
      <w:marTop w:val="0"/>
      <w:marBottom w:val="0"/>
      <w:divBdr>
        <w:top w:val="none" w:sz="0" w:space="0" w:color="auto"/>
        <w:left w:val="none" w:sz="0" w:space="0" w:color="auto"/>
        <w:bottom w:val="none" w:sz="0" w:space="0" w:color="auto"/>
        <w:right w:val="none" w:sz="0" w:space="0" w:color="auto"/>
      </w:divBdr>
    </w:div>
    <w:div w:id="2027712582">
      <w:bodyDiv w:val="1"/>
      <w:marLeft w:val="0"/>
      <w:marRight w:val="0"/>
      <w:marTop w:val="0"/>
      <w:marBottom w:val="0"/>
      <w:divBdr>
        <w:top w:val="none" w:sz="0" w:space="0" w:color="auto"/>
        <w:left w:val="none" w:sz="0" w:space="0" w:color="auto"/>
        <w:bottom w:val="none" w:sz="0" w:space="0" w:color="auto"/>
        <w:right w:val="none" w:sz="0" w:space="0" w:color="auto"/>
      </w:divBdr>
    </w:div>
    <w:div w:id="2028166531">
      <w:bodyDiv w:val="1"/>
      <w:marLeft w:val="0"/>
      <w:marRight w:val="0"/>
      <w:marTop w:val="0"/>
      <w:marBottom w:val="0"/>
      <w:divBdr>
        <w:top w:val="none" w:sz="0" w:space="0" w:color="auto"/>
        <w:left w:val="none" w:sz="0" w:space="0" w:color="auto"/>
        <w:bottom w:val="none" w:sz="0" w:space="0" w:color="auto"/>
        <w:right w:val="none" w:sz="0" w:space="0" w:color="auto"/>
      </w:divBdr>
    </w:div>
    <w:div w:id="2028208805">
      <w:bodyDiv w:val="1"/>
      <w:marLeft w:val="0"/>
      <w:marRight w:val="0"/>
      <w:marTop w:val="0"/>
      <w:marBottom w:val="0"/>
      <w:divBdr>
        <w:top w:val="none" w:sz="0" w:space="0" w:color="auto"/>
        <w:left w:val="none" w:sz="0" w:space="0" w:color="auto"/>
        <w:bottom w:val="none" w:sz="0" w:space="0" w:color="auto"/>
        <w:right w:val="none" w:sz="0" w:space="0" w:color="auto"/>
      </w:divBdr>
    </w:div>
    <w:div w:id="2028361634">
      <w:bodyDiv w:val="1"/>
      <w:marLeft w:val="0"/>
      <w:marRight w:val="0"/>
      <w:marTop w:val="0"/>
      <w:marBottom w:val="0"/>
      <w:divBdr>
        <w:top w:val="none" w:sz="0" w:space="0" w:color="auto"/>
        <w:left w:val="none" w:sz="0" w:space="0" w:color="auto"/>
        <w:bottom w:val="none" w:sz="0" w:space="0" w:color="auto"/>
        <w:right w:val="none" w:sz="0" w:space="0" w:color="auto"/>
      </w:divBdr>
    </w:div>
    <w:div w:id="2029139582">
      <w:bodyDiv w:val="1"/>
      <w:marLeft w:val="0"/>
      <w:marRight w:val="0"/>
      <w:marTop w:val="0"/>
      <w:marBottom w:val="0"/>
      <w:divBdr>
        <w:top w:val="none" w:sz="0" w:space="0" w:color="auto"/>
        <w:left w:val="none" w:sz="0" w:space="0" w:color="auto"/>
        <w:bottom w:val="none" w:sz="0" w:space="0" w:color="auto"/>
        <w:right w:val="none" w:sz="0" w:space="0" w:color="auto"/>
      </w:divBdr>
    </w:div>
    <w:div w:id="2029519312">
      <w:bodyDiv w:val="1"/>
      <w:marLeft w:val="0"/>
      <w:marRight w:val="0"/>
      <w:marTop w:val="0"/>
      <w:marBottom w:val="0"/>
      <w:divBdr>
        <w:top w:val="none" w:sz="0" w:space="0" w:color="auto"/>
        <w:left w:val="none" w:sz="0" w:space="0" w:color="auto"/>
        <w:bottom w:val="none" w:sz="0" w:space="0" w:color="auto"/>
        <w:right w:val="none" w:sz="0" w:space="0" w:color="auto"/>
      </w:divBdr>
    </w:div>
    <w:div w:id="2031101321">
      <w:bodyDiv w:val="1"/>
      <w:marLeft w:val="0"/>
      <w:marRight w:val="0"/>
      <w:marTop w:val="0"/>
      <w:marBottom w:val="0"/>
      <w:divBdr>
        <w:top w:val="none" w:sz="0" w:space="0" w:color="auto"/>
        <w:left w:val="none" w:sz="0" w:space="0" w:color="auto"/>
        <w:bottom w:val="none" w:sz="0" w:space="0" w:color="auto"/>
        <w:right w:val="none" w:sz="0" w:space="0" w:color="auto"/>
      </w:divBdr>
    </w:div>
    <w:div w:id="2031444748">
      <w:bodyDiv w:val="1"/>
      <w:marLeft w:val="0"/>
      <w:marRight w:val="0"/>
      <w:marTop w:val="0"/>
      <w:marBottom w:val="0"/>
      <w:divBdr>
        <w:top w:val="none" w:sz="0" w:space="0" w:color="auto"/>
        <w:left w:val="none" w:sz="0" w:space="0" w:color="auto"/>
        <w:bottom w:val="none" w:sz="0" w:space="0" w:color="auto"/>
        <w:right w:val="none" w:sz="0" w:space="0" w:color="auto"/>
      </w:divBdr>
    </w:div>
    <w:div w:id="2031447050">
      <w:bodyDiv w:val="1"/>
      <w:marLeft w:val="0"/>
      <w:marRight w:val="0"/>
      <w:marTop w:val="0"/>
      <w:marBottom w:val="0"/>
      <w:divBdr>
        <w:top w:val="none" w:sz="0" w:space="0" w:color="auto"/>
        <w:left w:val="none" w:sz="0" w:space="0" w:color="auto"/>
        <w:bottom w:val="none" w:sz="0" w:space="0" w:color="auto"/>
        <w:right w:val="none" w:sz="0" w:space="0" w:color="auto"/>
      </w:divBdr>
    </w:div>
    <w:div w:id="2031486578">
      <w:bodyDiv w:val="1"/>
      <w:marLeft w:val="0"/>
      <w:marRight w:val="0"/>
      <w:marTop w:val="0"/>
      <w:marBottom w:val="0"/>
      <w:divBdr>
        <w:top w:val="none" w:sz="0" w:space="0" w:color="auto"/>
        <w:left w:val="none" w:sz="0" w:space="0" w:color="auto"/>
        <w:bottom w:val="none" w:sz="0" w:space="0" w:color="auto"/>
        <w:right w:val="none" w:sz="0" w:space="0" w:color="auto"/>
      </w:divBdr>
    </w:div>
    <w:div w:id="2031567450">
      <w:bodyDiv w:val="1"/>
      <w:marLeft w:val="0"/>
      <w:marRight w:val="0"/>
      <w:marTop w:val="0"/>
      <w:marBottom w:val="0"/>
      <w:divBdr>
        <w:top w:val="none" w:sz="0" w:space="0" w:color="auto"/>
        <w:left w:val="none" w:sz="0" w:space="0" w:color="auto"/>
        <w:bottom w:val="none" w:sz="0" w:space="0" w:color="auto"/>
        <w:right w:val="none" w:sz="0" w:space="0" w:color="auto"/>
      </w:divBdr>
    </w:div>
    <w:div w:id="2033189989">
      <w:bodyDiv w:val="1"/>
      <w:marLeft w:val="0"/>
      <w:marRight w:val="0"/>
      <w:marTop w:val="0"/>
      <w:marBottom w:val="0"/>
      <w:divBdr>
        <w:top w:val="none" w:sz="0" w:space="0" w:color="auto"/>
        <w:left w:val="none" w:sz="0" w:space="0" w:color="auto"/>
        <w:bottom w:val="none" w:sz="0" w:space="0" w:color="auto"/>
        <w:right w:val="none" w:sz="0" w:space="0" w:color="auto"/>
      </w:divBdr>
    </w:div>
    <w:div w:id="2033989974">
      <w:bodyDiv w:val="1"/>
      <w:marLeft w:val="0"/>
      <w:marRight w:val="0"/>
      <w:marTop w:val="0"/>
      <w:marBottom w:val="0"/>
      <w:divBdr>
        <w:top w:val="none" w:sz="0" w:space="0" w:color="auto"/>
        <w:left w:val="none" w:sz="0" w:space="0" w:color="auto"/>
        <w:bottom w:val="none" w:sz="0" w:space="0" w:color="auto"/>
        <w:right w:val="none" w:sz="0" w:space="0" w:color="auto"/>
      </w:divBdr>
    </w:div>
    <w:div w:id="2035304862">
      <w:bodyDiv w:val="1"/>
      <w:marLeft w:val="0"/>
      <w:marRight w:val="0"/>
      <w:marTop w:val="0"/>
      <w:marBottom w:val="0"/>
      <w:divBdr>
        <w:top w:val="none" w:sz="0" w:space="0" w:color="auto"/>
        <w:left w:val="none" w:sz="0" w:space="0" w:color="auto"/>
        <w:bottom w:val="none" w:sz="0" w:space="0" w:color="auto"/>
        <w:right w:val="none" w:sz="0" w:space="0" w:color="auto"/>
      </w:divBdr>
    </w:div>
    <w:div w:id="2035691921">
      <w:bodyDiv w:val="1"/>
      <w:marLeft w:val="0"/>
      <w:marRight w:val="0"/>
      <w:marTop w:val="0"/>
      <w:marBottom w:val="0"/>
      <w:divBdr>
        <w:top w:val="none" w:sz="0" w:space="0" w:color="auto"/>
        <w:left w:val="none" w:sz="0" w:space="0" w:color="auto"/>
        <w:bottom w:val="none" w:sz="0" w:space="0" w:color="auto"/>
        <w:right w:val="none" w:sz="0" w:space="0" w:color="auto"/>
      </w:divBdr>
    </w:div>
    <w:div w:id="2036032812">
      <w:bodyDiv w:val="1"/>
      <w:marLeft w:val="0"/>
      <w:marRight w:val="0"/>
      <w:marTop w:val="0"/>
      <w:marBottom w:val="0"/>
      <w:divBdr>
        <w:top w:val="none" w:sz="0" w:space="0" w:color="auto"/>
        <w:left w:val="none" w:sz="0" w:space="0" w:color="auto"/>
        <w:bottom w:val="none" w:sz="0" w:space="0" w:color="auto"/>
        <w:right w:val="none" w:sz="0" w:space="0" w:color="auto"/>
      </w:divBdr>
    </w:div>
    <w:div w:id="2036225107">
      <w:bodyDiv w:val="1"/>
      <w:marLeft w:val="0"/>
      <w:marRight w:val="0"/>
      <w:marTop w:val="0"/>
      <w:marBottom w:val="0"/>
      <w:divBdr>
        <w:top w:val="none" w:sz="0" w:space="0" w:color="auto"/>
        <w:left w:val="none" w:sz="0" w:space="0" w:color="auto"/>
        <w:bottom w:val="none" w:sz="0" w:space="0" w:color="auto"/>
        <w:right w:val="none" w:sz="0" w:space="0" w:color="auto"/>
      </w:divBdr>
    </w:div>
    <w:div w:id="2036731816">
      <w:bodyDiv w:val="1"/>
      <w:marLeft w:val="0"/>
      <w:marRight w:val="0"/>
      <w:marTop w:val="0"/>
      <w:marBottom w:val="0"/>
      <w:divBdr>
        <w:top w:val="none" w:sz="0" w:space="0" w:color="auto"/>
        <w:left w:val="none" w:sz="0" w:space="0" w:color="auto"/>
        <w:bottom w:val="none" w:sz="0" w:space="0" w:color="auto"/>
        <w:right w:val="none" w:sz="0" w:space="0" w:color="auto"/>
      </w:divBdr>
    </w:div>
    <w:div w:id="2037341572">
      <w:bodyDiv w:val="1"/>
      <w:marLeft w:val="0"/>
      <w:marRight w:val="0"/>
      <w:marTop w:val="0"/>
      <w:marBottom w:val="0"/>
      <w:divBdr>
        <w:top w:val="none" w:sz="0" w:space="0" w:color="auto"/>
        <w:left w:val="none" w:sz="0" w:space="0" w:color="auto"/>
        <w:bottom w:val="none" w:sz="0" w:space="0" w:color="auto"/>
        <w:right w:val="none" w:sz="0" w:space="0" w:color="auto"/>
      </w:divBdr>
    </w:div>
    <w:div w:id="2040618402">
      <w:bodyDiv w:val="1"/>
      <w:marLeft w:val="0"/>
      <w:marRight w:val="0"/>
      <w:marTop w:val="0"/>
      <w:marBottom w:val="0"/>
      <w:divBdr>
        <w:top w:val="none" w:sz="0" w:space="0" w:color="auto"/>
        <w:left w:val="none" w:sz="0" w:space="0" w:color="auto"/>
        <w:bottom w:val="none" w:sz="0" w:space="0" w:color="auto"/>
        <w:right w:val="none" w:sz="0" w:space="0" w:color="auto"/>
      </w:divBdr>
    </w:div>
    <w:div w:id="2041396978">
      <w:bodyDiv w:val="1"/>
      <w:marLeft w:val="0"/>
      <w:marRight w:val="0"/>
      <w:marTop w:val="0"/>
      <w:marBottom w:val="0"/>
      <w:divBdr>
        <w:top w:val="none" w:sz="0" w:space="0" w:color="auto"/>
        <w:left w:val="none" w:sz="0" w:space="0" w:color="auto"/>
        <w:bottom w:val="none" w:sz="0" w:space="0" w:color="auto"/>
        <w:right w:val="none" w:sz="0" w:space="0" w:color="auto"/>
      </w:divBdr>
    </w:div>
    <w:div w:id="2041979073">
      <w:bodyDiv w:val="1"/>
      <w:marLeft w:val="0"/>
      <w:marRight w:val="0"/>
      <w:marTop w:val="0"/>
      <w:marBottom w:val="0"/>
      <w:divBdr>
        <w:top w:val="none" w:sz="0" w:space="0" w:color="auto"/>
        <w:left w:val="none" w:sz="0" w:space="0" w:color="auto"/>
        <w:bottom w:val="none" w:sz="0" w:space="0" w:color="auto"/>
        <w:right w:val="none" w:sz="0" w:space="0" w:color="auto"/>
      </w:divBdr>
    </w:div>
    <w:div w:id="2042321917">
      <w:bodyDiv w:val="1"/>
      <w:marLeft w:val="0"/>
      <w:marRight w:val="0"/>
      <w:marTop w:val="0"/>
      <w:marBottom w:val="0"/>
      <w:divBdr>
        <w:top w:val="none" w:sz="0" w:space="0" w:color="auto"/>
        <w:left w:val="none" w:sz="0" w:space="0" w:color="auto"/>
        <w:bottom w:val="none" w:sz="0" w:space="0" w:color="auto"/>
        <w:right w:val="none" w:sz="0" w:space="0" w:color="auto"/>
      </w:divBdr>
    </w:div>
    <w:div w:id="2043092540">
      <w:bodyDiv w:val="1"/>
      <w:marLeft w:val="0"/>
      <w:marRight w:val="0"/>
      <w:marTop w:val="0"/>
      <w:marBottom w:val="0"/>
      <w:divBdr>
        <w:top w:val="none" w:sz="0" w:space="0" w:color="auto"/>
        <w:left w:val="none" w:sz="0" w:space="0" w:color="auto"/>
        <w:bottom w:val="none" w:sz="0" w:space="0" w:color="auto"/>
        <w:right w:val="none" w:sz="0" w:space="0" w:color="auto"/>
      </w:divBdr>
    </w:div>
    <w:div w:id="2043167949">
      <w:bodyDiv w:val="1"/>
      <w:marLeft w:val="0"/>
      <w:marRight w:val="0"/>
      <w:marTop w:val="0"/>
      <w:marBottom w:val="0"/>
      <w:divBdr>
        <w:top w:val="none" w:sz="0" w:space="0" w:color="auto"/>
        <w:left w:val="none" w:sz="0" w:space="0" w:color="auto"/>
        <w:bottom w:val="none" w:sz="0" w:space="0" w:color="auto"/>
        <w:right w:val="none" w:sz="0" w:space="0" w:color="auto"/>
      </w:divBdr>
    </w:div>
    <w:div w:id="2044401254">
      <w:bodyDiv w:val="1"/>
      <w:marLeft w:val="0"/>
      <w:marRight w:val="0"/>
      <w:marTop w:val="0"/>
      <w:marBottom w:val="0"/>
      <w:divBdr>
        <w:top w:val="none" w:sz="0" w:space="0" w:color="auto"/>
        <w:left w:val="none" w:sz="0" w:space="0" w:color="auto"/>
        <w:bottom w:val="none" w:sz="0" w:space="0" w:color="auto"/>
        <w:right w:val="none" w:sz="0" w:space="0" w:color="auto"/>
      </w:divBdr>
    </w:div>
    <w:div w:id="2044862852">
      <w:bodyDiv w:val="1"/>
      <w:marLeft w:val="0"/>
      <w:marRight w:val="0"/>
      <w:marTop w:val="0"/>
      <w:marBottom w:val="0"/>
      <w:divBdr>
        <w:top w:val="none" w:sz="0" w:space="0" w:color="auto"/>
        <w:left w:val="none" w:sz="0" w:space="0" w:color="auto"/>
        <w:bottom w:val="none" w:sz="0" w:space="0" w:color="auto"/>
        <w:right w:val="none" w:sz="0" w:space="0" w:color="auto"/>
      </w:divBdr>
    </w:div>
    <w:div w:id="2045133826">
      <w:bodyDiv w:val="1"/>
      <w:marLeft w:val="0"/>
      <w:marRight w:val="0"/>
      <w:marTop w:val="0"/>
      <w:marBottom w:val="0"/>
      <w:divBdr>
        <w:top w:val="none" w:sz="0" w:space="0" w:color="auto"/>
        <w:left w:val="none" w:sz="0" w:space="0" w:color="auto"/>
        <w:bottom w:val="none" w:sz="0" w:space="0" w:color="auto"/>
        <w:right w:val="none" w:sz="0" w:space="0" w:color="auto"/>
      </w:divBdr>
    </w:div>
    <w:div w:id="2046904769">
      <w:bodyDiv w:val="1"/>
      <w:marLeft w:val="0"/>
      <w:marRight w:val="0"/>
      <w:marTop w:val="0"/>
      <w:marBottom w:val="0"/>
      <w:divBdr>
        <w:top w:val="none" w:sz="0" w:space="0" w:color="auto"/>
        <w:left w:val="none" w:sz="0" w:space="0" w:color="auto"/>
        <w:bottom w:val="none" w:sz="0" w:space="0" w:color="auto"/>
        <w:right w:val="none" w:sz="0" w:space="0" w:color="auto"/>
      </w:divBdr>
    </w:div>
    <w:div w:id="2047102362">
      <w:bodyDiv w:val="1"/>
      <w:marLeft w:val="0"/>
      <w:marRight w:val="0"/>
      <w:marTop w:val="0"/>
      <w:marBottom w:val="0"/>
      <w:divBdr>
        <w:top w:val="none" w:sz="0" w:space="0" w:color="auto"/>
        <w:left w:val="none" w:sz="0" w:space="0" w:color="auto"/>
        <w:bottom w:val="none" w:sz="0" w:space="0" w:color="auto"/>
        <w:right w:val="none" w:sz="0" w:space="0" w:color="auto"/>
      </w:divBdr>
    </w:div>
    <w:div w:id="2048598519">
      <w:bodyDiv w:val="1"/>
      <w:marLeft w:val="0"/>
      <w:marRight w:val="0"/>
      <w:marTop w:val="0"/>
      <w:marBottom w:val="0"/>
      <w:divBdr>
        <w:top w:val="none" w:sz="0" w:space="0" w:color="auto"/>
        <w:left w:val="none" w:sz="0" w:space="0" w:color="auto"/>
        <w:bottom w:val="none" w:sz="0" w:space="0" w:color="auto"/>
        <w:right w:val="none" w:sz="0" w:space="0" w:color="auto"/>
      </w:divBdr>
    </w:div>
    <w:div w:id="2050107776">
      <w:bodyDiv w:val="1"/>
      <w:marLeft w:val="0"/>
      <w:marRight w:val="0"/>
      <w:marTop w:val="0"/>
      <w:marBottom w:val="0"/>
      <w:divBdr>
        <w:top w:val="none" w:sz="0" w:space="0" w:color="auto"/>
        <w:left w:val="none" w:sz="0" w:space="0" w:color="auto"/>
        <w:bottom w:val="none" w:sz="0" w:space="0" w:color="auto"/>
        <w:right w:val="none" w:sz="0" w:space="0" w:color="auto"/>
      </w:divBdr>
    </w:div>
    <w:div w:id="2051374284">
      <w:bodyDiv w:val="1"/>
      <w:marLeft w:val="0"/>
      <w:marRight w:val="0"/>
      <w:marTop w:val="0"/>
      <w:marBottom w:val="0"/>
      <w:divBdr>
        <w:top w:val="none" w:sz="0" w:space="0" w:color="auto"/>
        <w:left w:val="none" w:sz="0" w:space="0" w:color="auto"/>
        <w:bottom w:val="none" w:sz="0" w:space="0" w:color="auto"/>
        <w:right w:val="none" w:sz="0" w:space="0" w:color="auto"/>
      </w:divBdr>
    </w:div>
    <w:div w:id="2051608035">
      <w:bodyDiv w:val="1"/>
      <w:marLeft w:val="0"/>
      <w:marRight w:val="0"/>
      <w:marTop w:val="0"/>
      <w:marBottom w:val="0"/>
      <w:divBdr>
        <w:top w:val="none" w:sz="0" w:space="0" w:color="auto"/>
        <w:left w:val="none" w:sz="0" w:space="0" w:color="auto"/>
        <w:bottom w:val="none" w:sz="0" w:space="0" w:color="auto"/>
        <w:right w:val="none" w:sz="0" w:space="0" w:color="auto"/>
      </w:divBdr>
    </w:div>
    <w:div w:id="2052075186">
      <w:bodyDiv w:val="1"/>
      <w:marLeft w:val="0"/>
      <w:marRight w:val="0"/>
      <w:marTop w:val="0"/>
      <w:marBottom w:val="0"/>
      <w:divBdr>
        <w:top w:val="none" w:sz="0" w:space="0" w:color="auto"/>
        <w:left w:val="none" w:sz="0" w:space="0" w:color="auto"/>
        <w:bottom w:val="none" w:sz="0" w:space="0" w:color="auto"/>
        <w:right w:val="none" w:sz="0" w:space="0" w:color="auto"/>
      </w:divBdr>
    </w:div>
    <w:div w:id="2052463258">
      <w:bodyDiv w:val="1"/>
      <w:marLeft w:val="0"/>
      <w:marRight w:val="0"/>
      <w:marTop w:val="0"/>
      <w:marBottom w:val="0"/>
      <w:divBdr>
        <w:top w:val="none" w:sz="0" w:space="0" w:color="auto"/>
        <w:left w:val="none" w:sz="0" w:space="0" w:color="auto"/>
        <w:bottom w:val="none" w:sz="0" w:space="0" w:color="auto"/>
        <w:right w:val="none" w:sz="0" w:space="0" w:color="auto"/>
      </w:divBdr>
    </w:div>
    <w:div w:id="2052873269">
      <w:bodyDiv w:val="1"/>
      <w:marLeft w:val="0"/>
      <w:marRight w:val="0"/>
      <w:marTop w:val="0"/>
      <w:marBottom w:val="0"/>
      <w:divBdr>
        <w:top w:val="none" w:sz="0" w:space="0" w:color="auto"/>
        <w:left w:val="none" w:sz="0" w:space="0" w:color="auto"/>
        <w:bottom w:val="none" w:sz="0" w:space="0" w:color="auto"/>
        <w:right w:val="none" w:sz="0" w:space="0" w:color="auto"/>
      </w:divBdr>
    </w:div>
    <w:div w:id="2053075342">
      <w:bodyDiv w:val="1"/>
      <w:marLeft w:val="0"/>
      <w:marRight w:val="0"/>
      <w:marTop w:val="0"/>
      <w:marBottom w:val="0"/>
      <w:divBdr>
        <w:top w:val="none" w:sz="0" w:space="0" w:color="auto"/>
        <w:left w:val="none" w:sz="0" w:space="0" w:color="auto"/>
        <w:bottom w:val="none" w:sz="0" w:space="0" w:color="auto"/>
        <w:right w:val="none" w:sz="0" w:space="0" w:color="auto"/>
      </w:divBdr>
    </w:div>
    <w:div w:id="2053723668">
      <w:bodyDiv w:val="1"/>
      <w:marLeft w:val="0"/>
      <w:marRight w:val="0"/>
      <w:marTop w:val="0"/>
      <w:marBottom w:val="0"/>
      <w:divBdr>
        <w:top w:val="none" w:sz="0" w:space="0" w:color="auto"/>
        <w:left w:val="none" w:sz="0" w:space="0" w:color="auto"/>
        <w:bottom w:val="none" w:sz="0" w:space="0" w:color="auto"/>
        <w:right w:val="none" w:sz="0" w:space="0" w:color="auto"/>
      </w:divBdr>
    </w:div>
    <w:div w:id="2055614745">
      <w:bodyDiv w:val="1"/>
      <w:marLeft w:val="0"/>
      <w:marRight w:val="0"/>
      <w:marTop w:val="0"/>
      <w:marBottom w:val="0"/>
      <w:divBdr>
        <w:top w:val="none" w:sz="0" w:space="0" w:color="auto"/>
        <w:left w:val="none" w:sz="0" w:space="0" w:color="auto"/>
        <w:bottom w:val="none" w:sz="0" w:space="0" w:color="auto"/>
        <w:right w:val="none" w:sz="0" w:space="0" w:color="auto"/>
      </w:divBdr>
    </w:div>
    <w:div w:id="2055690757">
      <w:bodyDiv w:val="1"/>
      <w:marLeft w:val="0"/>
      <w:marRight w:val="0"/>
      <w:marTop w:val="0"/>
      <w:marBottom w:val="0"/>
      <w:divBdr>
        <w:top w:val="none" w:sz="0" w:space="0" w:color="auto"/>
        <w:left w:val="none" w:sz="0" w:space="0" w:color="auto"/>
        <w:bottom w:val="none" w:sz="0" w:space="0" w:color="auto"/>
        <w:right w:val="none" w:sz="0" w:space="0" w:color="auto"/>
      </w:divBdr>
    </w:div>
    <w:div w:id="2055733674">
      <w:bodyDiv w:val="1"/>
      <w:marLeft w:val="0"/>
      <w:marRight w:val="0"/>
      <w:marTop w:val="0"/>
      <w:marBottom w:val="0"/>
      <w:divBdr>
        <w:top w:val="none" w:sz="0" w:space="0" w:color="auto"/>
        <w:left w:val="none" w:sz="0" w:space="0" w:color="auto"/>
        <w:bottom w:val="none" w:sz="0" w:space="0" w:color="auto"/>
        <w:right w:val="none" w:sz="0" w:space="0" w:color="auto"/>
      </w:divBdr>
    </w:div>
    <w:div w:id="2055737920">
      <w:bodyDiv w:val="1"/>
      <w:marLeft w:val="0"/>
      <w:marRight w:val="0"/>
      <w:marTop w:val="0"/>
      <w:marBottom w:val="0"/>
      <w:divBdr>
        <w:top w:val="none" w:sz="0" w:space="0" w:color="auto"/>
        <w:left w:val="none" w:sz="0" w:space="0" w:color="auto"/>
        <w:bottom w:val="none" w:sz="0" w:space="0" w:color="auto"/>
        <w:right w:val="none" w:sz="0" w:space="0" w:color="auto"/>
      </w:divBdr>
    </w:div>
    <w:div w:id="2057045928">
      <w:bodyDiv w:val="1"/>
      <w:marLeft w:val="0"/>
      <w:marRight w:val="0"/>
      <w:marTop w:val="0"/>
      <w:marBottom w:val="0"/>
      <w:divBdr>
        <w:top w:val="none" w:sz="0" w:space="0" w:color="auto"/>
        <w:left w:val="none" w:sz="0" w:space="0" w:color="auto"/>
        <w:bottom w:val="none" w:sz="0" w:space="0" w:color="auto"/>
        <w:right w:val="none" w:sz="0" w:space="0" w:color="auto"/>
      </w:divBdr>
    </w:div>
    <w:div w:id="2057198650">
      <w:bodyDiv w:val="1"/>
      <w:marLeft w:val="0"/>
      <w:marRight w:val="0"/>
      <w:marTop w:val="0"/>
      <w:marBottom w:val="0"/>
      <w:divBdr>
        <w:top w:val="none" w:sz="0" w:space="0" w:color="auto"/>
        <w:left w:val="none" w:sz="0" w:space="0" w:color="auto"/>
        <w:bottom w:val="none" w:sz="0" w:space="0" w:color="auto"/>
        <w:right w:val="none" w:sz="0" w:space="0" w:color="auto"/>
      </w:divBdr>
    </w:div>
    <w:div w:id="2058118178">
      <w:bodyDiv w:val="1"/>
      <w:marLeft w:val="0"/>
      <w:marRight w:val="0"/>
      <w:marTop w:val="0"/>
      <w:marBottom w:val="0"/>
      <w:divBdr>
        <w:top w:val="none" w:sz="0" w:space="0" w:color="auto"/>
        <w:left w:val="none" w:sz="0" w:space="0" w:color="auto"/>
        <w:bottom w:val="none" w:sz="0" w:space="0" w:color="auto"/>
        <w:right w:val="none" w:sz="0" w:space="0" w:color="auto"/>
      </w:divBdr>
    </w:div>
    <w:div w:id="2058122127">
      <w:bodyDiv w:val="1"/>
      <w:marLeft w:val="0"/>
      <w:marRight w:val="0"/>
      <w:marTop w:val="0"/>
      <w:marBottom w:val="0"/>
      <w:divBdr>
        <w:top w:val="none" w:sz="0" w:space="0" w:color="auto"/>
        <w:left w:val="none" w:sz="0" w:space="0" w:color="auto"/>
        <w:bottom w:val="none" w:sz="0" w:space="0" w:color="auto"/>
        <w:right w:val="none" w:sz="0" w:space="0" w:color="auto"/>
      </w:divBdr>
    </w:div>
    <w:div w:id="2060156720">
      <w:bodyDiv w:val="1"/>
      <w:marLeft w:val="0"/>
      <w:marRight w:val="0"/>
      <w:marTop w:val="0"/>
      <w:marBottom w:val="0"/>
      <w:divBdr>
        <w:top w:val="none" w:sz="0" w:space="0" w:color="auto"/>
        <w:left w:val="none" w:sz="0" w:space="0" w:color="auto"/>
        <w:bottom w:val="none" w:sz="0" w:space="0" w:color="auto"/>
        <w:right w:val="none" w:sz="0" w:space="0" w:color="auto"/>
      </w:divBdr>
    </w:div>
    <w:div w:id="2061854939">
      <w:bodyDiv w:val="1"/>
      <w:marLeft w:val="0"/>
      <w:marRight w:val="0"/>
      <w:marTop w:val="0"/>
      <w:marBottom w:val="0"/>
      <w:divBdr>
        <w:top w:val="none" w:sz="0" w:space="0" w:color="auto"/>
        <w:left w:val="none" w:sz="0" w:space="0" w:color="auto"/>
        <w:bottom w:val="none" w:sz="0" w:space="0" w:color="auto"/>
        <w:right w:val="none" w:sz="0" w:space="0" w:color="auto"/>
      </w:divBdr>
    </w:div>
    <w:div w:id="2061972885">
      <w:bodyDiv w:val="1"/>
      <w:marLeft w:val="0"/>
      <w:marRight w:val="0"/>
      <w:marTop w:val="0"/>
      <w:marBottom w:val="0"/>
      <w:divBdr>
        <w:top w:val="none" w:sz="0" w:space="0" w:color="auto"/>
        <w:left w:val="none" w:sz="0" w:space="0" w:color="auto"/>
        <w:bottom w:val="none" w:sz="0" w:space="0" w:color="auto"/>
        <w:right w:val="none" w:sz="0" w:space="0" w:color="auto"/>
      </w:divBdr>
    </w:div>
    <w:div w:id="2062363877">
      <w:bodyDiv w:val="1"/>
      <w:marLeft w:val="0"/>
      <w:marRight w:val="0"/>
      <w:marTop w:val="0"/>
      <w:marBottom w:val="0"/>
      <w:divBdr>
        <w:top w:val="none" w:sz="0" w:space="0" w:color="auto"/>
        <w:left w:val="none" w:sz="0" w:space="0" w:color="auto"/>
        <w:bottom w:val="none" w:sz="0" w:space="0" w:color="auto"/>
        <w:right w:val="none" w:sz="0" w:space="0" w:color="auto"/>
      </w:divBdr>
    </w:div>
    <w:div w:id="2062631341">
      <w:bodyDiv w:val="1"/>
      <w:marLeft w:val="0"/>
      <w:marRight w:val="0"/>
      <w:marTop w:val="0"/>
      <w:marBottom w:val="0"/>
      <w:divBdr>
        <w:top w:val="none" w:sz="0" w:space="0" w:color="auto"/>
        <w:left w:val="none" w:sz="0" w:space="0" w:color="auto"/>
        <w:bottom w:val="none" w:sz="0" w:space="0" w:color="auto"/>
        <w:right w:val="none" w:sz="0" w:space="0" w:color="auto"/>
      </w:divBdr>
    </w:div>
    <w:div w:id="2064132405">
      <w:bodyDiv w:val="1"/>
      <w:marLeft w:val="0"/>
      <w:marRight w:val="0"/>
      <w:marTop w:val="0"/>
      <w:marBottom w:val="0"/>
      <w:divBdr>
        <w:top w:val="none" w:sz="0" w:space="0" w:color="auto"/>
        <w:left w:val="none" w:sz="0" w:space="0" w:color="auto"/>
        <w:bottom w:val="none" w:sz="0" w:space="0" w:color="auto"/>
        <w:right w:val="none" w:sz="0" w:space="0" w:color="auto"/>
      </w:divBdr>
    </w:div>
    <w:div w:id="2064134173">
      <w:bodyDiv w:val="1"/>
      <w:marLeft w:val="0"/>
      <w:marRight w:val="0"/>
      <w:marTop w:val="0"/>
      <w:marBottom w:val="0"/>
      <w:divBdr>
        <w:top w:val="none" w:sz="0" w:space="0" w:color="auto"/>
        <w:left w:val="none" w:sz="0" w:space="0" w:color="auto"/>
        <w:bottom w:val="none" w:sz="0" w:space="0" w:color="auto"/>
        <w:right w:val="none" w:sz="0" w:space="0" w:color="auto"/>
      </w:divBdr>
    </w:div>
    <w:div w:id="2064408302">
      <w:bodyDiv w:val="1"/>
      <w:marLeft w:val="0"/>
      <w:marRight w:val="0"/>
      <w:marTop w:val="0"/>
      <w:marBottom w:val="0"/>
      <w:divBdr>
        <w:top w:val="none" w:sz="0" w:space="0" w:color="auto"/>
        <w:left w:val="none" w:sz="0" w:space="0" w:color="auto"/>
        <w:bottom w:val="none" w:sz="0" w:space="0" w:color="auto"/>
        <w:right w:val="none" w:sz="0" w:space="0" w:color="auto"/>
      </w:divBdr>
    </w:div>
    <w:div w:id="2065174971">
      <w:bodyDiv w:val="1"/>
      <w:marLeft w:val="0"/>
      <w:marRight w:val="0"/>
      <w:marTop w:val="0"/>
      <w:marBottom w:val="0"/>
      <w:divBdr>
        <w:top w:val="none" w:sz="0" w:space="0" w:color="auto"/>
        <w:left w:val="none" w:sz="0" w:space="0" w:color="auto"/>
        <w:bottom w:val="none" w:sz="0" w:space="0" w:color="auto"/>
        <w:right w:val="none" w:sz="0" w:space="0" w:color="auto"/>
      </w:divBdr>
    </w:div>
    <w:div w:id="2066635291">
      <w:bodyDiv w:val="1"/>
      <w:marLeft w:val="0"/>
      <w:marRight w:val="0"/>
      <w:marTop w:val="0"/>
      <w:marBottom w:val="0"/>
      <w:divBdr>
        <w:top w:val="none" w:sz="0" w:space="0" w:color="auto"/>
        <w:left w:val="none" w:sz="0" w:space="0" w:color="auto"/>
        <w:bottom w:val="none" w:sz="0" w:space="0" w:color="auto"/>
        <w:right w:val="none" w:sz="0" w:space="0" w:color="auto"/>
      </w:divBdr>
    </w:div>
    <w:div w:id="2066642842">
      <w:bodyDiv w:val="1"/>
      <w:marLeft w:val="0"/>
      <w:marRight w:val="0"/>
      <w:marTop w:val="0"/>
      <w:marBottom w:val="0"/>
      <w:divBdr>
        <w:top w:val="none" w:sz="0" w:space="0" w:color="auto"/>
        <w:left w:val="none" w:sz="0" w:space="0" w:color="auto"/>
        <w:bottom w:val="none" w:sz="0" w:space="0" w:color="auto"/>
        <w:right w:val="none" w:sz="0" w:space="0" w:color="auto"/>
      </w:divBdr>
    </w:div>
    <w:div w:id="2067758529">
      <w:bodyDiv w:val="1"/>
      <w:marLeft w:val="0"/>
      <w:marRight w:val="0"/>
      <w:marTop w:val="0"/>
      <w:marBottom w:val="0"/>
      <w:divBdr>
        <w:top w:val="none" w:sz="0" w:space="0" w:color="auto"/>
        <w:left w:val="none" w:sz="0" w:space="0" w:color="auto"/>
        <w:bottom w:val="none" w:sz="0" w:space="0" w:color="auto"/>
        <w:right w:val="none" w:sz="0" w:space="0" w:color="auto"/>
      </w:divBdr>
    </w:div>
    <w:div w:id="2067877479">
      <w:bodyDiv w:val="1"/>
      <w:marLeft w:val="0"/>
      <w:marRight w:val="0"/>
      <w:marTop w:val="0"/>
      <w:marBottom w:val="0"/>
      <w:divBdr>
        <w:top w:val="none" w:sz="0" w:space="0" w:color="auto"/>
        <w:left w:val="none" w:sz="0" w:space="0" w:color="auto"/>
        <w:bottom w:val="none" w:sz="0" w:space="0" w:color="auto"/>
        <w:right w:val="none" w:sz="0" w:space="0" w:color="auto"/>
      </w:divBdr>
    </w:div>
    <w:div w:id="2069259734">
      <w:bodyDiv w:val="1"/>
      <w:marLeft w:val="0"/>
      <w:marRight w:val="0"/>
      <w:marTop w:val="0"/>
      <w:marBottom w:val="0"/>
      <w:divBdr>
        <w:top w:val="none" w:sz="0" w:space="0" w:color="auto"/>
        <w:left w:val="none" w:sz="0" w:space="0" w:color="auto"/>
        <w:bottom w:val="none" w:sz="0" w:space="0" w:color="auto"/>
        <w:right w:val="none" w:sz="0" w:space="0" w:color="auto"/>
      </w:divBdr>
    </w:div>
    <w:div w:id="2069961464">
      <w:bodyDiv w:val="1"/>
      <w:marLeft w:val="0"/>
      <w:marRight w:val="0"/>
      <w:marTop w:val="0"/>
      <w:marBottom w:val="0"/>
      <w:divBdr>
        <w:top w:val="none" w:sz="0" w:space="0" w:color="auto"/>
        <w:left w:val="none" w:sz="0" w:space="0" w:color="auto"/>
        <w:bottom w:val="none" w:sz="0" w:space="0" w:color="auto"/>
        <w:right w:val="none" w:sz="0" w:space="0" w:color="auto"/>
      </w:divBdr>
    </w:div>
    <w:div w:id="2070030577">
      <w:bodyDiv w:val="1"/>
      <w:marLeft w:val="0"/>
      <w:marRight w:val="0"/>
      <w:marTop w:val="0"/>
      <w:marBottom w:val="0"/>
      <w:divBdr>
        <w:top w:val="none" w:sz="0" w:space="0" w:color="auto"/>
        <w:left w:val="none" w:sz="0" w:space="0" w:color="auto"/>
        <w:bottom w:val="none" w:sz="0" w:space="0" w:color="auto"/>
        <w:right w:val="none" w:sz="0" w:space="0" w:color="auto"/>
      </w:divBdr>
    </w:div>
    <w:div w:id="2072918647">
      <w:bodyDiv w:val="1"/>
      <w:marLeft w:val="0"/>
      <w:marRight w:val="0"/>
      <w:marTop w:val="0"/>
      <w:marBottom w:val="0"/>
      <w:divBdr>
        <w:top w:val="none" w:sz="0" w:space="0" w:color="auto"/>
        <w:left w:val="none" w:sz="0" w:space="0" w:color="auto"/>
        <w:bottom w:val="none" w:sz="0" w:space="0" w:color="auto"/>
        <w:right w:val="none" w:sz="0" w:space="0" w:color="auto"/>
      </w:divBdr>
    </w:div>
    <w:div w:id="2073043076">
      <w:bodyDiv w:val="1"/>
      <w:marLeft w:val="0"/>
      <w:marRight w:val="0"/>
      <w:marTop w:val="0"/>
      <w:marBottom w:val="0"/>
      <w:divBdr>
        <w:top w:val="none" w:sz="0" w:space="0" w:color="auto"/>
        <w:left w:val="none" w:sz="0" w:space="0" w:color="auto"/>
        <w:bottom w:val="none" w:sz="0" w:space="0" w:color="auto"/>
        <w:right w:val="none" w:sz="0" w:space="0" w:color="auto"/>
      </w:divBdr>
    </w:div>
    <w:div w:id="2073116293">
      <w:bodyDiv w:val="1"/>
      <w:marLeft w:val="0"/>
      <w:marRight w:val="0"/>
      <w:marTop w:val="0"/>
      <w:marBottom w:val="0"/>
      <w:divBdr>
        <w:top w:val="none" w:sz="0" w:space="0" w:color="auto"/>
        <w:left w:val="none" w:sz="0" w:space="0" w:color="auto"/>
        <w:bottom w:val="none" w:sz="0" w:space="0" w:color="auto"/>
        <w:right w:val="none" w:sz="0" w:space="0" w:color="auto"/>
      </w:divBdr>
    </w:div>
    <w:div w:id="2073388024">
      <w:bodyDiv w:val="1"/>
      <w:marLeft w:val="0"/>
      <w:marRight w:val="0"/>
      <w:marTop w:val="0"/>
      <w:marBottom w:val="0"/>
      <w:divBdr>
        <w:top w:val="none" w:sz="0" w:space="0" w:color="auto"/>
        <w:left w:val="none" w:sz="0" w:space="0" w:color="auto"/>
        <w:bottom w:val="none" w:sz="0" w:space="0" w:color="auto"/>
        <w:right w:val="none" w:sz="0" w:space="0" w:color="auto"/>
      </w:divBdr>
    </w:div>
    <w:div w:id="2073501665">
      <w:bodyDiv w:val="1"/>
      <w:marLeft w:val="0"/>
      <w:marRight w:val="0"/>
      <w:marTop w:val="0"/>
      <w:marBottom w:val="0"/>
      <w:divBdr>
        <w:top w:val="none" w:sz="0" w:space="0" w:color="auto"/>
        <w:left w:val="none" w:sz="0" w:space="0" w:color="auto"/>
        <w:bottom w:val="none" w:sz="0" w:space="0" w:color="auto"/>
        <w:right w:val="none" w:sz="0" w:space="0" w:color="auto"/>
      </w:divBdr>
    </w:div>
    <w:div w:id="2074038340">
      <w:bodyDiv w:val="1"/>
      <w:marLeft w:val="0"/>
      <w:marRight w:val="0"/>
      <w:marTop w:val="0"/>
      <w:marBottom w:val="0"/>
      <w:divBdr>
        <w:top w:val="none" w:sz="0" w:space="0" w:color="auto"/>
        <w:left w:val="none" w:sz="0" w:space="0" w:color="auto"/>
        <w:bottom w:val="none" w:sz="0" w:space="0" w:color="auto"/>
        <w:right w:val="none" w:sz="0" w:space="0" w:color="auto"/>
      </w:divBdr>
    </w:div>
    <w:div w:id="2074808722">
      <w:bodyDiv w:val="1"/>
      <w:marLeft w:val="0"/>
      <w:marRight w:val="0"/>
      <w:marTop w:val="0"/>
      <w:marBottom w:val="0"/>
      <w:divBdr>
        <w:top w:val="none" w:sz="0" w:space="0" w:color="auto"/>
        <w:left w:val="none" w:sz="0" w:space="0" w:color="auto"/>
        <w:bottom w:val="none" w:sz="0" w:space="0" w:color="auto"/>
        <w:right w:val="none" w:sz="0" w:space="0" w:color="auto"/>
      </w:divBdr>
    </w:div>
    <w:div w:id="2074962805">
      <w:bodyDiv w:val="1"/>
      <w:marLeft w:val="0"/>
      <w:marRight w:val="0"/>
      <w:marTop w:val="0"/>
      <w:marBottom w:val="0"/>
      <w:divBdr>
        <w:top w:val="none" w:sz="0" w:space="0" w:color="auto"/>
        <w:left w:val="none" w:sz="0" w:space="0" w:color="auto"/>
        <w:bottom w:val="none" w:sz="0" w:space="0" w:color="auto"/>
        <w:right w:val="none" w:sz="0" w:space="0" w:color="auto"/>
      </w:divBdr>
    </w:div>
    <w:div w:id="2075664359">
      <w:bodyDiv w:val="1"/>
      <w:marLeft w:val="0"/>
      <w:marRight w:val="0"/>
      <w:marTop w:val="0"/>
      <w:marBottom w:val="0"/>
      <w:divBdr>
        <w:top w:val="none" w:sz="0" w:space="0" w:color="auto"/>
        <w:left w:val="none" w:sz="0" w:space="0" w:color="auto"/>
        <w:bottom w:val="none" w:sz="0" w:space="0" w:color="auto"/>
        <w:right w:val="none" w:sz="0" w:space="0" w:color="auto"/>
      </w:divBdr>
    </w:div>
    <w:div w:id="2076079143">
      <w:bodyDiv w:val="1"/>
      <w:marLeft w:val="0"/>
      <w:marRight w:val="0"/>
      <w:marTop w:val="0"/>
      <w:marBottom w:val="0"/>
      <w:divBdr>
        <w:top w:val="none" w:sz="0" w:space="0" w:color="auto"/>
        <w:left w:val="none" w:sz="0" w:space="0" w:color="auto"/>
        <w:bottom w:val="none" w:sz="0" w:space="0" w:color="auto"/>
        <w:right w:val="none" w:sz="0" w:space="0" w:color="auto"/>
      </w:divBdr>
    </w:div>
    <w:div w:id="2077044688">
      <w:bodyDiv w:val="1"/>
      <w:marLeft w:val="0"/>
      <w:marRight w:val="0"/>
      <w:marTop w:val="0"/>
      <w:marBottom w:val="0"/>
      <w:divBdr>
        <w:top w:val="none" w:sz="0" w:space="0" w:color="auto"/>
        <w:left w:val="none" w:sz="0" w:space="0" w:color="auto"/>
        <w:bottom w:val="none" w:sz="0" w:space="0" w:color="auto"/>
        <w:right w:val="none" w:sz="0" w:space="0" w:color="auto"/>
      </w:divBdr>
    </w:div>
    <w:div w:id="2078017931">
      <w:bodyDiv w:val="1"/>
      <w:marLeft w:val="0"/>
      <w:marRight w:val="0"/>
      <w:marTop w:val="0"/>
      <w:marBottom w:val="0"/>
      <w:divBdr>
        <w:top w:val="none" w:sz="0" w:space="0" w:color="auto"/>
        <w:left w:val="none" w:sz="0" w:space="0" w:color="auto"/>
        <w:bottom w:val="none" w:sz="0" w:space="0" w:color="auto"/>
        <w:right w:val="none" w:sz="0" w:space="0" w:color="auto"/>
      </w:divBdr>
    </w:div>
    <w:div w:id="2078286646">
      <w:bodyDiv w:val="1"/>
      <w:marLeft w:val="0"/>
      <w:marRight w:val="0"/>
      <w:marTop w:val="0"/>
      <w:marBottom w:val="0"/>
      <w:divBdr>
        <w:top w:val="none" w:sz="0" w:space="0" w:color="auto"/>
        <w:left w:val="none" w:sz="0" w:space="0" w:color="auto"/>
        <w:bottom w:val="none" w:sz="0" w:space="0" w:color="auto"/>
        <w:right w:val="none" w:sz="0" w:space="0" w:color="auto"/>
      </w:divBdr>
    </w:div>
    <w:div w:id="2078673082">
      <w:bodyDiv w:val="1"/>
      <w:marLeft w:val="0"/>
      <w:marRight w:val="0"/>
      <w:marTop w:val="0"/>
      <w:marBottom w:val="0"/>
      <w:divBdr>
        <w:top w:val="none" w:sz="0" w:space="0" w:color="auto"/>
        <w:left w:val="none" w:sz="0" w:space="0" w:color="auto"/>
        <w:bottom w:val="none" w:sz="0" w:space="0" w:color="auto"/>
        <w:right w:val="none" w:sz="0" w:space="0" w:color="auto"/>
      </w:divBdr>
    </w:div>
    <w:div w:id="2079472069">
      <w:bodyDiv w:val="1"/>
      <w:marLeft w:val="0"/>
      <w:marRight w:val="0"/>
      <w:marTop w:val="0"/>
      <w:marBottom w:val="0"/>
      <w:divBdr>
        <w:top w:val="none" w:sz="0" w:space="0" w:color="auto"/>
        <w:left w:val="none" w:sz="0" w:space="0" w:color="auto"/>
        <w:bottom w:val="none" w:sz="0" w:space="0" w:color="auto"/>
        <w:right w:val="none" w:sz="0" w:space="0" w:color="auto"/>
      </w:divBdr>
    </w:div>
    <w:div w:id="2080401138">
      <w:bodyDiv w:val="1"/>
      <w:marLeft w:val="0"/>
      <w:marRight w:val="0"/>
      <w:marTop w:val="0"/>
      <w:marBottom w:val="0"/>
      <w:divBdr>
        <w:top w:val="none" w:sz="0" w:space="0" w:color="auto"/>
        <w:left w:val="none" w:sz="0" w:space="0" w:color="auto"/>
        <w:bottom w:val="none" w:sz="0" w:space="0" w:color="auto"/>
        <w:right w:val="none" w:sz="0" w:space="0" w:color="auto"/>
      </w:divBdr>
    </w:div>
    <w:div w:id="2080707766">
      <w:bodyDiv w:val="1"/>
      <w:marLeft w:val="0"/>
      <w:marRight w:val="0"/>
      <w:marTop w:val="0"/>
      <w:marBottom w:val="0"/>
      <w:divBdr>
        <w:top w:val="none" w:sz="0" w:space="0" w:color="auto"/>
        <w:left w:val="none" w:sz="0" w:space="0" w:color="auto"/>
        <w:bottom w:val="none" w:sz="0" w:space="0" w:color="auto"/>
        <w:right w:val="none" w:sz="0" w:space="0" w:color="auto"/>
      </w:divBdr>
    </w:div>
    <w:div w:id="2082174917">
      <w:bodyDiv w:val="1"/>
      <w:marLeft w:val="0"/>
      <w:marRight w:val="0"/>
      <w:marTop w:val="0"/>
      <w:marBottom w:val="0"/>
      <w:divBdr>
        <w:top w:val="none" w:sz="0" w:space="0" w:color="auto"/>
        <w:left w:val="none" w:sz="0" w:space="0" w:color="auto"/>
        <w:bottom w:val="none" w:sz="0" w:space="0" w:color="auto"/>
        <w:right w:val="none" w:sz="0" w:space="0" w:color="auto"/>
      </w:divBdr>
    </w:div>
    <w:div w:id="2082218703">
      <w:bodyDiv w:val="1"/>
      <w:marLeft w:val="0"/>
      <w:marRight w:val="0"/>
      <w:marTop w:val="0"/>
      <w:marBottom w:val="0"/>
      <w:divBdr>
        <w:top w:val="none" w:sz="0" w:space="0" w:color="auto"/>
        <w:left w:val="none" w:sz="0" w:space="0" w:color="auto"/>
        <w:bottom w:val="none" w:sz="0" w:space="0" w:color="auto"/>
        <w:right w:val="none" w:sz="0" w:space="0" w:color="auto"/>
      </w:divBdr>
    </w:div>
    <w:div w:id="2082831662">
      <w:bodyDiv w:val="1"/>
      <w:marLeft w:val="0"/>
      <w:marRight w:val="0"/>
      <w:marTop w:val="0"/>
      <w:marBottom w:val="0"/>
      <w:divBdr>
        <w:top w:val="none" w:sz="0" w:space="0" w:color="auto"/>
        <w:left w:val="none" w:sz="0" w:space="0" w:color="auto"/>
        <w:bottom w:val="none" w:sz="0" w:space="0" w:color="auto"/>
        <w:right w:val="none" w:sz="0" w:space="0" w:color="auto"/>
      </w:divBdr>
    </w:div>
    <w:div w:id="2083284451">
      <w:bodyDiv w:val="1"/>
      <w:marLeft w:val="0"/>
      <w:marRight w:val="0"/>
      <w:marTop w:val="0"/>
      <w:marBottom w:val="0"/>
      <w:divBdr>
        <w:top w:val="none" w:sz="0" w:space="0" w:color="auto"/>
        <w:left w:val="none" w:sz="0" w:space="0" w:color="auto"/>
        <w:bottom w:val="none" w:sz="0" w:space="0" w:color="auto"/>
        <w:right w:val="none" w:sz="0" w:space="0" w:color="auto"/>
      </w:divBdr>
    </w:div>
    <w:div w:id="2083597230">
      <w:bodyDiv w:val="1"/>
      <w:marLeft w:val="0"/>
      <w:marRight w:val="0"/>
      <w:marTop w:val="0"/>
      <w:marBottom w:val="0"/>
      <w:divBdr>
        <w:top w:val="none" w:sz="0" w:space="0" w:color="auto"/>
        <w:left w:val="none" w:sz="0" w:space="0" w:color="auto"/>
        <w:bottom w:val="none" w:sz="0" w:space="0" w:color="auto"/>
        <w:right w:val="none" w:sz="0" w:space="0" w:color="auto"/>
      </w:divBdr>
    </w:div>
    <w:div w:id="2086561293">
      <w:bodyDiv w:val="1"/>
      <w:marLeft w:val="0"/>
      <w:marRight w:val="0"/>
      <w:marTop w:val="0"/>
      <w:marBottom w:val="0"/>
      <w:divBdr>
        <w:top w:val="none" w:sz="0" w:space="0" w:color="auto"/>
        <w:left w:val="none" w:sz="0" w:space="0" w:color="auto"/>
        <w:bottom w:val="none" w:sz="0" w:space="0" w:color="auto"/>
        <w:right w:val="none" w:sz="0" w:space="0" w:color="auto"/>
      </w:divBdr>
    </w:div>
    <w:div w:id="2086756799">
      <w:bodyDiv w:val="1"/>
      <w:marLeft w:val="0"/>
      <w:marRight w:val="0"/>
      <w:marTop w:val="0"/>
      <w:marBottom w:val="0"/>
      <w:divBdr>
        <w:top w:val="none" w:sz="0" w:space="0" w:color="auto"/>
        <w:left w:val="none" w:sz="0" w:space="0" w:color="auto"/>
        <w:bottom w:val="none" w:sz="0" w:space="0" w:color="auto"/>
        <w:right w:val="none" w:sz="0" w:space="0" w:color="auto"/>
      </w:divBdr>
    </w:div>
    <w:div w:id="2086954369">
      <w:bodyDiv w:val="1"/>
      <w:marLeft w:val="0"/>
      <w:marRight w:val="0"/>
      <w:marTop w:val="0"/>
      <w:marBottom w:val="0"/>
      <w:divBdr>
        <w:top w:val="none" w:sz="0" w:space="0" w:color="auto"/>
        <w:left w:val="none" w:sz="0" w:space="0" w:color="auto"/>
        <w:bottom w:val="none" w:sz="0" w:space="0" w:color="auto"/>
        <w:right w:val="none" w:sz="0" w:space="0" w:color="auto"/>
      </w:divBdr>
    </w:div>
    <w:div w:id="2088185993">
      <w:bodyDiv w:val="1"/>
      <w:marLeft w:val="0"/>
      <w:marRight w:val="0"/>
      <w:marTop w:val="0"/>
      <w:marBottom w:val="0"/>
      <w:divBdr>
        <w:top w:val="none" w:sz="0" w:space="0" w:color="auto"/>
        <w:left w:val="none" w:sz="0" w:space="0" w:color="auto"/>
        <w:bottom w:val="none" w:sz="0" w:space="0" w:color="auto"/>
        <w:right w:val="none" w:sz="0" w:space="0" w:color="auto"/>
      </w:divBdr>
    </w:div>
    <w:div w:id="2089955541">
      <w:bodyDiv w:val="1"/>
      <w:marLeft w:val="0"/>
      <w:marRight w:val="0"/>
      <w:marTop w:val="0"/>
      <w:marBottom w:val="0"/>
      <w:divBdr>
        <w:top w:val="none" w:sz="0" w:space="0" w:color="auto"/>
        <w:left w:val="none" w:sz="0" w:space="0" w:color="auto"/>
        <w:bottom w:val="none" w:sz="0" w:space="0" w:color="auto"/>
        <w:right w:val="none" w:sz="0" w:space="0" w:color="auto"/>
      </w:divBdr>
    </w:div>
    <w:div w:id="2090537687">
      <w:bodyDiv w:val="1"/>
      <w:marLeft w:val="0"/>
      <w:marRight w:val="0"/>
      <w:marTop w:val="0"/>
      <w:marBottom w:val="0"/>
      <w:divBdr>
        <w:top w:val="none" w:sz="0" w:space="0" w:color="auto"/>
        <w:left w:val="none" w:sz="0" w:space="0" w:color="auto"/>
        <w:bottom w:val="none" w:sz="0" w:space="0" w:color="auto"/>
        <w:right w:val="none" w:sz="0" w:space="0" w:color="auto"/>
      </w:divBdr>
    </w:div>
    <w:div w:id="2090733178">
      <w:bodyDiv w:val="1"/>
      <w:marLeft w:val="0"/>
      <w:marRight w:val="0"/>
      <w:marTop w:val="0"/>
      <w:marBottom w:val="0"/>
      <w:divBdr>
        <w:top w:val="none" w:sz="0" w:space="0" w:color="auto"/>
        <w:left w:val="none" w:sz="0" w:space="0" w:color="auto"/>
        <w:bottom w:val="none" w:sz="0" w:space="0" w:color="auto"/>
        <w:right w:val="none" w:sz="0" w:space="0" w:color="auto"/>
      </w:divBdr>
    </w:div>
    <w:div w:id="2091198359">
      <w:bodyDiv w:val="1"/>
      <w:marLeft w:val="0"/>
      <w:marRight w:val="0"/>
      <w:marTop w:val="0"/>
      <w:marBottom w:val="0"/>
      <w:divBdr>
        <w:top w:val="none" w:sz="0" w:space="0" w:color="auto"/>
        <w:left w:val="none" w:sz="0" w:space="0" w:color="auto"/>
        <w:bottom w:val="none" w:sz="0" w:space="0" w:color="auto"/>
        <w:right w:val="none" w:sz="0" w:space="0" w:color="auto"/>
      </w:divBdr>
    </w:div>
    <w:div w:id="2091270804">
      <w:bodyDiv w:val="1"/>
      <w:marLeft w:val="0"/>
      <w:marRight w:val="0"/>
      <w:marTop w:val="0"/>
      <w:marBottom w:val="0"/>
      <w:divBdr>
        <w:top w:val="none" w:sz="0" w:space="0" w:color="auto"/>
        <w:left w:val="none" w:sz="0" w:space="0" w:color="auto"/>
        <w:bottom w:val="none" w:sz="0" w:space="0" w:color="auto"/>
        <w:right w:val="none" w:sz="0" w:space="0" w:color="auto"/>
      </w:divBdr>
    </w:div>
    <w:div w:id="2091270971">
      <w:bodyDiv w:val="1"/>
      <w:marLeft w:val="0"/>
      <w:marRight w:val="0"/>
      <w:marTop w:val="0"/>
      <w:marBottom w:val="0"/>
      <w:divBdr>
        <w:top w:val="none" w:sz="0" w:space="0" w:color="auto"/>
        <w:left w:val="none" w:sz="0" w:space="0" w:color="auto"/>
        <w:bottom w:val="none" w:sz="0" w:space="0" w:color="auto"/>
        <w:right w:val="none" w:sz="0" w:space="0" w:color="auto"/>
      </w:divBdr>
    </w:div>
    <w:div w:id="2091345811">
      <w:bodyDiv w:val="1"/>
      <w:marLeft w:val="0"/>
      <w:marRight w:val="0"/>
      <w:marTop w:val="0"/>
      <w:marBottom w:val="0"/>
      <w:divBdr>
        <w:top w:val="none" w:sz="0" w:space="0" w:color="auto"/>
        <w:left w:val="none" w:sz="0" w:space="0" w:color="auto"/>
        <w:bottom w:val="none" w:sz="0" w:space="0" w:color="auto"/>
        <w:right w:val="none" w:sz="0" w:space="0" w:color="auto"/>
      </w:divBdr>
    </w:div>
    <w:div w:id="2093238078">
      <w:bodyDiv w:val="1"/>
      <w:marLeft w:val="0"/>
      <w:marRight w:val="0"/>
      <w:marTop w:val="0"/>
      <w:marBottom w:val="0"/>
      <w:divBdr>
        <w:top w:val="none" w:sz="0" w:space="0" w:color="auto"/>
        <w:left w:val="none" w:sz="0" w:space="0" w:color="auto"/>
        <w:bottom w:val="none" w:sz="0" w:space="0" w:color="auto"/>
        <w:right w:val="none" w:sz="0" w:space="0" w:color="auto"/>
      </w:divBdr>
    </w:div>
    <w:div w:id="2093701238">
      <w:bodyDiv w:val="1"/>
      <w:marLeft w:val="0"/>
      <w:marRight w:val="0"/>
      <w:marTop w:val="0"/>
      <w:marBottom w:val="0"/>
      <w:divBdr>
        <w:top w:val="none" w:sz="0" w:space="0" w:color="auto"/>
        <w:left w:val="none" w:sz="0" w:space="0" w:color="auto"/>
        <w:bottom w:val="none" w:sz="0" w:space="0" w:color="auto"/>
        <w:right w:val="none" w:sz="0" w:space="0" w:color="auto"/>
      </w:divBdr>
    </w:div>
    <w:div w:id="2093889591">
      <w:bodyDiv w:val="1"/>
      <w:marLeft w:val="0"/>
      <w:marRight w:val="0"/>
      <w:marTop w:val="0"/>
      <w:marBottom w:val="0"/>
      <w:divBdr>
        <w:top w:val="none" w:sz="0" w:space="0" w:color="auto"/>
        <w:left w:val="none" w:sz="0" w:space="0" w:color="auto"/>
        <w:bottom w:val="none" w:sz="0" w:space="0" w:color="auto"/>
        <w:right w:val="none" w:sz="0" w:space="0" w:color="auto"/>
      </w:divBdr>
    </w:div>
    <w:div w:id="2094428724">
      <w:bodyDiv w:val="1"/>
      <w:marLeft w:val="0"/>
      <w:marRight w:val="0"/>
      <w:marTop w:val="0"/>
      <w:marBottom w:val="0"/>
      <w:divBdr>
        <w:top w:val="none" w:sz="0" w:space="0" w:color="auto"/>
        <w:left w:val="none" w:sz="0" w:space="0" w:color="auto"/>
        <w:bottom w:val="none" w:sz="0" w:space="0" w:color="auto"/>
        <w:right w:val="none" w:sz="0" w:space="0" w:color="auto"/>
      </w:divBdr>
    </w:div>
    <w:div w:id="2095348923">
      <w:bodyDiv w:val="1"/>
      <w:marLeft w:val="0"/>
      <w:marRight w:val="0"/>
      <w:marTop w:val="0"/>
      <w:marBottom w:val="0"/>
      <w:divBdr>
        <w:top w:val="none" w:sz="0" w:space="0" w:color="auto"/>
        <w:left w:val="none" w:sz="0" w:space="0" w:color="auto"/>
        <w:bottom w:val="none" w:sz="0" w:space="0" w:color="auto"/>
        <w:right w:val="none" w:sz="0" w:space="0" w:color="auto"/>
      </w:divBdr>
    </w:div>
    <w:div w:id="2095474251">
      <w:bodyDiv w:val="1"/>
      <w:marLeft w:val="0"/>
      <w:marRight w:val="0"/>
      <w:marTop w:val="0"/>
      <w:marBottom w:val="0"/>
      <w:divBdr>
        <w:top w:val="none" w:sz="0" w:space="0" w:color="auto"/>
        <w:left w:val="none" w:sz="0" w:space="0" w:color="auto"/>
        <w:bottom w:val="none" w:sz="0" w:space="0" w:color="auto"/>
        <w:right w:val="none" w:sz="0" w:space="0" w:color="auto"/>
      </w:divBdr>
    </w:div>
    <w:div w:id="2096199771">
      <w:bodyDiv w:val="1"/>
      <w:marLeft w:val="0"/>
      <w:marRight w:val="0"/>
      <w:marTop w:val="0"/>
      <w:marBottom w:val="0"/>
      <w:divBdr>
        <w:top w:val="none" w:sz="0" w:space="0" w:color="auto"/>
        <w:left w:val="none" w:sz="0" w:space="0" w:color="auto"/>
        <w:bottom w:val="none" w:sz="0" w:space="0" w:color="auto"/>
        <w:right w:val="none" w:sz="0" w:space="0" w:color="auto"/>
      </w:divBdr>
    </w:div>
    <w:div w:id="2096974367">
      <w:bodyDiv w:val="1"/>
      <w:marLeft w:val="0"/>
      <w:marRight w:val="0"/>
      <w:marTop w:val="0"/>
      <w:marBottom w:val="0"/>
      <w:divBdr>
        <w:top w:val="none" w:sz="0" w:space="0" w:color="auto"/>
        <w:left w:val="none" w:sz="0" w:space="0" w:color="auto"/>
        <w:bottom w:val="none" w:sz="0" w:space="0" w:color="auto"/>
        <w:right w:val="none" w:sz="0" w:space="0" w:color="auto"/>
      </w:divBdr>
    </w:div>
    <w:div w:id="2097625462">
      <w:bodyDiv w:val="1"/>
      <w:marLeft w:val="0"/>
      <w:marRight w:val="0"/>
      <w:marTop w:val="0"/>
      <w:marBottom w:val="0"/>
      <w:divBdr>
        <w:top w:val="none" w:sz="0" w:space="0" w:color="auto"/>
        <w:left w:val="none" w:sz="0" w:space="0" w:color="auto"/>
        <w:bottom w:val="none" w:sz="0" w:space="0" w:color="auto"/>
        <w:right w:val="none" w:sz="0" w:space="0" w:color="auto"/>
      </w:divBdr>
    </w:div>
    <w:div w:id="2097744228">
      <w:bodyDiv w:val="1"/>
      <w:marLeft w:val="0"/>
      <w:marRight w:val="0"/>
      <w:marTop w:val="0"/>
      <w:marBottom w:val="0"/>
      <w:divBdr>
        <w:top w:val="none" w:sz="0" w:space="0" w:color="auto"/>
        <w:left w:val="none" w:sz="0" w:space="0" w:color="auto"/>
        <w:bottom w:val="none" w:sz="0" w:space="0" w:color="auto"/>
        <w:right w:val="none" w:sz="0" w:space="0" w:color="auto"/>
      </w:divBdr>
    </w:div>
    <w:div w:id="2097943312">
      <w:bodyDiv w:val="1"/>
      <w:marLeft w:val="0"/>
      <w:marRight w:val="0"/>
      <w:marTop w:val="0"/>
      <w:marBottom w:val="0"/>
      <w:divBdr>
        <w:top w:val="none" w:sz="0" w:space="0" w:color="auto"/>
        <w:left w:val="none" w:sz="0" w:space="0" w:color="auto"/>
        <w:bottom w:val="none" w:sz="0" w:space="0" w:color="auto"/>
        <w:right w:val="none" w:sz="0" w:space="0" w:color="auto"/>
      </w:divBdr>
    </w:div>
    <w:div w:id="2098281357">
      <w:bodyDiv w:val="1"/>
      <w:marLeft w:val="0"/>
      <w:marRight w:val="0"/>
      <w:marTop w:val="0"/>
      <w:marBottom w:val="0"/>
      <w:divBdr>
        <w:top w:val="none" w:sz="0" w:space="0" w:color="auto"/>
        <w:left w:val="none" w:sz="0" w:space="0" w:color="auto"/>
        <w:bottom w:val="none" w:sz="0" w:space="0" w:color="auto"/>
        <w:right w:val="none" w:sz="0" w:space="0" w:color="auto"/>
      </w:divBdr>
    </w:div>
    <w:div w:id="2098283838">
      <w:bodyDiv w:val="1"/>
      <w:marLeft w:val="0"/>
      <w:marRight w:val="0"/>
      <w:marTop w:val="0"/>
      <w:marBottom w:val="0"/>
      <w:divBdr>
        <w:top w:val="none" w:sz="0" w:space="0" w:color="auto"/>
        <w:left w:val="none" w:sz="0" w:space="0" w:color="auto"/>
        <w:bottom w:val="none" w:sz="0" w:space="0" w:color="auto"/>
        <w:right w:val="none" w:sz="0" w:space="0" w:color="auto"/>
      </w:divBdr>
    </w:div>
    <w:div w:id="2098359590">
      <w:bodyDiv w:val="1"/>
      <w:marLeft w:val="0"/>
      <w:marRight w:val="0"/>
      <w:marTop w:val="0"/>
      <w:marBottom w:val="0"/>
      <w:divBdr>
        <w:top w:val="none" w:sz="0" w:space="0" w:color="auto"/>
        <w:left w:val="none" w:sz="0" w:space="0" w:color="auto"/>
        <w:bottom w:val="none" w:sz="0" w:space="0" w:color="auto"/>
        <w:right w:val="none" w:sz="0" w:space="0" w:color="auto"/>
      </w:divBdr>
    </w:div>
    <w:div w:id="2098939454">
      <w:bodyDiv w:val="1"/>
      <w:marLeft w:val="0"/>
      <w:marRight w:val="0"/>
      <w:marTop w:val="0"/>
      <w:marBottom w:val="0"/>
      <w:divBdr>
        <w:top w:val="none" w:sz="0" w:space="0" w:color="auto"/>
        <w:left w:val="none" w:sz="0" w:space="0" w:color="auto"/>
        <w:bottom w:val="none" w:sz="0" w:space="0" w:color="auto"/>
        <w:right w:val="none" w:sz="0" w:space="0" w:color="auto"/>
      </w:divBdr>
    </w:div>
    <w:div w:id="2099862823">
      <w:bodyDiv w:val="1"/>
      <w:marLeft w:val="0"/>
      <w:marRight w:val="0"/>
      <w:marTop w:val="0"/>
      <w:marBottom w:val="0"/>
      <w:divBdr>
        <w:top w:val="none" w:sz="0" w:space="0" w:color="auto"/>
        <w:left w:val="none" w:sz="0" w:space="0" w:color="auto"/>
        <w:bottom w:val="none" w:sz="0" w:space="0" w:color="auto"/>
        <w:right w:val="none" w:sz="0" w:space="0" w:color="auto"/>
      </w:divBdr>
    </w:div>
    <w:div w:id="2100521999">
      <w:bodyDiv w:val="1"/>
      <w:marLeft w:val="0"/>
      <w:marRight w:val="0"/>
      <w:marTop w:val="0"/>
      <w:marBottom w:val="0"/>
      <w:divBdr>
        <w:top w:val="none" w:sz="0" w:space="0" w:color="auto"/>
        <w:left w:val="none" w:sz="0" w:space="0" w:color="auto"/>
        <w:bottom w:val="none" w:sz="0" w:space="0" w:color="auto"/>
        <w:right w:val="none" w:sz="0" w:space="0" w:color="auto"/>
      </w:divBdr>
    </w:div>
    <w:div w:id="2100589769">
      <w:bodyDiv w:val="1"/>
      <w:marLeft w:val="0"/>
      <w:marRight w:val="0"/>
      <w:marTop w:val="0"/>
      <w:marBottom w:val="0"/>
      <w:divBdr>
        <w:top w:val="none" w:sz="0" w:space="0" w:color="auto"/>
        <w:left w:val="none" w:sz="0" w:space="0" w:color="auto"/>
        <w:bottom w:val="none" w:sz="0" w:space="0" w:color="auto"/>
        <w:right w:val="none" w:sz="0" w:space="0" w:color="auto"/>
      </w:divBdr>
    </w:div>
    <w:div w:id="2100831679">
      <w:bodyDiv w:val="1"/>
      <w:marLeft w:val="0"/>
      <w:marRight w:val="0"/>
      <w:marTop w:val="0"/>
      <w:marBottom w:val="0"/>
      <w:divBdr>
        <w:top w:val="none" w:sz="0" w:space="0" w:color="auto"/>
        <w:left w:val="none" w:sz="0" w:space="0" w:color="auto"/>
        <w:bottom w:val="none" w:sz="0" w:space="0" w:color="auto"/>
        <w:right w:val="none" w:sz="0" w:space="0" w:color="auto"/>
      </w:divBdr>
    </w:div>
    <w:div w:id="2100905189">
      <w:bodyDiv w:val="1"/>
      <w:marLeft w:val="0"/>
      <w:marRight w:val="0"/>
      <w:marTop w:val="0"/>
      <w:marBottom w:val="0"/>
      <w:divBdr>
        <w:top w:val="none" w:sz="0" w:space="0" w:color="auto"/>
        <w:left w:val="none" w:sz="0" w:space="0" w:color="auto"/>
        <w:bottom w:val="none" w:sz="0" w:space="0" w:color="auto"/>
        <w:right w:val="none" w:sz="0" w:space="0" w:color="auto"/>
      </w:divBdr>
    </w:div>
    <w:div w:id="2101295648">
      <w:bodyDiv w:val="1"/>
      <w:marLeft w:val="0"/>
      <w:marRight w:val="0"/>
      <w:marTop w:val="0"/>
      <w:marBottom w:val="0"/>
      <w:divBdr>
        <w:top w:val="none" w:sz="0" w:space="0" w:color="auto"/>
        <w:left w:val="none" w:sz="0" w:space="0" w:color="auto"/>
        <w:bottom w:val="none" w:sz="0" w:space="0" w:color="auto"/>
        <w:right w:val="none" w:sz="0" w:space="0" w:color="auto"/>
      </w:divBdr>
    </w:div>
    <w:div w:id="2102951297">
      <w:bodyDiv w:val="1"/>
      <w:marLeft w:val="0"/>
      <w:marRight w:val="0"/>
      <w:marTop w:val="0"/>
      <w:marBottom w:val="0"/>
      <w:divBdr>
        <w:top w:val="none" w:sz="0" w:space="0" w:color="auto"/>
        <w:left w:val="none" w:sz="0" w:space="0" w:color="auto"/>
        <w:bottom w:val="none" w:sz="0" w:space="0" w:color="auto"/>
        <w:right w:val="none" w:sz="0" w:space="0" w:color="auto"/>
      </w:divBdr>
    </w:div>
    <w:div w:id="2104060046">
      <w:bodyDiv w:val="1"/>
      <w:marLeft w:val="0"/>
      <w:marRight w:val="0"/>
      <w:marTop w:val="0"/>
      <w:marBottom w:val="0"/>
      <w:divBdr>
        <w:top w:val="none" w:sz="0" w:space="0" w:color="auto"/>
        <w:left w:val="none" w:sz="0" w:space="0" w:color="auto"/>
        <w:bottom w:val="none" w:sz="0" w:space="0" w:color="auto"/>
        <w:right w:val="none" w:sz="0" w:space="0" w:color="auto"/>
      </w:divBdr>
    </w:div>
    <w:div w:id="2104063037">
      <w:bodyDiv w:val="1"/>
      <w:marLeft w:val="0"/>
      <w:marRight w:val="0"/>
      <w:marTop w:val="0"/>
      <w:marBottom w:val="0"/>
      <w:divBdr>
        <w:top w:val="none" w:sz="0" w:space="0" w:color="auto"/>
        <w:left w:val="none" w:sz="0" w:space="0" w:color="auto"/>
        <w:bottom w:val="none" w:sz="0" w:space="0" w:color="auto"/>
        <w:right w:val="none" w:sz="0" w:space="0" w:color="auto"/>
      </w:divBdr>
    </w:div>
    <w:div w:id="2105031642">
      <w:bodyDiv w:val="1"/>
      <w:marLeft w:val="0"/>
      <w:marRight w:val="0"/>
      <w:marTop w:val="0"/>
      <w:marBottom w:val="0"/>
      <w:divBdr>
        <w:top w:val="none" w:sz="0" w:space="0" w:color="auto"/>
        <w:left w:val="none" w:sz="0" w:space="0" w:color="auto"/>
        <w:bottom w:val="none" w:sz="0" w:space="0" w:color="auto"/>
        <w:right w:val="none" w:sz="0" w:space="0" w:color="auto"/>
      </w:divBdr>
    </w:div>
    <w:div w:id="2105370983">
      <w:bodyDiv w:val="1"/>
      <w:marLeft w:val="0"/>
      <w:marRight w:val="0"/>
      <w:marTop w:val="0"/>
      <w:marBottom w:val="0"/>
      <w:divBdr>
        <w:top w:val="none" w:sz="0" w:space="0" w:color="auto"/>
        <w:left w:val="none" w:sz="0" w:space="0" w:color="auto"/>
        <w:bottom w:val="none" w:sz="0" w:space="0" w:color="auto"/>
        <w:right w:val="none" w:sz="0" w:space="0" w:color="auto"/>
      </w:divBdr>
    </w:div>
    <w:div w:id="2105956067">
      <w:bodyDiv w:val="1"/>
      <w:marLeft w:val="0"/>
      <w:marRight w:val="0"/>
      <w:marTop w:val="0"/>
      <w:marBottom w:val="0"/>
      <w:divBdr>
        <w:top w:val="none" w:sz="0" w:space="0" w:color="auto"/>
        <w:left w:val="none" w:sz="0" w:space="0" w:color="auto"/>
        <w:bottom w:val="none" w:sz="0" w:space="0" w:color="auto"/>
        <w:right w:val="none" w:sz="0" w:space="0" w:color="auto"/>
      </w:divBdr>
    </w:div>
    <w:div w:id="2106026010">
      <w:bodyDiv w:val="1"/>
      <w:marLeft w:val="0"/>
      <w:marRight w:val="0"/>
      <w:marTop w:val="0"/>
      <w:marBottom w:val="0"/>
      <w:divBdr>
        <w:top w:val="none" w:sz="0" w:space="0" w:color="auto"/>
        <w:left w:val="none" w:sz="0" w:space="0" w:color="auto"/>
        <w:bottom w:val="none" w:sz="0" w:space="0" w:color="auto"/>
        <w:right w:val="none" w:sz="0" w:space="0" w:color="auto"/>
      </w:divBdr>
    </w:div>
    <w:div w:id="2106531664">
      <w:bodyDiv w:val="1"/>
      <w:marLeft w:val="0"/>
      <w:marRight w:val="0"/>
      <w:marTop w:val="0"/>
      <w:marBottom w:val="0"/>
      <w:divBdr>
        <w:top w:val="none" w:sz="0" w:space="0" w:color="auto"/>
        <w:left w:val="none" w:sz="0" w:space="0" w:color="auto"/>
        <w:bottom w:val="none" w:sz="0" w:space="0" w:color="auto"/>
        <w:right w:val="none" w:sz="0" w:space="0" w:color="auto"/>
      </w:divBdr>
    </w:div>
    <w:div w:id="2106731550">
      <w:bodyDiv w:val="1"/>
      <w:marLeft w:val="0"/>
      <w:marRight w:val="0"/>
      <w:marTop w:val="0"/>
      <w:marBottom w:val="0"/>
      <w:divBdr>
        <w:top w:val="none" w:sz="0" w:space="0" w:color="auto"/>
        <w:left w:val="none" w:sz="0" w:space="0" w:color="auto"/>
        <w:bottom w:val="none" w:sz="0" w:space="0" w:color="auto"/>
        <w:right w:val="none" w:sz="0" w:space="0" w:color="auto"/>
      </w:divBdr>
    </w:div>
    <w:div w:id="2106732660">
      <w:bodyDiv w:val="1"/>
      <w:marLeft w:val="0"/>
      <w:marRight w:val="0"/>
      <w:marTop w:val="0"/>
      <w:marBottom w:val="0"/>
      <w:divBdr>
        <w:top w:val="none" w:sz="0" w:space="0" w:color="auto"/>
        <w:left w:val="none" w:sz="0" w:space="0" w:color="auto"/>
        <w:bottom w:val="none" w:sz="0" w:space="0" w:color="auto"/>
        <w:right w:val="none" w:sz="0" w:space="0" w:color="auto"/>
      </w:divBdr>
    </w:div>
    <w:div w:id="2108304764">
      <w:bodyDiv w:val="1"/>
      <w:marLeft w:val="0"/>
      <w:marRight w:val="0"/>
      <w:marTop w:val="0"/>
      <w:marBottom w:val="0"/>
      <w:divBdr>
        <w:top w:val="none" w:sz="0" w:space="0" w:color="auto"/>
        <w:left w:val="none" w:sz="0" w:space="0" w:color="auto"/>
        <w:bottom w:val="none" w:sz="0" w:space="0" w:color="auto"/>
        <w:right w:val="none" w:sz="0" w:space="0" w:color="auto"/>
      </w:divBdr>
    </w:div>
    <w:div w:id="2109036698">
      <w:bodyDiv w:val="1"/>
      <w:marLeft w:val="0"/>
      <w:marRight w:val="0"/>
      <w:marTop w:val="0"/>
      <w:marBottom w:val="0"/>
      <w:divBdr>
        <w:top w:val="none" w:sz="0" w:space="0" w:color="auto"/>
        <w:left w:val="none" w:sz="0" w:space="0" w:color="auto"/>
        <w:bottom w:val="none" w:sz="0" w:space="0" w:color="auto"/>
        <w:right w:val="none" w:sz="0" w:space="0" w:color="auto"/>
      </w:divBdr>
    </w:div>
    <w:div w:id="2109538979">
      <w:bodyDiv w:val="1"/>
      <w:marLeft w:val="0"/>
      <w:marRight w:val="0"/>
      <w:marTop w:val="0"/>
      <w:marBottom w:val="0"/>
      <w:divBdr>
        <w:top w:val="none" w:sz="0" w:space="0" w:color="auto"/>
        <w:left w:val="none" w:sz="0" w:space="0" w:color="auto"/>
        <w:bottom w:val="none" w:sz="0" w:space="0" w:color="auto"/>
        <w:right w:val="none" w:sz="0" w:space="0" w:color="auto"/>
      </w:divBdr>
    </w:div>
    <w:div w:id="2110811137">
      <w:bodyDiv w:val="1"/>
      <w:marLeft w:val="0"/>
      <w:marRight w:val="0"/>
      <w:marTop w:val="0"/>
      <w:marBottom w:val="0"/>
      <w:divBdr>
        <w:top w:val="none" w:sz="0" w:space="0" w:color="auto"/>
        <w:left w:val="none" w:sz="0" w:space="0" w:color="auto"/>
        <w:bottom w:val="none" w:sz="0" w:space="0" w:color="auto"/>
        <w:right w:val="none" w:sz="0" w:space="0" w:color="auto"/>
      </w:divBdr>
    </w:div>
    <w:div w:id="2111273239">
      <w:bodyDiv w:val="1"/>
      <w:marLeft w:val="0"/>
      <w:marRight w:val="0"/>
      <w:marTop w:val="0"/>
      <w:marBottom w:val="0"/>
      <w:divBdr>
        <w:top w:val="none" w:sz="0" w:space="0" w:color="auto"/>
        <w:left w:val="none" w:sz="0" w:space="0" w:color="auto"/>
        <w:bottom w:val="none" w:sz="0" w:space="0" w:color="auto"/>
        <w:right w:val="none" w:sz="0" w:space="0" w:color="auto"/>
      </w:divBdr>
    </w:div>
    <w:div w:id="2111469563">
      <w:bodyDiv w:val="1"/>
      <w:marLeft w:val="0"/>
      <w:marRight w:val="0"/>
      <w:marTop w:val="0"/>
      <w:marBottom w:val="0"/>
      <w:divBdr>
        <w:top w:val="none" w:sz="0" w:space="0" w:color="auto"/>
        <w:left w:val="none" w:sz="0" w:space="0" w:color="auto"/>
        <w:bottom w:val="none" w:sz="0" w:space="0" w:color="auto"/>
        <w:right w:val="none" w:sz="0" w:space="0" w:color="auto"/>
      </w:divBdr>
    </w:div>
    <w:div w:id="2111656573">
      <w:bodyDiv w:val="1"/>
      <w:marLeft w:val="0"/>
      <w:marRight w:val="0"/>
      <w:marTop w:val="0"/>
      <w:marBottom w:val="0"/>
      <w:divBdr>
        <w:top w:val="none" w:sz="0" w:space="0" w:color="auto"/>
        <w:left w:val="none" w:sz="0" w:space="0" w:color="auto"/>
        <w:bottom w:val="none" w:sz="0" w:space="0" w:color="auto"/>
        <w:right w:val="none" w:sz="0" w:space="0" w:color="auto"/>
      </w:divBdr>
    </w:div>
    <w:div w:id="2112312741">
      <w:bodyDiv w:val="1"/>
      <w:marLeft w:val="0"/>
      <w:marRight w:val="0"/>
      <w:marTop w:val="0"/>
      <w:marBottom w:val="0"/>
      <w:divBdr>
        <w:top w:val="none" w:sz="0" w:space="0" w:color="auto"/>
        <w:left w:val="none" w:sz="0" w:space="0" w:color="auto"/>
        <w:bottom w:val="none" w:sz="0" w:space="0" w:color="auto"/>
        <w:right w:val="none" w:sz="0" w:space="0" w:color="auto"/>
      </w:divBdr>
    </w:div>
    <w:div w:id="2112318370">
      <w:bodyDiv w:val="1"/>
      <w:marLeft w:val="0"/>
      <w:marRight w:val="0"/>
      <w:marTop w:val="0"/>
      <w:marBottom w:val="0"/>
      <w:divBdr>
        <w:top w:val="none" w:sz="0" w:space="0" w:color="auto"/>
        <w:left w:val="none" w:sz="0" w:space="0" w:color="auto"/>
        <w:bottom w:val="none" w:sz="0" w:space="0" w:color="auto"/>
        <w:right w:val="none" w:sz="0" w:space="0" w:color="auto"/>
      </w:divBdr>
    </w:div>
    <w:div w:id="2114588325">
      <w:bodyDiv w:val="1"/>
      <w:marLeft w:val="0"/>
      <w:marRight w:val="0"/>
      <w:marTop w:val="0"/>
      <w:marBottom w:val="0"/>
      <w:divBdr>
        <w:top w:val="none" w:sz="0" w:space="0" w:color="auto"/>
        <w:left w:val="none" w:sz="0" w:space="0" w:color="auto"/>
        <w:bottom w:val="none" w:sz="0" w:space="0" w:color="auto"/>
        <w:right w:val="none" w:sz="0" w:space="0" w:color="auto"/>
      </w:divBdr>
    </w:div>
    <w:div w:id="2117019311">
      <w:bodyDiv w:val="1"/>
      <w:marLeft w:val="0"/>
      <w:marRight w:val="0"/>
      <w:marTop w:val="0"/>
      <w:marBottom w:val="0"/>
      <w:divBdr>
        <w:top w:val="none" w:sz="0" w:space="0" w:color="auto"/>
        <w:left w:val="none" w:sz="0" w:space="0" w:color="auto"/>
        <w:bottom w:val="none" w:sz="0" w:space="0" w:color="auto"/>
        <w:right w:val="none" w:sz="0" w:space="0" w:color="auto"/>
      </w:divBdr>
    </w:div>
    <w:div w:id="2117403043">
      <w:bodyDiv w:val="1"/>
      <w:marLeft w:val="0"/>
      <w:marRight w:val="0"/>
      <w:marTop w:val="0"/>
      <w:marBottom w:val="0"/>
      <w:divBdr>
        <w:top w:val="none" w:sz="0" w:space="0" w:color="auto"/>
        <w:left w:val="none" w:sz="0" w:space="0" w:color="auto"/>
        <w:bottom w:val="none" w:sz="0" w:space="0" w:color="auto"/>
        <w:right w:val="none" w:sz="0" w:space="0" w:color="auto"/>
      </w:divBdr>
    </w:div>
    <w:div w:id="2118328712">
      <w:bodyDiv w:val="1"/>
      <w:marLeft w:val="0"/>
      <w:marRight w:val="0"/>
      <w:marTop w:val="0"/>
      <w:marBottom w:val="0"/>
      <w:divBdr>
        <w:top w:val="none" w:sz="0" w:space="0" w:color="auto"/>
        <w:left w:val="none" w:sz="0" w:space="0" w:color="auto"/>
        <w:bottom w:val="none" w:sz="0" w:space="0" w:color="auto"/>
        <w:right w:val="none" w:sz="0" w:space="0" w:color="auto"/>
      </w:divBdr>
    </w:div>
    <w:div w:id="2119641842">
      <w:bodyDiv w:val="1"/>
      <w:marLeft w:val="0"/>
      <w:marRight w:val="0"/>
      <w:marTop w:val="0"/>
      <w:marBottom w:val="0"/>
      <w:divBdr>
        <w:top w:val="none" w:sz="0" w:space="0" w:color="auto"/>
        <w:left w:val="none" w:sz="0" w:space="0" w:color="auto"/>
        <w:bottom w:val="none" w:sz="0" w:space="0" w:color="auto"/>
        <w:right w:val="none" w:sz="0" w:space="0" w:color="auto"/>
      </w:divBdr>
    </w:div>
    <w:div w:id="2120026698">
      <w:bodyDiv w:val="1"/>
      <w:marLeft w:val="0"/>
      <w:marRight w:val="0"/>
      <w:marTop w:val="0"/>
      <w:marBottom w:val="0"/>
      <w:divBdr>
        <w:top w:val="none" w:sz="0" w:space="0" w:color="auto"/>
        <w:left w:val="none" w:sz="0" w:space="0" w:color="auto"/>
        <w:bottom w:val="none" w:sz="0" w:space="0" w:color="auto"/>
        <w:right w:val="none" w:sz="0" w:space="0" w:color="auto"/>
      </w:divBdr>
    </w:div>
    <w:div w:id="2121535173">
      <w:bodyDiv w:val="1"/>
      <w:marLeft w:val="0"/>
      <w:marRight w:val="0"/>
      <w:marTop w:val="0"/>
      <w:marBottom w:val="0"/>
      <w:divBdr>
        <w:top w:val="none" w:sz="0" w:space="0" w:color="auto"/>
        <w:left w:val="none" w:sz="0" w:space="0" w:color="auto"/>
        <w:bottom w:val="none" w:sz="0" w:space="0" w:color="auto"/>
        <w:right w:val="none" w:sz="0" w:space="0" w:color="auto"/>
      </w:divBdr>
    </w:div>
    <w:div w:id="2121681229">
      <w:bodyDiv w:val="1"/>
      <w:marLeft w:val="0"/>
      <w:marRight w:val="0"/>
      <w:marTop w:val="0"/>
      <w:marBottom w:val="0"/>
      <w:divBdr>
        <w:top w:val="none" w:sz="0" w:space="0" w:color="auto"/>
        <w:left w:val="none" w:sz="0" w:space="0" w:color="auto"/>
        <w:bottom w:val="none" w:sz="0" w:space="0" w:color="auto"/>
        <w:right w:val="none" w:sz="0" w:space="0" w:color="auto"/>
      </w:divBdr>
    </w:div>
    <w:div w:id="2121754913">
      <w:bodyDiv w:val="1"/>
      <w:marLeft w:val="0"/>
      <w:marRight w:val="0"/>
      <w:marTop w:val="0"/>
      <w:marBottom w:val="0"/>
      <w:divBdr>
        <w:top w:val="none" w:sz="0" w:space="0" w:color="auto"/>
        <w:left w:val="none" w:sz="0" w:space="0" w:color="auto"/>
        <w:bottom w:val="none" w:sz="0" w:space="0" w:color="auto"/>
        <w:right w:val="none" w:sz="0" w:space="0" w:color="auto"/>
      </w:divBdr>
    </w:div>
    <w:div w:id="2121948764">
      <w:bodyDiv w:val="1"/>
      <w:marLeft w:val="0"/>
      <w:marRight w:val="0"/>
      <w:marTop w:val="0"/>
      <w:marBottom w:val="0"/>
      <w:divBdr>
        <w:top w:val="none" w:sz="0" w:space="0" w:color="auto"/>
        <w:left w:val="none" w:sz="0" w:space="0" w:color="auto"/>
        <w:bottom w:val="none" w:sz="0" w:space="0" w:color="auto"/>
        <w:right w:val="none" w:sz="0" w:space="0" w:color="auto"/>
      </w:divBdr>
    </w:div>
    <w:div w:id="2121952003">
      <w:bodyDiv w:val="1"/>
      <w:marLeft w:val="0"/>
      <w:marRight w:val="0"/>
      <w:marTop w:val="0"/>
      <w:marBottom w:val="0"/>
      <w:divBdr>
        <w:top w:val="none" w:sz="0" w:space="0" w:color="auto"/>
        <w:left w:val="none" w:sz="0" w:space="0" w:color="auto"/>
        <w:bottom w:val="none" w:sz="0" w:space="0" w:color="auto"/>
        <w:right w:val="none" w:sz="0" w:space="0" w:color="auto"/>
      </w:divBdr>
    </w:div>
    <w:div w:id="2122721064">
      <w:bodyDiv w:val="1"/>
      <w:marLeft w:val="0"/>
      <w:marRight w:val="0"/>
      <w:marTop w:val="0"/>
      <w:marBottom w:val="0"/>
      <w:divBdr>
        <w:top w:val="none" w:sz="0" w:space="0" w:color="auto"/>
        <w:left w:val="none" w:sz="0" w:space="0" w:color="auto"/>
        <w:bottom w:val="none" w:sz="0" w:space="0" w:color="auto"/>
        <w:right w:val="none" w:sz="0" w:space="0" w:color="auto"/>
      </w:divBdr>
    </w:div>
    <w:div w:id="2124105607">
      <w:bodyDiv w:val="1"/>
      <w:marLeft w:val="0"/>
      <w:marRight w:val="0"/>
      <w:marTop w:val="0"/>
      <w:marBottom w:val="0"/>
      <w:divBdr>
        <w:top w:val="none" w:sz="0" w:space="0" w:color="auto"/>
        <w:left w:val="none" w:sz="0" w:space="0" w:color="auto"/>
        <w:bottom w:val="none" w:sz="0" w:space="0" w:color="auto"/>
        <w:right w:val="none" w:sz="0" w:space="0" w:color="auto"/>
      </w:divBdr>
    </w:div>
    <w:div w:id="2124299566">
      <w:bodyDiv w:val="1"/>
      <w:marLeft w:val="0"/>
      <w:marRight w:val="0"/>
      <w:marTop w:val="0"/>
      <w:marBottom w:val="0"/>
      <w:divBdr>
        <w:top w:val="none" w:sz="0" w:space="0" w:color="auto"/>
        <w:left w:val="none" w:sz="0" w:space="0" w:color="auto"/>
        <w:bottom w:val="none" w:sz="0" w:space="0" w:color="auto"/>
        <w:right w:val="none" w:sz="0" w:space="0" w:color="auto"/>
      </w:divBdr>
    </w:div>
    <w:div w:id="2124692349">
      <w:bodyDiv w:val="1"/>
      <w:marLeft w:val="0"/>
      <w:marRight w:val="0"/>
      <w:marTop w:val="0"/>
      <w:marBottom w:val="0"/>
      <w:divBdr>
        <w:top w:val="none" w:sz="0" w:space="0" w:color="auto"/>
        <w:left w:val="none" w:sz="0" w:space="0" w:color="auto"/>
        <w:bottom w:val="none" w:sz="0" w:space="0" w:color="auto"/>
        <w:right w:val="none" w:sz="0" w:space="0" w:color="auto"/>
      </w:divBdr>
    </w:div>
    <w:div w:id="2124767494">
      <w:bodyDiv w:val="1"/>
      <w:marLeft w:val="0"/>
      <w:marRight w:val="0"/>
      <w:marTop w:val="0"/>
      <w:marBottom w:val="0"/>
      <w:divBdr>
        <w:top w:val="none" w:sz="0" w:space="0" w:color="auto"/>
        <w:left w:val="none" w:sz="0" w:space="0" w:color="auto"/>
        <w:bottom w:val="none" w:sz="0" w:space="0" w:color="auto"/>
        <w:right w:val="none" w:sz="0" w:space="0" w:color="auto"/>
      </w:divBdr>
    </w:div>
    <w:div w:id="2125228400">
      <w:bodyDiv w:val="1"/>
      <w:marLeft w:val="0"/>
      <w:marRight w:val="0"/>
      <w:marTop w:val="0"/>
      <w:marBottom w:val="0"/>
      <w:divBdr>
        <w:top w:val="none" w:sz="0" w:space="0" w:color="auto"/>
        <w:left w:val="none" w:sz="0" w:space="0" w:color="auto"/>
        <w:bottom w:val="none" w:sz="0" w:space="0" w:color="auto"/>
        <w:right w:val="none" w:sz="0" w:space="0" w:color="auto"/>
      </w:divBdr>
    </w:div>
    <w:div w:id="2126341742">
      <w:bodyDiv w:val="1"/>
      <w:marLeft w:val="0"/>
      <w:marRight w:val="0"/>
      <w:marTop w:val="0"/>
      <w:marBottom w:val="0"/>
      <w:divBdr>
        <w:top w:val="none" w:sz="0" w:space="0" w:color="auto"/>
        <w:left w:val="none" w:sz="0" w:space="0" w:color="auto"/>
        <w:bottom w:val="none" w:sz="0" w:space="0" w:color="auto"/>
        <w:right w:val="none" w:sz="0" w:space="0" w:color="auto"/>
      </w:divBdr>
    </w:div>
    <w:div w:id="2126535229">
      <w:bodyDiv w:val="1"/>
      <w:marLeft w:val="0"/>
      <w:marRight w:val="0"/>
      <w:marTop w:val="0"/>
      <w:marBottom w:val="0"/>
      <w:divBdr>
        <w:top w:val="none" w:sz="0" w:space="0" w:color="auto"/>
        <w:left w:val="none" w:sz="0" w:space="0" w:color="auto"/>
        <w:bottom w:val="none" w:sz="0" w:space="0" w:color="auto"/>
        <w:right w:val="none" w:sz="0" w:space="0" w:color="auto"/>
      </w:divBdr>
    </w:div>
    <w:div w:id="2127458335">
      <w:bodyDiv w:val="1"/>
      <w:marLeft w:val="0"/>
      <w:marRight w:val="0"/>
      <w:marTop w:val="0"/>
      <w:marBottom w:val="0"/>
      <w:divBdr>
        <w:top w:val="none" w:sz="0" w:space="0" w:color="auto"/>
        <w:left w:val="none" w:sz="0" w:space="0" w:color="auto"/>
        <w:bottom w:val="none" w:sz="0" w:space="0" w:color="auto"/>
        <w:right w:val="none" w:sz="0" w:space="0" w:color="auto"/>
      </w:divBdr>
    </w:div>
    <w:div w:id="2129011631">
      <w:bodyDiv w:val="1"/>
      <w:marLeft w:val="0"/>
      <w:marRight w:val="0"/>
      <w:marTop w:val="0"/>
      <w:marBottom w:val="0"/>
      <w:divBdr>
        <w:top w:val="none" w:sz="0" w:space="0" w:color="auto"/>
        <w:left w:val="none" w:sz="0" w:space="0" w:color="auto"/>
        <w:bottom w:val="none" w:sz="0" w:space="0" w:color="auto"/>
        <w:right w:val="none" w:sz="0" w:space="0" w:color="auto"/>
      </w:divBdr>
    </w:div>
    <w:div w:id="2129617031">
      <w:bodyDiv w:val="1"/>
      <w:marLeft w:val="0"/>
      <w:marRight w:val="0"/>
      <w:marTop w:val="0"/>
      <w:marBottom w:val="0"/>
      <w:divBdr>
        <w:top w:val="none" w:sz="0" w:space="0" w:color="auto"/>
        <w:left w:val="none" w:sz="0" w:space="0" w:color="auto"/>
        <w:bottom w:val="none" w:sz="0" w:space="0" w:color="auto"/>
        <w:right w:val="none" w:sz="0" w:space="0" w:color="auto"/>
      </w:divBdr>
    </w:div>
    <w:div w:id="2130934971">
      <w:bodyDiv w:val="1"/>
      <w:marLeft w:val="0"/>
      <w:marRight w:val="0"/>
      <w:marTop w:val="0"/>
      <w:marBottom w:val="0"/>
      <w:divBdr>
        <w:top w:val="none" w:sz="0" w:space="0" w:color="auto"/>
        <w:left w:val="none" w:sz="0" w:space="0" w:color="auto"/>
        <w:bottom w:val="none" w:sz="0" w:space="0" w:color="auto"/>
        <w:right w:val="none" w:sz="0" w:space="0" w:color="auto"/>
      </w:divBdr>
    </w:div>
    <w:div w:id="2131197509">
      <w:bodyDiv w:val="1"/>
      <w:marLeft w:val="0"/>
      <w:marRight w:val="0"/>
      <w:marTop w:val="0"/>
      <w:marBottom w:val="0"/>
      <w:divBdr>
        <w:top w:val="none" w:sz="0" w:space="0" w:color="auto"/>
        <w:left w:val="none" w:sz="0" w:space="0" w:color="auto"/>
        <w:bottom w:val="none" w:sz="0" w:space="0" w:color="auto"/>
        <w:right w:val="none" w:sz="0" w:space="0" w:color="auto"/>
      </w:divBdr>
    </w:div>
    <w:div w:id="2131362624">
      <w:bodyDiv w:val="1"/>
      <w:marLeft w:val="0"/>
      <w:marRight w:val="0"/>
      <w:marTop w:val="0"/>
      <w:marBottom w:val="0"/>
      <w:divBdr>
        <w:top w:val="none" w:sz="0" w:space="0" w:color="auto"/>
        <w:left w:val="none" w:sz="0" w:space="0" w:color="auto"/>
        <w:bottom w:val="none" w:sz="0" w:space="0" w:color="auto"/>
        <w:right w:val="none" w:sz="0" w:space="0" w:color="auto"/>
      </w:divBdr>
    </w:div>
    <w:div w:id="2131587305">
      <w:bodyDiv w:val="1"/>
      <w:marLeft w:val="0"/>
      <w:marRight w:val="0"/>
      <w:marTop w:val="0"/>
      <w:marBottom w:val="0"/>
      <w:divBdr>
        <w:top w:val="none" w:sz="0" w:space="0" w:color="auto"/>
        <w:left w:val="none" w:sz="0" w:space="0" w:color="auto"/>
        <w:bottom w:val="none" w:sz="0" w:space="0" w:color="auto"/>
        <w:right w:val="none" w:sz="0" w:space="0" w:color="auto"/>
      </w:divBdr>
    </w:div>
    <w:div w:id="2131778341">
      <w:bodyDiv w:val="1"/>
      <w:marLeft w:val="0"/>
      <w:marRight w:val="0"/>
      <w:marTop w:val="0"/>
      <w:marBottom w:val="0"/>
      <w:divBdr>
        <w:top w:val="none" w:sz="0" w:space="0" w:color="auto"/>
        <w:left w:val="none" w:sz="0" w:space="0" w:color="auto"/>
        <w:bottom w:val="none" w:sz="0" w:space="0" w:color="auto"/>
        <w:right w:val="none" w:sz="0" w:space="0" w:color="auto"/>
      </w:divBdr>
    </w:div>
    <w:div w:id="2132168862">
      <w:bodyDiv w:val="1"/>
      <w:marLeft w:val="0"/>
      <w:marRight w:val="0"/>
      <w:marTop w:val="0"/>
      <w:marBottom w:val="0"/>
      <w:divBdr>
        <w:top w:val="none" w:sz="0" w:space="0" w:color="auto"/>
        <w:left w:val="none" w:sz="0" w:space="0" w:color="auto"/>
        <w:bottom w:val="none" w:sz="0" w:space="0" w:color="auto"/>
        <w:right w:val="none" w:sz="0" w:space="0" w:color="auto"/>
      </w:divBdr>
    </w:div>
    <w:div w:id="2132284578">
      <w:bodyDiv w:val="1"/>
      <w:marLeft w:val="0"/>
      <w:marRight w:val="0"/>
      <w:marTop w:val="0"/>
      <w:marBottom w:val="0"/>
      <w:divBdr>
        <w:top w:val="none" w:sz="0" w:space="0" w:color="auto"/>
        <w:left w:val="none" w:sz="0" w:space="0" w:color="auto"/>
        <w:bottom w:val="none" w:sz="0" w:space="0" w:color="auto"/>
        <w:right w:val="none" w:sz="0" w:space="0" w:color="auto"/>
      </w:divBdr>
    </w:div>
    <w:div w:id="2133093375">
      <w:bodyDiv w:val="1"/>
      <w:marLeft w:val="0"/>
      <w:marRight w:val="0"/>
      <w:marTop w:val="0"/>
      <w:marBottom w:val="0"/>
      <w:divBdr>
        <w:top w:val="none" w:sz="0" w:space="0" w:color="auto"/>
        <w:left w:val="none" w:sz="0" w:space="0" w:color="auto"/>
        <w:bottom w:val="none" w:sz="0" w:space="0" w:color="auto"/>
        <w:right w:val="none" w:sz="0" w:space="0" w:color="auto"/>
      </w:divBdr>
    </w:div>
    <w:div w:id="2133938459">
      <w:bodyDiv w:val="1"/>
      <w:marLeft w:val="0"/>
      <w:marRight w:val="0"/>
      <w:marTop w:val="0"/>
      <w:marBottom w:val="0"/>
      <w:divBdr>
        <w:top w:val="none" w:sz="0" w:space="0" w:color="auto"/>
        <w:left w:val="none" w:sz="0" w:space="0" w:color="auto"/>
        <w:bottom w:val="none" w:sz="0" w:space="0" w:color="auto"/>
        <w:right w:val="none" w:sz="0" w:space="0" w:color="auto"/>
      </w:divBdr>
    </w:div>
    <w:div w:id="2134056510">
      <w:bodyDiv w:val="1"/>
      <w:marLeft w:val="0"/>
      <w:marRight w:val="0"/>
      <w:marTop w:val="0"/>
      <w:marBottom w:val="0"/>
      <w:divBdr>
        <w:top w:val="none" w:sz="0" w:space="0" w:color="auto"/>
        <w:left w:val="none" w:sz="0" w:space="0" w:color="auto"/>
        <w:bottom w:val="none" w:sz="0" w:space="0" w:color="auto"/>
        <w:right w:val="none" w:sz="0" w:space="0" w:color="auto"/>
      </w:divBdr>
    </w:div>
    <w:div w:id="2134862379">
      <w:bodyDiv w:val="1"/>
      <w:marLeft w:val="0"/>
      <w:marRight w:val="0"/>
      <w:marTop w:val="0"/>
      <w:marBottom w:val="0"/>
      <w:divBdr>
        <w:top w:val="none" w:sz="0" w:space="0" w:color="auto"/>
        <w:left w:val="none" w:sz="0" w:space="0" w:color="auto"/>
        <w:bottom w:val="none" w:sz="0" w:space="0" w:color="auto"/>
        <w:right w:val="none" w:sz="0" w:space="0" w:color="auto"/>
      </w:divBdr>
    </w:div>
    <w:div w:id="2135823593">
      <w:bodyDiv w:val="1"/>
      <w:marLeft w:val="0"/>
      <w:marRight w:val="0"/>
      <w:marTop w:val="0"/>
      <w:marBottom w:val="0"/>
      <w:divBdr>
        <w:top w:val="none" w:sz="0" w:space="0" w:color="auto"/>
        <w:left w:val="none" w:sz="0" w:space="0" w:color="auto"/>
        <w:bottom w:val="none" w:sz="0" w:space="0" w:color="auto"/>
        <w:right w:val="none" w:sz="0" w:space="0" w:color="auto"/>
      </w:divBdr>
    </w:div>
    <w:div w:id="2136213330">
      <w:bodyDiv w:val="1"/>
      <w:marLeft w:val="0"/>
      <w:marRight w:val="0"/>
      <w:marTop w:val="0"/>
      <w:marBottom w:val="0"/>
      <w:divBdr>
        <w:top w:val="none" w:sz="0" w:space="0" w:color="auto"/>
        <w:left w:val="none" w:sz="0" w:space="0" w:color="auto"/>
        <w:bottom w:val="none" w:sz="0" w:space="0" w:color="auto"/>
        <w:right w:val="none" w:sz="0" w:space="0" w:color="auto"/>
      </w:divBdr>
    </w:div>
    <w:div w:id="2136482515">
      <w:bodyDiv w:val="1"/>
      <w:marLeft w:val="0"/>
      <w:marRight w:val="0"/>
      <w:marTop w:val="0"/>
      <w:marBottom w:val="0"/>
      <w:divBdr>
        <w:top w:val="none" w:sz="0" w:space="0" w:color="auto"/>
        <w:left w:val="none" w:sz="0" w:space="0" w:color="auto"/>
        <w:bottom w:val="none" w:sz="0" w:space="0" w:color="auto"/>
        <w:right w:val="none" w:sz="0" w:space="0" w:color="auto"/>
      </w:divBdr>
    </w:div>
    <w:div w:id="2136672267">
      <w:bodyDiv w:val="1"/>
      <w:marLeft w:val="0"/>
      <w:marRight w:val="0"/>
      <w:marTop w:val="0"/>
      <w:marBottom w:val="0"/>
      <w:divBdr>
        <w:top w:val="none" w:sz="0" w:space="0" w:color="auto"/>
        <w:left w:val="none" w:sz="0" w:space="0" w:color="auto"/>
        <w:bottom w:val="none" w:sz="0" w:space="0" w:color="auto"/>
        <w:right w:val="none" w:sz="0" w:space="0" w:color="auto"/>
      </w:divBdr>
    </w:div>
    <w:div w:id="2137216904">
      <w:bodyDiv w:val="1"/>
      <w:marLeft w:val="0"/>
      <w:marRight w:val="0"/>
      <w:marTop w:val="0"/>
      <w:marBottom w:val="0"/>
      <w:divBdr>
        <w:top w:val="none" w:sz="0" w:space="0" w:color="auto"/>
        <w:left w:val="none" w:sz="0" w:space="0" w:color="auto"/>
        <w:bottom w:val="none" w:sz="0" w:space="0" w:color="auto"/>
        <w:right w:val="none" w:sz="0" w:space="0" w:color="auto"/>
      </w:divBdr>
    </w:div>
    <w:div w:id="2137408047">
      <w:bodyDiv w:val="1"/>
      <w:marLeft w:val="0"/>
      <w:marRight w:val="0"/>
      <w:marTop w:val="0"/>
      <w:marBottom w:val="0"/>
      <w:divBdr>
        <w:top w:val="none" w:sz="0" w:space="0" w:color="auto"/>
        <w:left w:val="none" w:sz="0" w:space="0" w:color="auto"/>
        <w:bottom w:val="none" w:sz="0" w:space="0" w:color="auto"/>
        <w:right w:val="none" w:sz="0" w:space="0" w:color="auto"/>
      </w:divBdr>
    </w:div>
    <w:div w:id="2137527848">
      <w:bodyDiv w:val="1"/>
      <w:marLeft w:val="0"/>
      <w:marRight w:val="0"/>
      <w:marTop w:val="0"/>
      <w:marBottom w:val="0"/>
      <w:divBdr>
        <w:top w:val="none" w:sz="0" w:space="0" w:color="auto"/>
        <w:left w:val="none" w:sz="0" w:space="0" w:color="auto"/>
        <w:bottom w:val="none" w:sz="0" w:space="0" w:color="auto"/>
        <w:right w:val="none" w:sz="0" w:space="0" w:color="auto"/>
      </w:divBdr>
    </w:div>
    <w:div w:id="2139179354">
      <w:bodyDiv w:val="1"/>
      <w:marLeft w:val="0"/>
      <w:marRight w:val="0"/>
      <w:marTop w:val="0"/>
      <w:marBottom w:val="0"/>
      <w:divBdr>
        <w:top w:val="none" w:sz="0" w:space="0" w:color="auto"/>
        <w:left w:val="none" w:sz="0" w:space="0" w:color="auto"/>
        <w:bottom w:val="none" w:sz="0" w:space="0" w:color="auto"/>
        <w:right w:val="none" w:sz="0" w:space="0" w:color="auto"/>
      </w:divBdr>
    </w:div>
    <w:div w:id="2140027571">
      <w:bodyDiv w:val="1"/>
      <w:marLeft w:val="0"/>
      <w:marRight w:val="0"/>
      <w:marTop w:val="0"/>
      <w:marBottom w:val="0"/>
      <w:divBdr>
        <w:top w:val="none" w:sz="0" w:space="0" w:color="auto"/>
        <w:left w:val="none" w:sz="0" w:space="0" w:color="auto"/>
        <w:bottom w:val="none" w:sz="0" w:space="0" w:color="auto"/>
        <w:right w:val="none" w:sz="0" w:space="0" w:color="auto"/>
      </w:divBdr>
    </w:div>
    <w:div w:id="2140151105">
      <w:bodyDiv w:val="1"/>
      <w:marLeft w:val="0"/>
      <w:marRight w:val="0"/>
      <w:marTop w:val="0"/>
      <w:marBottom w:val="0"/>
      <w:divBdr>
        <w:top w:val="none" w:sz="0" w:space="0" w:color="auto"/>
        <w:left w:val="none" w:sz="0" w:space="0" w:color="auto"/>
        <w:bottom w:val="none" w:sz="0" w:space="0" w:color="auto"/>
        <w:right w:val="none" w:sz="0" w:space="0" w:color="auto"/>
      </w:divBdr>
    </w:div>
    <w:div w:id="2140949178">
      <w:bodyDiv w:val="1"/>
      <w:marLeft w:val="0"/>
      <w:marRight w:val="0"/>
      <w:marTop w:val="0"/>
      <w:marBottom w:val="0"/>
      <w:divBdr>
        <w:top w:val="none" w:sz="0" w:space="0" w:color="auto"/>
        <w:left w:val="none" w:sz="0" w:space="0" w:color="auto"/>
        <w:bottom w:val="none" w:sz="0" w:space="0" w:color="auto"/>
        <w:right w:val="none" w:sz="0" w:space="0" w:color="auto"/>
      </w:divBdr>
    </w:div>
    <w:div w:id="2142770730">
      <w:bodyDiv w:val="1"/>
      <w:marLeft w:val="0"/>
      <w:marRight w:val="0"/>
      <w:marTop w:val="0"/>
      <w:marBottom w:val="0"/>
      <w:divBdr>
        <w:top w:val="none" w:sz="0" w:space="0" w:color="auto"/>
        <w:left w:val="none" w:sz="0" w:space="0" w:color="auto"/>
        <w:bottom w:val="none" w:sz="0" w:space="0" w:color="auto"/>
        <w:right w:val="none" w:sz="0" w:space="0" w:color="auto"/>
      </w:divBdr>
    </w:div>
    <w:div w:id="2142843750">
      <w:bodyDiv w:val="1"/>
      <w:marLeft w:val="0"/>
      <w:marRight w:val="0"/>
      <w:marTop w:val="0"/>
      <w:marBottom w:val="0"/>
      <w:divBdr>
        <w:top w:val="none" w:sz="0" w:space="0" w:color="auto"/>
        <w:left w:val="none" w:sz="0" w:space="0" w:color="auto"/>
        <w:bottom w:val="none" w:sz="0" w:space="0" w:color="auto"/>
        <w:right w:val="none" w:sz="0" w:space="0" w:color="auto"/>
      </w:divBdr>
    </w:div>
    <w:div w:id="2143575726">
      <w:bodyDiv w:val="1"/>
      <w:marLeft w:val="0"/>
      <w:marRight w:val="0"/>
      <w:marTop w:val="0"/>
      <w:marBottom w:val="0"/>
      <w:divBdr>
        <w:top w:val="none" w:sz="0" w:space="0" w:color="auto"/>
        <w:left w:val="none" w:sz="0" w:space="0" w:color="auto"/>
        <w:bottom w:val="none" w:sz="0" w:space="0" w:color="auto"/>
        <w:right w:val="none" w:sz="0" w:space="0" w:color="auto"/>
      </w:divBdr>
    </w:div>
    <w:div w:id="2143881342">
      <w:bodyDiv w:val="1"/>
      <w:marLeft w:val="0"/>
      <w:marRight w:val="0"/>
      <w:marTop w:val="0"/>
      <w:marBottom w:val="0"/>
      <w:divBdr>
        <w:top w:val="none" w:sz="0" w:space="0" w:color="auto"/>
        <w:left w:val="none" w:sz="0" w:space="0" w:color="auto"/>
        <w:bottom w:val="none" w:sz="0" w:space="0" w:color="auto"/>
        <w:right w:val="none" w:sz="0" w:space="0" w:color="auto"/>
      </w:divBdr>
    </w:div>
    <w:div w:id="2144153945">
      <w:bodyDiv w:val="1"/>
      <w:marLeft w:val="0"/>
      <w:marRight w:val="0"/>
      <w:marTop w:val="0"/>
      <w:marBottom w:val="0"/>
      <w:divBdr>
        <w:top w:val="none" w:sz="0" w:space="0" w:color="auto"/>
        <w:left w:val="none" w:sz="0" w:space="0" w:color="auto"/>
        <w:bottom w:val="none" w:sz="0" w:space="0" w:color="auto"/>
        <w:right w:val="none" w:sz="0" w:space="0" w:color="auto"/>
      </w:divBdr>
    </w:div>
    <w:div w:id="2144807850">
      <w:bodyDiv w:val="1"/>
      <w:marLeft w:val="0"/>
      <w:marRight w:val="0"/>
      <w:marTop w:val="0"/>
      <w:marBottom w:val="0"/>
      <w:divBdr>
        <w:top w:val="none" w:sz="0" w:space="0" w:color="auto"/>
        <w:left w:val="none" w:sz="0" w:space="0" w:color="auto"/>
        <w:bottom w:val="none" w:sz="0" w:space="0" w:color="auto"/>
        <w:right w:val="none" w:sz="0" w:space="0" w:color="auto"/>
      </w:divBdr>
    </w:div>
    <w:div w:id="2144959400">
      <w:bodyDiv w:val="1"/>
      <w:marLeft w:val="0"/>
      <w:marRight w:val="0"/>
      <w:marTop w:val="0"/>
      <w:marBottom w:val="0"/>
      <w:divBdr>
        <w:top w:val="none" w:sz="0" w:space="0" w:color="auto"/>
        <w:left w:val="none" w:sz="0" w:space="0" w:color="auto"/>
        <w:bottom w:val="none" w:sz="0" w:space="0" w:color="auto"/>
        <w:right w:val="none" w:sz="0" w:space="0" w:color="auto"/>
      </w:divBdr>
    </w:div>
    <w:div w:id="2145192042">
      <w:bodyDiv w:val="1"/>
      <w:marLeft w:val="0"/>
      <w:marRight w:val="0"/>
      <w:marTop w:val="0"/>
      <w:marBottom w:val="0"/>
      <w:divBdr>
        <w:top w:val="none" w:sz="0" w:space="0" w:color="auto"/>
        <w:left w:val="none" w:sz="0" w:space="0" w:color="auto"/>
        <w:bottom w:val="none" w:sz="0" w:space="0" w:color="auto"/>
        <w:right w:val="none" w:sz="0" w:space="0" w:color="auto"/>
      </w:divBdr>
    </w:div>
    <w:div w:id="2145734316">
      <w:bodyDiv w:val="1"/>
      <w:marLeft w:val="0"/>
      <w:marRight w:val="0"/>
      <w:marTop w:val="0"/>
      <w:marBottom w:val="0"/>
      <w:divBdr>
        <w:top w:val="none" w:sz="0" w:space="0" w:color="auto"/>
        <w:left w:val="none" w:sz="0" w:space="0" w:color="auto"/>
        <w:bottom w:val="none" w:sz="0" w:space="0" w:color="auto"/>
        <w:right w:val="none" w:sz="0" w:space="0" w:color="auto"/>
      </w:divBdr>
    </w:div>
    <w:div w:id="2145849117">
      <w:bodyDiv w:val="1"/>
      <w:marLeft w:val="0"/>
      <w:marRight w:val="0"/>
      <w:marTop w:val="0"/>
      <w:marBottom w:val="0"/>
      <w:divBdr>
        <w:top w:val="none" w:sz="0" w:space="0" w:color="auto"/>
        <w:left w:val="none" w:sz="0" w:space="0" w:color="auto"/>
        <w:bottom w:val="none" w:sz="0" w:space="0" w:color="auto"/>
        <w:right w:val="none" w:sz="0" w:space="0" w:color="auto"/>
      </w:divBdr>
    </w:div>
    <w:div w:id="2146969953">
      <w:bodyDiv w:val="1"/>
      <w:marLeft w:val="0"/>
      <w:marRight w:val="0"/>
      <w:marTop w:val="0"/>
      <w:marBottom w:val="0"/>
      <w:divBdr>
        <w:top w:val="none" w:sz="0" w:space="0" w:color="auto"/>
        <w:left w:val="none" w:sz="0" w:space="0" w:color="auto"/>
        <w:bottom w:val="none" w:sz="0" w:space="0" w:color="auto"/>
        <w:right w:val="none" w:sz="0" w:space="0" w:color="auto"/>
      </w:divBdr>
    </w:div>
    <w:div w:id="2147162268">
      <w:bodyDiv w:val="1"/>
      <w:marLeft w:val="0"/>
      <w:marRight w:val="0"/>
      <w:marTop w:val="0"/>
      <w:marBottom w:val="0"/>
      <w:divBdr>
        <w:top w:val="none" w:sz="0" w:space="0" w:color="auto"/>
        <w:left w:val="none" w:sz="0" w:space="0" w:color="auto"/>
        <w:bottom w:val="none" w:sz="0" w:space="0" w:color="auto"/>
        <w:right w:val="none" w:sz="0" w:space="0" w:color="auto"/>
      </w:divBdr>
    </w:div>
    <w:div w:id="2147163076">
      <w:bodyDiv w:val="1"/>
      <w:marLeft w:val="0"/>
      <w:marRight w:val="0"/>
      <w:marTop w:val="0"/>
      <w:marBottom w:val="0"/>
      <w:divBdr>
        <w:top w:val="none" w:sz="0" w:space="0" w:color="auto"/>
        <w:left w:val="none" w:sz="0" w:space="0" w:color="auto"/>
        <w:bottom w:val="none" w:sz="0" w:space="0" w:color="auto"/>
        <w:right w:val="none" w:sz="0" w:space="0" w:color="auto"/>
      </w:divBdr>
    </w:div>
    <w:div w:id="214730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7.emf"/><Relationship Id="rId42" Type="http://schemas.openxmlformats.org/officeDocument/2006/relationships/image" Target="media/image25.png"/><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image" Target="media/image2.emf"/><Relationship Id="rId11" Type="http://schemas.openxmlformats.org/officeDocument/2006/relationships/chart" Target="charts/chart1.xml"/><Relationship Id="rId32" Type="http://schemas.openxmlformats.org/officeDocument/2006/relationships/image" Target="media/image18.emf"/><Relationship Id="rId37" Type="http://schemas.openxmlformats.org/officeDocument/2006/relationships/hyperlink" Target="https://drive.google.com/file/d/18djgZxwWpx-zc0M5ToEKu7gYHo2DTo-S/view?usp=sharing" TargetMode="External"/><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102" Type="http://schemas.openxmlformats.org/officeDocument/2006/relationships/image" Target="media/image84.emf"/><Relationship Id="rId5" Type="http://schemas.openxmlformats.org/officeDocument/2006/relationships/webSettings" Target="webSettings.xml"/><Relationship Id="rId90" Type="http://schemas.openxmlformats.org/officeDocument/2006/relationships/image" Target="media/image72.emf"/><Relationship Id="rId95" Type="http://schemas.openxmlformats.org/officeDocument/2006/relationships/image" Target="media/image77.emf"/><Relationship Id="rId22" Type="http://schemas.openxmlformats.org/officeDocument/2006/relationships/image" Target="media/image8.emf"/><Relationship Id="rId27" Type="http://schemas.openxmlformats.org/officeDocument/2006/relationships/image" Target="media/image13.emf"/><Relationship Id="rId43" Type="http://schemas.openxmlformats.org/officeDocument/2006/relationships/hyperlink" Target="https://drive.google.com/file/d/1JkPRNYULpNSEoO4Bm-Lrq8QIYX4KzYIx/view?usp=sharing" TargetMode="External"/><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0" Type="http://schemas.openxmlformats.org/officeDocument/2006/relationships/image" Target="media/image62.emf"/><Relationship Id="rId85" Type="http://schemas.openxmlformats.org/officeDocument/2006/relationships/image" Target="media/image67.emf"/><Relationship Id="rId12" Type="http://schemas.openxmlformats.org/officeDocument/2006/relationships/chart" Target="charts/chart2.xml"/><Relationship Id="rId17" Type="http://schemas.openxmlformats.org/officeDocument/2006/relationships/image" Target="media/image3.emf"/><Relationship Id="rId33" Type="http://schemas.openxmlformats.org/officeDocument/2006/relationships/image" Target="media/image19.emf"/><Relationship Id="rId38" Type="http://schemas.openxmlformats.org/officeDocument/2006/relationships/image" Target="media/image23.png"/><Relationship Id="rId59" Type="http://schemas.openxmlformats.org/officeDocument/2006/relationships/image" Target="media/image41.emf"/><Relationship Id="rId103" Type="http://schemas.openxmlformats.org/officeDocument/2006/relationships/image" Target="media/image85.emf"/><Relationship Id="rId20" Type="http://schemas.openxmlformats.org/officeDocument/2006/relationships/image" Target="media/image6.emf"/><Relationship Id="rId41" Type="http://schemas.openxmlformats.org/officeDocument/2006/relationships/hyperlink" Target="https://drive.google.com/file/d/1q7TKV1mJOlbwj37zHggo2_8t_xydCuM-/view?usp=sharing" TargetMode="External"/><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96" Type="http://schemas.openxmlformats.org/officeDocument/2006/relationships/image" Target="media/image7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png"/><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footer" Target="footer1.xml"/><Relationship Id="rId31" Type="http://schemas.openxmlformats.org/officeDocument/2006/relationships/image" Target="media/image17.emf"/><Relationship Id="rId44" Type="http://schemas.openxmlformats.org/officeDocument/2006/relationships/image" Target="media/image26.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image" Target="media/image76.emf"/><Relationship Id="rId99" Type="http://schemas.openxmlformats.org/officeDocument/2006/relationships/image" Target="media/image81.emf"/><Relationship Id="rId101" Type="http://schemas.openxmlformats.org/officeDocument/2006/relationships/image" Target="media/image83.emf"/><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chart" Target="charts/chart3.xml"/><Relationship Id="rId18" Type="http://schemas.openxmlformats.org/officeDocument/2006/relationships/image" Target="media/image4.emf"/><Relationship Id="rId39" Type="http://schemas.openxmlformats.org/officeDocument/2006/relationships/hyperlink" Target="https://drive.google.com/file/d/1qmVZv-qmDVyu5GmmUaA4_o1ZVrUBd6O7/view?usp=sharing" TargetMode="External"/><Relationship Id="rId34" Type="http://schemas.openxmlformats.org/officeDocument/2006/relationships/image" Target="media/image20.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97" Type="http://schemas.openxmlformats.org/officeDocument/2006/relationships/image" Target="media/image79.emf"/><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3.emf"/><Relationship Id="rId92" Type="http://schemas.openxmlformats.org/officeDocument/2006/relationships/image" Target="media/image74.emf"/><Relationship Id="rId2" Type="http://schemas.openxmlformats.org/officeDocument/2006/relationships/numbering" Target="numbering.xml"/><Relationship Id="rId29" Type="http://schemas.openxmlformats.org/officeDocument/2006/relationships/image" Target="media/image15.emf"/><Relationship Id="rId24" Type="http://schemas.openxmlformats.org/officeDocument/2006/relationships/image" Target="media/image10.emf"/><Relationship Id="rId40" Type="http://schemas.openxmlformats.org/officeDocument/2006/relationships/image" Target="media/image24.png"/><Relationship Id="rId45" Type="http://schemas.openxmlformats.org/officeDocument/2006/relationships/image" Target="media/image27.emf"/><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image" Target="media/image5.emf"/><Relationship Id="rId14" Type="http://schemas.openxmlformats.org/officeDocument/2006/relationships/chart" Target="charts/chart4.xml"/><Relationship Id="rId30" Type="http://schemas.openxmlformats.org/officeDocument/2006/relationships/image" Target="media/image16.emf"/><Relationship Id="rId35" Type="http://schemas.openxmlformats.org/officeDocument/2006/relationships/image" Target="media/image21.emf"/><Relationship Id="rId56" Type="http://schemas.openxmlformats.org/officeDocument/2006/relationships/image" Target="media/image38.emf"/><Relationship Id="rId77" Type="http://schemas.openxmlformats.org/officeDocument/2006/relationships/image" Target="media/image59.emf"/><Relationship Id="rId100" Type="http://schemas.openxmlformats.org/officeDocument/2006/relationships/image" Target="media/image82.emf"/><Relationship Id="rId105"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3.emf"/><Relationship Id="rId72" Type="http://schemas.openxmlformats.org/officeDocument/2006/relationships/image" Target="media/image54.emf"/><Relationship Id="rId93" Type="http://schemas.openxmlformats.org/officeDocument/2006/relationships/image" Target="media/image75.emf"/><Relationship Id="rId98" Type="http://schemas.openxmlformats.org/officeDocument/2006/relationships/image" Target="media/image80.emf"/><Relationship Id="rId3" Type="http://schemas.openxmlformats.org/officeDocument/2006/relationships/styles" Target="styles.xml"/><Relationship Id="rId25" Type="http://schemas.openxmlformats.org/officeDocument/2006/relationships/image" Target="media/image11.emf"/><Relationship Id="rId46" Type="http://schemas.openxmlformats.org/officeDocument/2006/relationships/image" Target="media/image28.emf"/><Relationship Id="rId67" Type="http://schemas.openxmlformats.org/officeDocument/2006/relationships/image" Target="media/image49.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iveutk-my.sharepoint.com/personal/zhyder_vols_utk_edu/Documents/EventStudyStaggerDiDPilot/analysis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liveutk-my.sharepoint.com/personal/zhyder_vols_utk_edu/Documents/EventStudyStaggerDiDPilot/analysis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iveutk-my.sharepoint.com/personal/zhyder_vols_utk_edu/Documents/EventStudyStaggerDiDPilot/analysis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iveutk-my.sharepoint.com/personal/zhyder_vols_utk_edu/Documents/EventStudyStaggerDiDPilot/analysisexce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stacked"/>
        <c:varyColors val="0"/>
        <c:ser>
          <c:idx val="0"/>
          <c:order val="0"/>
          <c:tx>
            <c:strRef>
              <c:f>all!$B$2</c:f>
              <c:strCache>
                <c:ptCount val="1"/>
                <c:pt idx="0">
                  <c:v>No Promise Program in Effect</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all!$A$3:$A$25</c:f>
              <c:numCache>
                <c:formatCode>0</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all!$B$3:$B$25</c:f>
              <c:numCache>
                <c:formatCode>#,##0</c:formatCode>
                <c:ptCount val="23"/>
                <c:pt idx="0">
                  <c:v>2525</c:v>
                </c:pt>
                <c:pt idx="1">
                  <c:v>2525</c:v>
                </c:pt>
                <c:pt idx="2">
                  <c:v>2525</c:v>
                </c:pt>
                <c:pt idx="3">
                  <c:v>2525</c:v>
                </c:pt>
                <c:pt idx="4">
                  <c:v>2525</c:v>
                </c:pt>
                <c:pt idx="5">
                  <c:v>2524</c:v>
                </c:pt>
                <c:pt idx="6">
                  <c:v>2520</c:v>
                </c:pt>
                <c:pt idx="7">
                  <c:v>2519</c:v>
                </c:pt>
                <c:pt idx="8">
                  <c:v>2514</c:v>
                </c:pt>
                <c:pt idx="9">
                  <c:v>2513</c:v>
                </c:pt>
                <c:pt idx="10">
                  <c:v>2511</c:v>
                </c:pt>
                <c:pt idx="11">
                  <c:v>2509</c:v>
                </c:pt>
                <c:pt idx="12">
                  <c:v>2502</c:v>
                </c:pt>
                <c:pt idx="13">
                  <c:v>2500</c:v>
                </c:pt>
                <c:pt idx="14">
                  <c:v>2497</c:v>
                </c:pt>
                <c:pt idx="15">
                  <c:v>2452</c:v>
                </c:pt>
                <c:pt idx="16">
                  <c:v>2411</c:v>
                </c:pt>
                <c:pt idx="17">
                  <c:v>2330</c:v>
                </c:pt>
                <c:pt idx="18">
                  <c:v>2259</c:v>
                </c:pt>
                <c:pt idx="19">
                  <c:v>2203</c:v>
                </c:pt>
                <c:pt idx="20">
                  <c:v>2180</c:v>
                </c:pt>
                <c:pt idx="21">
                  <c:v>2082</c:v>
                </c:pt>
                <c:pt idx="22">
                  <c:v>2076</c:v>
                </c:pt>
              </c:numCache>
            </c:numRef>
          </c:val>
          <c:extLst>
            <c:ext xmlns:c16="http://schemas.microsoft.com/office/drawing/2014/chart" uri="{C3380CC4-5D6E-409C-BE32-E72D297353CC}">
              <c16:uniqueId val="{00000000-A18D-4AA2-96B0-849AC864E86B}"/>
            </c:ext>
          </c:extLst>
        </c:ser>
        <c:ser>
          <c:idx val="1"/>
          <c:order val="1"/>
          <c:tx>
            <c:strRef>
              <c:f>all!$C$2</c:f>
              <c:strCache>
                <c:ptCount val="1"/>
                <c:pt idx="0">
                  <c:v>Promise Program in Effect </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all!$A$3:$A$25</c:f>
              <c:numCache>
                <c:formatCode>0</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all!$C$3:$C$25</c:f>
              <c:numCache>
                <c:formatCode>#,##0</c:formatCode>
                <c:ptCount val="23"/>
                <c:pt idx="0">
                  <c:v>0</c:v>
                </c:pt>
                <c:pt idx="1">
                  <c:v>0</c:v>
                </c:pt>
                <c:pt idx="2">
                  <c:v>0</c:v>
                </c:pt>
                <c:pt idx="3">
                  <c:v>0</c:v>
                </c:pt>
                <c:pt idx="4">
                  <c:v>0</c:v>
                </c:pt>
                <c:pt idx="5">
                  <c:v>1</c:v>
                </c:pt>
                <c:pt idx="6">
                  <c:v>5</c:v>
                </c:pt>
                <c:pt idx="7">
                  <c:v>6</c:v>
                </c:pt>
                <c:pt idx="8">
                  <c:v>11</c:v>
                </c:pt>
                <c:pt idx="9">
                  <c:v>12</c:v>
                </c:pt>
                <c:pt idx="10">
                  <c:v>14</c:v>
                </c:pt>
                <c:pt idx="11">
                  <c:v>16</c:v>
                </c:pt>
                <c:pt idx="12">
                  <c:v>23</c:v>
                </c:pt>
                <c:pt idx="13">
                  <c:v>25</c:v>
                </c:pt>
                <c:pt idx="14">
                  <c:v>28</c:v>
                </c:pt>
                <c:pt idx="15">
                  <c:v>73</c:v>
                </c:pt>
                <c:pt idx="16">
                  <c:v>114</c:v>
                </c:pt>
                <c:pt idx="17">
                  <c:v>195</c:v>
                </c:pt>
                <c:pt idx="18">
                  <c:v>266</c:v>
                </c:pt>
                <c:pt idx="19">
                  <c:v>322</c:v>
                </c:pt>
                <c:pt idx="20">
                  <c:v>345</c:v>
                </c:pt>
                <c:pt idx="21">
                  <c:v>443</c:v>
                </c:pt>
                <c:pt idx="22">
                  <c:v>449</c:v>
                </c:pt>
              </c:numCache>
            </c:numRef>
          </c:val>
          <c:extLst>
            <c:ext xmlns:c16="http://schemas.microsoft.com/office/drawing/2014/chart" uri="{C3380CC4-5D6E-409C-BE32-E72D297353CC}">
              <c16:uniqueId val="{00000001-A18D-4AA2-96B0-849AC864E86B}"/>
            </c:ext>
          </c:extLst>
        </c:ser>
        <c:dLbls>
          <c:dLblPos val="ctr"/>
          <c:showLegendKey val="0"/>
          <c:showVal val="1"/>
          <c:showCatName val="0"/>
          <c:showSerName val="0"/>
          <c:showPercent val="0"/>
          <c:showBubbleSize val="0"/>
        </c:dLbls>
        <c:gapWidth val="40"/>
        <c:overlap val="100"/>
        <c:axId val="117670400"/>
        <c:axId val="117658880"/>
      </c:barChart>
      <c:catAx>
        <c:axId val="1176704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658880"/>
        <c:crosses val="autoZero"/>
        <c:auto val="1"/>
        <c:lblAlgn val="ctr"/>
        <c:lblOffset val="100"/>
        <c:noMultiLvlLbl val="0"/>
      </c:catAx>
      <c:valAx>
        <c:axId val="117658880"/>
        <c:scaling>
          <c:orientation val="minMax"/>
          <c:max val="26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Count of Institutions</a:t>
                </a:r>
                <a:r>
                  <a:rPr lang="en-US" baseline="0"/>
                  <a:t> in Sample by Promise Program Operation Status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670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239050568006451"/>
          <c:y val="2.2199095736440799E-2"/>
          <c:w val="0.85743020973746154"/>
          <c:h val="0.78300820907702673"/>
        </c:manualLayout>
      </c:layout>
      <c:barChart>
        <c:barDir val="bar"/>
        <c:grouping val="stacked"/>
        <c:varyColors val="0"/>
        <c:ser>
          <c:idx val="0"/>
          <c:order val="0"/>
          <c:tx>
            <c:strRef>
              <c:f>nonprofit!$B$2</c:f>
              <c:strCache>
                <c:ptCount val="1"/>
                <c:pt idx="0">
                  <c:v>No Promise Program in Effect</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nonprofit!$A$3:$A$25</c:f>
              <c:numCache>
                <c:formatCode>0</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nonprofit!$B$3:$B$25</c:f>
              <c:numCache>
                <c:formatCode>#,##0</c:formatCode>
                <c:ptCount val="23"/>
                <c:pt idx="0">
                  <c:v>1786</c:v>
                </c:pt>
                <c:pt idx="1">
                  <c:v>1786</c:v>
                </c:pt>
                <c:pt idx="2">
                  <c:v>1786</c:v>
                </c:pt>
                <c:pt idx="3">
                  <c:v>1786</c:v>
                </c:pt>
                <c:pt idx="4">
                  <c:v>1786</c:v>
                </c:pt>
                <c:pt idx="5">
                  <c:v>1785</c:v>
                </c:pt>
                <c:pt idx="6">
                  <c:v>1781</c:v>
                </c:pt>
                <c:pt idx="7">
                  <c:v>1780</c:v>
                </c:pt>
                <c:pt idx="8">
                  <c:v>1775</c:v>
                </c:pt>
                <c:pt idx="9">
                  <c:v>1774</c:v>
                </c:pt>
                <c:pt idx="10">
                  <c:v>1772</c:v>
                </c:pt>
                <c:pt idx="11">
                  <c:v>1770</c:v>
                </c:pt>
                <c:pt idx="12">
                  <c:v>1763</c:v>
                </c:pt>
                <c:pt idx="13">
                  <c:v>1761</c:v>
                </c:pt>
                <c:pt idx="14">
                  <c:v>1758</c:v>
                </c:pt>
                <c:pt idx="15">
                  <c:v>1713</c:v>
                </c:pt>
                <c:pt idx="16">
                  <c:v>1672</c:v>
                </c:pt>
                <c:pt idx="17">
                  <c:v>1591</c:v>
                </c:pt>
                <c:pt idx="18">
                  <c:v>1520</c:v>
                </c:pt>
                <c:pt idx="19">
                  <c:v>1465</c:v>
                </c:pt>
                <c:pt idx="20">
                  <c:v>1442</c:v>
                </c:pt>
                <c:pt idx="21">
                  <c:v>1344</c:v>
                </c:pt>
                <c:pt idx="22">
                  <c:v>1338</c:v>
                </c:pt>
              </c:numCache>
            </c:numRef>
          </c:val>
          <c:extLst>
            <c:ext xmlns:c16="http://schemas.microsoft.com/office/drawing/2014/chart" uri="{C3380CC4-5D6E-409C-BE32-E72D297353CC}">
              <c16:uniqueId val="{00000000-5200-4B5F-A553-D87DE80F8360}"/>
            </c:ext>
          </c:extLst>
        </c:ser>
        <c:ser>
          <c:idx val="1"/>
          <c:order val="1"/>
          <c:tx>
            <c:strRef>
              <c:f>nonprofit!$C$2</c:f>
              <c:strCache>
                <c:ptCount val="1"/>
                <c:pt idx="0">
                  <c:v>Promise Program in Effect </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nonprofit!$A$3:$A$25</c:f>
              <c:numCache>
                <c:formatCode>0</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nonprofit!$C$3:$C$25</c:f>
              <c:numCache>
                <c:formatCode>#,##0</c:formatCode>
                <c:ptCount val="23"/>
                <c:pt idx="0">
                  <c:v>0</c:v>
                </c:pt>
                <c:pt idx="1">
                  <c:v>0</c:v>
                </c:pt>
                <c:pt idx="2">
                  <c:v>0</c:v>
                </c:pt>
                <c:pt idx="3">
                  <c:v>0</c:v>
                </c:pt>
                <c:pt idx="4">
                  <c:v>0</c:v>
                </c:pt>
                <c:pt idx="5">
                  <c:v>1</c:v>
                </c:pt>
                <c:pt idx="6">
                  <c:v>5</c:v>
                </c:pt>
                <c:pt idx="7">
                  <c:v>6</c:v>
                </c:pt>
                <c:pt idx="8">
                  <c:v>11</c:v>
                </c:pt>
                <c:pt idx="9">
                  <c:v>12</c:v>
                </c:pt>
                <c:pt idx="10">
                  <c:v>14</c:v>
                </c:pt>
                <c:pt idx="11">
                  <c:v>16</c:v>
                </c:pt>
                <c:pt idx="12">
                  <c:v>23</c:v>
                </c:pt>
                <c:pt idx="13">
                  <c:v>25</c:v>
                </c:pt>
                <c:pt idx="14">
                  <c:v>28</c:v>
                </c:pt>
                <c:pt idx="15">
                  <c:v>73</c:v>
                </c:pt>
                <c:pt idx="16">
                  <c:v>114</c:v>
                </c:pt>
                <c:pt idx="17">
                  <c:v>195</c:v>
                </c:pt>
                <c:pt idx="18">
                  <c:v>266</c:v>
                </c:pt>
                <c:pt idx="19">
                  <c:v>321</c:v>
                </c:pt>
                <c:pt idx="20">
                  <c:v>344</c:v>
                </c:pt>
                <c:pt idx="21">
                  <c:v>442</c:v>
                </c:pt>
                <c:pt idx="22">
                  <c:v>448</c:v>
                </c:pt>
              </c:numCache>
            </c:numRef>
          </c:val>
          <c:extLst>
            <c:ext xmlns:c16="http://schemas.microsoft.com/office/drawing/2014/chart" uri="{C3380CC4-5D6E-409C-BE32-E72D297353CC}">
              <c16:uniqueId val="{00000001-5200-4B5F-A553-D87DE80F8360}"/>
            </c:ext>
          </c:extLst>
        </c:ser>
        <c:dLbls>
          <c:dLblPos val="ctr"/>
          <c:showLegendKey val="0"/>
          <c:showVal val="1"/>
          <c:showCatName val="0"/>
          <c:showSerName val="0"/>
          <c:showPercent val="0"/>
          <c:showBubbleSize val="0"/>
        </c:dLbls>
        <c:gapWidth val="40"/>
        <c:overlap val="100"/>
        <c:axId val="117670400"/>
        <c:axId val="117658880"/>
      </c:barChart>
      <c:catAx>
        <c:axId val="1176704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658880"/>
        <c:crosses val="autoZero"/>
        <c:auto val="1"/>
        <c:lblAlgn val="ctr"/>
        <c:lblOffset val="100"/>
        <c:noMultiLvlLbl val="0"/>
      </c:catAx>
      <c:valAx>
        <c:axId val="117658880"/>
        <c:scaling>
          <c:orientation val="minMax"/>
          <c:max val="18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Count of Institutions</a:t>
                </a:r>
                <a:r>
                  <a:rPr lang="en-US" baseline="0"/>
                  <a:t> in Sample by Promise Program Operation Status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670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239050568006451"/>
          <c:y val="2.2199095736440799E-2"/>
          <c:w val="0.85743020973746154"/>
          <c:h val="0.78300820907702673"/>
        </c:manualLayout>
      </c:layout>
      <c:barChart>
        <c:barDir val="bar"/>
        <c:grouping val="stacked"/>
        <c:varyColors val="0"/>
        <c:ser>
          <c:idx val="0"/>
          <c:order val="0"/>
          <c:tx>
            <c:strRef>
              <c:f>Public!$B$2</c:f>
              <c:strCache>
                <c:ptCount val="1"/>
                <c:pt idx="0">
                  <c:v>No Promise Program in Effect</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Public!$A$3:$A$25</c:f>
              <c:numCache>
                <c:formatCode>0</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Public!$B$3:$B$25</c:f>
              <c:numCache>
                <c:formatCode>#,##0</c:formatCode>
                <c:ptCount val="23"/>
                <c:pt idx="0">
                  <c:v>1322</c:v>
                </c:pt>
                <c:pt idx="1">
                  <c:v>1322</c:v>
                </c:pt>
                <c:pt idx="2">
                  <c:v>1322</c:v>
                </c:pt>
                <c:pt idx="3">
                  <c:v>1322</c:v>
                </c:pt>
                <c:pt idx="4">
                  <c:v>1322</c:v>
                </c:pt>
                <c:pt idx="5">
                  <c:v>1321</c:v>
                </c:pt>
                <c:pt idx="6">
                  <c:v>1317</c:v>
                </c:pt>
                <c:pt idx="7">
                  <c:v>1316</c:v>
                </c:pt>
                <c:pt idx="8">
                  <c:v>1311</c:v>
                </c:pt>
                <c:pt idx="9">
                  <c:v>1310</c:v>
                </c:pt>
                <c:pt idx="10">
                  <c:v>1308</c:v>
                </c:pt>
                <c:pt idx="11">
                  <c:v>1306</c:v>
                </c:pt>
                <c:pt idx="12">
                  <c:v>1299</c:v>
                </c:pt>
                <c:pt idx="13">
                  <c:v>1297</c:v>
                </c:pt>
                <c:pt idx="14">
                  <c:v>1294</c:v>
                </c:pt>
                <c:pt idx="15">
                  <c:v>1249</c:v>
                </c:pt>
                <c:pt idx="16">
                  <c:v>1210</c:v>
                </c:pt>
                <c:pt idx="17">
                  <c:v>1129</c:v>
                </c:pt>
                <c:pt idx="18">
                  <c:v>1058</c:v>
                </c:pt>
                <c:pt idx="19">
                  <c:v>1003</c:v>
                </c:pt>
                <c:pt idx="20">
                  <c:v>980</c:v>
                </c:pt>
                <c:pt idx="21">
                  <c:v>882</c:v>
                </c:pt>
                <c:pt idx="22">
                  <c:v>876</c:v>
                </c:pt>
              </c:numCache>
            </c:numRef>
          </c:val>
          <c:extLst>
            <c:ext xmlns:c16="http://schemas.microsoft.com/office/drawing/2014/chart" uri="{C3380CC4-5D6E-409C-BE32-E72D297353CC}">
              <c16:uniqueId val="{00000000-2EE3-4B2F-BC64-161373A46BBC}"/>
            </c:ext>
          </c:extLst>
        </c:ser>
        <c:ser>
          <c:idx val="1"/>
          <c:order val="1"/>
          <c:tx>
            <c:strRef>
              <c:f>Public!$C$2</c:f>
              <c:strCache>
                <c:ptCount val="1"/>
                <c:pt idx="0">
                  <c:v>Promise Program in Effect </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Public!$A$3:$A$25</c:f>
              <c:numCache>
                <c:formatCode>0</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Public!$C$3:$C$25</c:f>
              <c:numCache>
                <c:formatCode>#,##0</c:formatCode>
                <c:ptCount val="23"/>
                <c:pt idx="0">
                  <c:v>0</c:v>
                </c:pt>
                <c:pt idx="1">
                  <c:v>0</c:v>
                </c:pt>
                <c:pt idx="2">
                  <c:v>0</c:v>
                </c:pt>
                <c:pt idx="3">
                  <c:v>0</c:v>
                </c:pt>
                <c:pt idx="4">
                  <c:v>0</c:v>
                </c:pt>
                <c:pt idx="5">
                  <c:v>1</c:v>
                </c:pt>
                <c:pt idx="6">
                  <c:v>5</c:v>
                </c:pt>
                <c:pt idx="7">
                  <c:v>6</c:v>
                </c:pt>
                <c:pt idx="8">
                  <c:v>11</c:v>
                </c:pt>
                <c:pt idx="9">
                  <c:v>12</c:v>
                </c:pt>
                <c:pt idx="10">
                  <c:v>14</c:v>
                </c:pt>
                <c:pt idx="11">
                  <c:v>16</c:v>
                </c:pt>
                <c:pt idx="12">
                  <c:v>23</c:v>
                </c:pt>
                <c:pt idx="13">
                  <c:v>25</c:v>
                </c:pt>
                <c:pt idx="14">
                  <c:v>28</c:v>
                </c:pt>
                <c:pt idx="15">
                  <c:v>73</c:v>
                </c:pt>
                <c:pt idx="16">
                  <c:v>112</c:v>
                </c:pt>
                <c:pt idx="17">
                  <c:v>193</c:v>
                </c:pt>
                <c:pt idx="18">
                  <c:v>264</c:v>
                </c:pt>
                <c:pt idx="19">
                  <c:v>319</c:v>
                </c:pt>
                <c:pt idx="20">
                  <c:v>342</c:v>
                </c:pt>
                <c:pt idx="21">
                  <c:v>440</c:v>
                </c:pt>
                <c:pt idx="22">
                  <c:v>446</c:v>
                </c:pt>
              </c:numCache>
            </c:numRef>
          </c:val>
          <c:extLst>
            <c:ext xmlns:c16="http://schemas.microsoft.com/office/drawing/2014/chart" uri="{C3380CC4-5D6E-409C-BE32-E72D297353CC}">
              <c16:uniqueId val="{00000001-2EE3-4B2F-BC64-161373A46BBC}"/>
            </c:ext>
          </c:extLst>
        </c:ser>
        <c:dLbls>
          <c:dLblPos val="ctr"/>
          <c:showLegendKey val="0"/>
          <c:showVal val="1"/>
          <c:showCatName val="0"/>
          <c:showSerName val="0"/>
          <c:showPercent val="0"/>
          <c:showBubbleSize val="0"/>
        </c:dLbls>
        <c:gapWidth val="40"/>
        <c:overlap val="100"/>
        <c:axId val="117670400"/>
        <c:axId val="117658880"/>
      </c:barChart>
      <c:catAx>
        <c:axId val="1176704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658880"/>
        <c:crosses val="autoZero"/>
        <c:auto val="1"/>
        <c:lblAlgn val="ctr"/>
        <c:lblOffset val="100"/>
        <c:noMultiLvlLbl val="0"/>
      </c:catAx>
      <c:valAx>
        <c:axId val="117658880"/>
        <c:scaling>
          <c:orientation val="minMax"/>
          <c:max val="135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Count of Institutions</a:t>
                </a:r>
                <a:r>
                  <a:rPr lang="en-US" baseline="0"/>
                  <a:t> in Sample by Promise Program Operation Status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670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239050568006451"/>
          <c:y val="2.2199095736440799E-2"/>
          <c:w val="0.85743020973746154"/>
          <c:h val="0.78300820907702673"/>
        </c:manualLayout>
      </c:layout>
      <c:barChart>
        <c:barDir val="bar"/>
        <c:grouping val="stacked"/>
        <c:varyColors val="0"/>
        <c:ser>
          <c:idx val="0"/>
          <c:order val="0"/>
          <c:tx>
            <c:strRef>
              <c:f>'state funded'!$B$2</c:f>
              <c:strCache>
                <c:ptCount val="1"/>
                <c:pt idx="0">
                  <c:v>No Promise Program in Effect</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'state funded'!$A$3:$A$25</c:f>
              <c:numCache>
                <c:formatCode>0</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'state funded'!$B$3:$B$25</c:f>
              <c:numCache>
                <c:formatCode>#,##0</c:formatCode>
                <c:ptCount val="23"/>
                <c:pt idx="0">
                  <c:v>1173</c:v>
                </c:pt>
                <c:pt idx="1">
                  <c:v>1173</c:v>
                </c:pt>
                <c:pt idx="2">
                  <c:v>1173</c:v>
                </c:pt>
                <c:pt idx="3">
                  <c:v>1173</c:v>
                </c:pt>
                <c:pt idx="4">
                  <c:v>1173</c:v>
                </c:pt>
                <c:pt idx="5">
                  <c:v>1172</c:v>
                </c:pt>
                <c:pt idx="6">
                  <c:v>1168</c:v>
                </c:pt>
                <c:pt idx="7">
                  <c:v>1167</c:v>
                </c:pt>
                <c:pt idx="8">
                  <c:v>1162</c:v>
                </c:pt>
                <c:pt idx="9">
                  <c:v>1161</c:v>
                </c:pt>
                <c:pt idx="10">
                  <c:v>1159</c:v>
                </c:pt>
                <c:pt idx="11">
                  <c:v>1157</c:v>
                </c:pt>
                <c:pt idx="12">
                  <c:v>1150</c:v>
                </c:pt>
                <c:pt idx="13">
                  <c:v>1149</c:v>
                </c:pt>
                <c:pt idx="14">
                  <c:v>1146</c:v>
                </c:pt>
                <c:pt idx="15">
                  <c:v>1109</c:v>
                </c:pt>
                <c:pt idx="16">
                  <c:v>1071</c:v>
                </c:pt>
                <c:pt idx="17">
                  <c:v>990</c:v>
                </c:pt>
                <c:pt idx="18">
                  <c:v>921</c:v>
                </c:pt>
                <c:pt idx="19">
                  <c:v>869</c:v>
                </c:pt>
                <c:pt idx="20">
                  <c:v>847</c:v>
                </c:pt>
                <c:pt idx="21">
                  <c:v>749</c:v>
                </c:pt>
                <c:pt idx="22">
                  <c:v>743</c:v>
                </c:pt>
              </c:numCache>
            </c:numRef>
          </c:val>
          <c:extLst>
            <c:ext xmlns:c16="http://schemas.microsoft.com/office/drawing/2014/chart" uri="{C3380CC4-5D6E-409C-BE32-E72D297353CC}">
              <c16:uniqueId val="{00000000-D3FF-4C93-A13C-C1A97894C7A5}"/>
            </c:ext>
          </c:extLst>
        </c:ser>
        <c:ser>
          <c:idx val="1"/>
          <c:order val="1"/>
          <c:tx>
            <c:strRef>
              <c:f>'state funded'!$C$2</c:f>
              <c:strCache>
                <c:ptCount val="1"/>
                <c:pt idx="0">
                  <c:v>Promise Program in Effect </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'state funded'!$A$3:$A$25</c:f>
              <c:numCache>
                <c:formatCode>0</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'state funded'!$C$3:$C$25</c:f>
              <c:numCache>
                <c:formatCode>#,##0</c:formatCode>
                <c:ptCount val="23"/>
                <c:pt idx="0">
                  <c:v>0</c:v>
                </c:pt>
                <c:pt idx="1">
                  <c:v>0</c:v>
                </c:pt>
                <c:pt idx="2">
                  <c:v>0</c:v>
                </c:pt>
                <c:pt idx="3">
                  <c:v>0</c:v>
                </c:pt>
                <c:pt idx="4">
                  <c:v>0</c:v>
                </c:pt>
                <c:pt idx="5">
                  <c:v>1</c:v>
                </c:pt>
                <c:pt idx="6">
                  <c:v>5</c:v>
                </c:pt>
                <c:pt idx="7">
                  <c:v>6</c:v>
                </c:pt>
                <c:pt idx="8">
                  <c:v>11</c:v>
                </c:pt>
                <c:pt idx="9">
                  <c:v>12</c:v>
                </c:pt>
                <c:pt idx="10">
                  <c:v>14</c:v>
                </c:pt>
                <c:pt idx="11">
                  <c:v>16</c:v>
                </c:pt>
                <c:pt idx="12">
                  <c:v>23</c:v>
                </c:pt>
                <c:pt idx="13">
                  <c:v>24</c:v>
                </c:pt>
                <c:pt idx="14">
                  <c:v>27</c:v>
                </c:pt>
                <c:pt idx="15">
                  <c:v>64</c:v>
                </c:pt>
                <c:pt idx="16">
                  <c:v>102</c:v>
                </c:pt>
                <c:pt idx="17">
                  <c:v>183</c:v>
                </c:pt>
                <c:pt idx="18">
                  <c:v>252</c:v>
                </c:pt>
                <c:pt idx="19">
                  <c:v>304</c:v>
                </c:pt>
                <c:pt idx="20">
                  <c:v>326</c:v>
                </c:pt>
                <c:pt idx="21">
                  <c:v>424</c:v>
                </c:pt>
                <c:pt idx="22">
                  <c:v>430</c:v>
                </c:pt>
              </c:numCache>
            </c:numRef>
          </c:val>
          <c:extLst>
            <c:ext xmlns:c16="http://schemas.microsoft.com/office/drawing/2014/chart" uri="{C3380CC4-5D6E-409C-BE32-E72D297353CC}">
              <c16:uniqueId val="{00000001-D3FF-4C93-A13C-C1A97894C7A5}"/>
            </c:ext>
          </c:extLst>
        </c:ser>
        <c:dLbls>
          <c:dLblPos val="ctr"/>
          <c:showLegendKey val="0"/>
          <c:showVal val="1"/>
          <c:showCatName val="0"/>
          <c:showSerName val="0"/>
          <c:showPercent val="0"/>
          <c:showBubbleSize val="0"/>
        </c:dLbls>
        <c:gapWidth val="40"/>
        <c:overlap val="100"/>
        <c:axId val="117670400"/>
        <c:axId val="117658880"/>
      </c:barChart>
      <c:catAx>
        <c:axId val="1176704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658880"/>
        <c:crosses val="autoZero"/>
        <c:auto val="1"/>
        <c:lblAlgn val="ctr"/>
        <c:lblOffset val="100"/>
        <c:noMultiLvlLbl val="0"/>
      </c:catAx>
      <c:valAx>
        <c:axId val="117658880"/>
        <c:scaling>
          <c:orientation val="minMax"/>
          <c:max val="12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Count of Institutions</a:t>
                </a:r>
                <a:r>
                  <a:rPr lang="en-US" baseline="0"/>
                  <a:t> in Sample by Promise Program Operation Status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670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Par18</b:Tag>
    <b:SourceType>Book</b:SourceType>
    <b:Guid>{DA686F59-E334-AC4B-ADB0-8E950D711D3E}</b:Guid>
    <b:Author>
      <b:Author>
        <b:NameList>
          <b:Person>
            <b:Last>Miller-Adams</b:Last>
            <b:First>M.</b:First>
          </b:Person>
        </b:NameList>
      </b:Author>
    </b:Author>
    <b:Title>Promise Nation Transforming Communities through Place-Based Scholarships</b:Title>
    <b:Year>2015</b:Year>
    <b:Publisher>Upjohn Institute for Employment Research.</b:Publisher>
    <b:RefOrder>1</b:RefOrder>
  </b:Source>
  <b:Source>
    <b:Tag>Ful14</b:Tag>
    <b:SourceType>JournalArticle</b:SourceType>
    <b:Guid>{8263EC04-9297-814C-B4E8-B8706B4D9673}</b:Guid>
    <b:Title>A history of financial aid to students</b:Title>
    <b:Year>2014</b:Year>
    <b:Author>
      <b:Author>
        <b:NameList>
          <b:Person>
            <b:Last>Fuller</b:Last>
            <b:First>M.</b:First>
            <b:Middle>B.</b:Middle>
          </b:Person>
        </b:NameList>
      </b:Author>
    </b:Author>
    <b:JournalName>The Journal of Student Financial Aid</b:JournalName>
    <b:Volume>44</b:Volume>
    <b:Issue>1</b:Issue>
    <b:Pages>https://doi.org/10.55504/0884-9153.1078</b:Pages>
    <b:RefOrder>12</b:RefOrder>
  </b:Source>
  <b:Source>
    <b:Tag>Mor62</b:Tag>
    <b:SourceType>Case</b:SourceType>
    <b:Guid>{F5BFBA17-9984-1242-8A55-4F55DEB0F992}</b:Guid>
    <b:Author>
      <b:Author>
        <b:NameList>
          <b:Person>
            <b:Last>(1862).</b:Last>
            <b:First>Morrill</b:First>
            <b:Middle>Land Grant Act. Pub Law. No. 37-108. 12 Stat. 503</b:Middle>
          </b:Person>
        </b:NameList>
      </b:Author>
    </b:Author>
    <b:Title>Morrill Land Grant Act of 1862</b:Title>
    <b:Year>1862</b:Year>
    <b:Pages>https://www.archives.gov/milestone-documents/morrill-act#:~:text=Citation%3A%20Act%20of%20July%202,United%20States%20Government%3B%20National%20Archives</b:Pages>
    <b:CaseNumber>Public Law 37-108</b:CaseNumber>
    <b:Court>https://www.archives.gov/milestone-documents/morrill-act#:~:text=Citation%3A%20Act%20of%20July%202,United%20States%20Government%3B%20National%20Archives</b:Court>
    <b:RefOrder>13</b:RefOrder>
  </b:Source>
  <b:Source>
    <b:Tag>Sny93</b:Tag>
    <b:SourceType>Book</b:SourceType>
    <b:Guid>{98BB160B-82F2-6444-8349-51774AF6AFB6}</b:Guid>
    <b:Author>
      <b:Author>
        <b:NameList>
          <b:Person>
            <b:Last>Snyder</b:Last>
            <b:First>T.</b:First>
            <b:Middle>D.</b:Middle>
          </b:Person>
        </b:NameList>
      </b:Author>
    </b:Author>
    <b:Title>120 years of American education : a statistical portrait</b:Title>
    <b:Year>1993</b:Year>
    <b:Publisher>U.S. Dept. of Education, Office of Educational Research and Improvement, National Center for Education Statistics.</b:Publisher>
    <b:RefOrder>143</b:RefOrder>
  </b:Source>
  <b:Source>
    <b:Tag>Car84</b:Tag>
    <b:SourceType>Case</b:SourceType>
    <b:Guid>{95C21E21-EC97-324A-9E26-4D7CC57C71DD}</b:Guid>
    <b:Title>Carl. D. Perkins Career and Technical Education Act</b:Title>
    <b:CaseNumber>Pub. L. 98-524 Stat. 2435</b:CaseNumber>
    <b:Court>https://www.govinfo.gov/content/pkg/STATUTE-98/pdf/STATUTE-98-Pg2435.pdf</b:Court>
    <b:Year>1984</b:Year>
    <b:RefOrder>14</b:RefOrder>
  </b:Source>
  <b:Source>
    <b:Tag>Eco64</b:Tag>
    <b:SourceType>Case</b:SourceType>
    <b:Guid>{FDAA24DB-AADD-8F4F-B3B9-0021BC7E11AB}</b:Guid>
    <b:Title>Economic Opportunity Act</b:Title>
    <b:CaseNumber>Pub. L. No. 88-452. 78 Stat. 508</b:CaseNumber>
    <b:Court>https://www.govinfo.gov/content/pkg/STATUTE-78/pdf/STATUTE-78-Pg508.pdf </b:Court>
    <b:Year>1964</b:Year>
    <b:RefOrder>15</b:RefOrder>
  </b:Source>
  <b:Source>
    <b:Tag>Hig72</b:Tag>
    <b:SourceType>Case</b:SourceType>
    <b:Guid>{31496966-A35C-A644-BD6C-C25990C39979}</b:Guid>
    <b:Title>Higher Education Act</b:Title>
    <b:CaseNumber>Pub. L. No. 92-318 Stat. 235</b:CaseNumber>
    <b:Court>https://www.govinfo.gov/content/pkg/STATUTE-86/pdf/STATUTE-86-Pg235.pdf  </b:Court>
    <b:Year>1972</b:Year>
    <b:RefOrder>16</b:RefOrder>
  </b:Source>
  <b:Source>
    <b:Tag>Uni23</b:Tag>
    <b:SourceType>Report</b:SourceType>
    <b:Guid>{3ED68DCF-24E7-B24E-BB7B-83F236F0B444}</b:Guid>
    <b:Title>Fiscal Year 2024 Budget Summary</b:Title>
    <b:Year>2023</b:Year>
    <b:Publisher>https://www2.ed.gov/about/overview/budget/budget24/summary/24summary.pdf</b:Publisher>
    <b:Author>
      <b:Author>
        <b:Corporate>United States Department of Education</b:Corporate>
      </b:Author>
    </b:Author>
    <b:InternetSiteTitle>Fiscal Year 2024 Budget Summary</b:InternetSiteTitle>
    <b:URL>https://www2.ed.gov/about/overview/budget/budget24/summary/24summary.pdf</b:URL>
    <b:RefOrder>17</b:RefOrder>
  </b:Source>
  <b:Source>
    <b:Tag>Hig65</b:Tag>
    <b:SourceType>Case</b:SourceType>
    <b:Guid>{A890BB4F-438B-4540-8892-A44B360DD232}</b:Guid>
    <b:Title>Higher Education Act</b:Title>
    <b:Year>1965</b:Year>
    <b:CaseNumber>Pub. L. No. 89-329. 79 Stat. 1219. </b:CaseNumber>
    <b:Court>https://www.govinfo.gov/link/statute/79/1219</b:Court>
    <b:RefOrder>18</b:RefOrder>
  </b:Source>
  <b:Source>
    <b:Tag>Hea01</b:Tag>
    <b:SourceType>BookSection</b:SourceType>
    <b:Guid>{0FE7C09C-333E-8E4C-BBFE-5113C9701F0E}</b:Guid>
    <b:Title>The paradox of growth in federal aid for college students, 1960–1990 </b:Title>
    <b:Year>2001</b:Year>
    <b:Author>
      <b:Author>
        <b:NameList>
          <b:Person>
            <b:Last>Hearn</b:Last>
            <b:First>J.</b:First>
            <b:Middle>C.</b:Middle>
          </b:Person>
        </b:NameList>
      </b:Author>
      <b:BookAuthor>
        <b:NameList>
          <b:Person>
            <b:Last>Paulsen</b:Last>
            <b:First>M.B.</b:First>
          </b:Person>
          <b:Person>
            <b:Last>Smart</b:Last>
            <b:First>J.C.</b:First>
          </b:Person>
        </b:NameList>
      </b:BookAuthor>
    </b:Author>
    <b:BookTitle>The finance of higher education: Theory, research, policy, and practice </b:BookTitle>
    <b:Publisher>Agathon Press</b:Publisher>
    <b:Pages>267-320</b:Pages>
    <b:RefOrder>19</b:RefOrder>
  </b:Source>
  <b:Source>
    <b:Tag>StJ18</b:Tag>
    <b:SourceType>Book</b:SourceType>
    <b:Guid>{EBE38125-50F5-D147-B170-CBFA81016FB6}</b:Guid>
    <b:Author>
      <b:Author>
        <b:NameList>
          <b:Person>
            <b:Last>St. John</b:Last>
            <b:First>E.P.</b:First>
          </b:Person>
          <b:Person>
            <b:Last>Daun-Barnett</b:Last>
            <b:First>N.</b:First>
          </b:Person>
          <b:Person>
            <b:Last>Moronski-Chapman</b:Last>
            <b:First>K.M.</b:First>
          </b:Person>
        </b:NameList>
      </b:Author>
    </b:Author>
    <b:Title>Public policy and higher education: Reframing strategies for preparation, access, and college success.</b:Title>
    <b:Publisher>Routledge</b:Publisher>
    <b:Year>2018</b:Year>
    <b:RefOrder>20</b:RefOrder>
  </b:Source>
  <b:Source>
    <b:Tag>Kel20</b:Tag>
    <b:SourceType>JournalArticle</b:SourceType>
    <b:Guid>{2F4AC709-9042-EF4D-B88D-5E97118E10A1}</b:Guid>
    <b:Title>Does the Bennett Hypothesis Hold in Professional Education? An Empirical Analysis</b:Title>
    <b:Year>2020</b:Year>
    <b:Author>
      <b:Author>
        <b:NameList>
          <b:Person>
            <b:Last>Kelchen</b:Last>
            <b:First>R.</b:First>
          </b:Person>
        </b:NameList>
      </b:Author>
    </b:Author>
    <b:JournalName>Research in Higher Education</b:JournalName>
    <b:Volume>6</b:Volume>
    <b:Issue>3</b:Issue>
    <b:Pages>357–382. https://doi.org/10.1007/s11162-019-09557-9</b:Pages>
    <b:RefOrder>21</b:RefOrder>
  </b:Source>
  <b:Source>
    <b:Tag>Sch93</b:Tag>
    <b:SourceType>Report</b:SourceType>
    <b:Guid>{909D918D-9EA0-8043-A9E3-EE881C28FAE2}</b:Guid>
    <b:Author>
      <b:Author>
        <b:NameList>
          <b:Person>
            <b:Last>Schenet</b:Last>
            <b:First>M.A.</b:First>
          </b:Person>
        </b:NameList>
      </b:Author>
    </b:Author>
    <b:Title>Recent Changes in Federal Student Aid</b:Title>
    <b:Publisher>CRS Report for Congress</b:Publisher>
    <b:Year>1993</b:Year>
    <b:RefOrder>22</b:RefOrder>
  </b:Source>
  <b:Source>
    <b:Tag>Hel06</b:Tag>
    <b:SourceType>BookSection</b:SourceType>
    <b:Guid>{731C4359-B453-C74F-92B5-1B6854354A00}</b:Guid>
    <b:Title>State support of higher educaiton: Past, present, and future</b:Title>
    <b:Publisher>Indianna University Press</b:Publisher>
    <b:Year>2006</b:Year>
    <b:Author>
      <b:Author>
        <b:NameList>
          <b:Person>
            <b:Last>Heller</b:Last>
            <b:First>D.E.</b:First>
          </b:Person>
        </b:NameList>
      </b:Author>
      <b:BookAuthor>
        <b:NameList>
          <b:Person>
            <b:Last>Priest</b:Last>
            <b:First>D.M.</b:First>
          </b:Person>
          <b:Person>
            <b:Last>St. John</b:Last>
            <b:First>E.P.</b:First>
          </b:Person>
        </b:NameList>
      </b:BookAuthor>
    </b:Author>
    <b:BookTitle>Privatization and public universities</b:BookTitle>
    <b:Pages>11-37</b:Pages>
    <b:RefOrder>25</b:RefOrder>
  </b:Source>
  <b:Source>
    <b:Tag>Gol99</b:Tag>
    <b:SourceType>JournalArticle</b:SourceType>
    <b:Guid>{F38DA2A5-D6CB-E046-B0FF-71C46F1CD171}</b:Guid>
    <b:Title>The shaping of higher educaiton: The formative years in the United States, 1890-1940</b:Title>
    <b:Year>1999</b:Year>
    <b:Pages>37-62. https://doi.org/10.1257/jep.13.1.37</b:Pages>
    <b:Author>
      <b:Author>
        <b:NameList>
          <b:Person>
            <b:Last>Goldin</b:Last>
            <b:First>C.</b:First>
          </b:Person>
          <b:Person>
            <b:Last>Katz</b:Last>
            <b:First>L.F.</b:First>
          </b:Person>
        </b:NameList>
      </b:Author>
    </b:Author>
    <b:JournalName>Journal of Economic Persepectives</b:JournalName>
    <b:Volume>13</b:Volume>
    <b:Issue>1</b:Issue>
    <b:RefOrder>26</b:RefOrder>
  </b:Source>
  <b:Source>
    <b:Tag>Mit14</b:Tag>
    <b:SourceType>JournalArticle</b:SourceType>
    <b:Guid>{AEE91A8E-0750-1F4B-AD41-AFDDF4DDE4A7}</b:Guid>
    <b:Author>
      <b:Author>
        <b:NameList>
          <b:Person>
            <b:Last>Mitchell</b:Last>
            <b:First>M.</b:First>
          </b:Person>
          <b:Person>
            <b:Last>Palacious</b:Last>
            <b:First>V.</b:First>
          </b:Person>
          <b:Person>
            <b:Last>Leachman</b:Last>
            <b:First>M.</b:First>
          </b:Person>
        </b:NameList>
      </b:Author>
    </b:Author>
    <b:Title>States are still funding higher education below pre-recession levels.</b:Title>
    <b:JournalName>Journal of Collective Bargaining in the Academy</b:JournalName>
    <b:Year>2014</b:Year>
    <b:Issue>10</b:Issue>
    <b:Pages>https://doi.org/10.58188/1941-8043.1524</b:Pages>
    <b:RefOrder>27</b:RefOrder>
  </b:Source>
  <b:Source>
    <b:Tag>Kun23</b:Tag>
    <b:SourceType>DocumentFromInternetSite</b:SourceType>
    <b:Guid>{F366BD2A-B016-0143-934F-F15523B5DD53}</b:Guid>
    <b:Title>State higher education finance report: Fiscal year 2022</b:Title>
    <b:InternetSiteTitle>State Higher Educaiton Executive Officers Association</b:InternetSiteTitle>
    <b:URL>https://shef.sheeo.org/wp-content/uploads/2023/05/SHEEO_SHEF_FY22_Report.pdf </b:URL>
    <b:Year>2023</b:Year>
    <b:Author>
      <b:Author>
        <b:NameList>
          <b:Person>
            <b:Last>Kunkle</b:Last>
            <b:First>K</b:First>
          </b:Person>
          <b:Person>
            <b:Last>Laderman</b:Last>
            <b:First>S.</b:First>
          </b:Person>
        </b:NameList>
      </b:Author>
    </b:Author>
    <b:RefOrder>28</b:RefOrder>
  </b:Source>
  <b:Source>
    <b:Tag>Edu21</b:Tag>
    <b:SourceType>InternetSite</b:SourceType>
    <b:Guid>{23225494-323A-604F-9832-41C0E7AFA7EB}</b:Guid>
    <b:Title>Need- and Merit-Based Financial Aid 2021  Is the program need-based, merit-based, a hybrid or based on other criteria?</b:Title>
    <b:Year>2021</b:Year>
    <b:Author>
      <b:Author>
        <b:Corporate>Education Comission of the States</b:Corporate>
      </b:Author>
    </b:Author>
    <b:URL>https://reports.ecs.org/comparisons/need--and-merit-based-financial-aid-2021-01?sort=1861&amp;</b:URL>
    <b:RefOrder>29</b:RefOrder>
  </b:Source>
  <b:Source>
    <b:Tag>Hel02</b:Tag>
    <b:SourceType>ConferenceProceedings</b:SourceType>
    <b:Guid>{952A3725-0DC3-524A-B8F9-31A4240CB7C2}</b:Guid>
    <b:Publisher>Harvard University</b:Publisher>
    <b:Year>2002</b:Year>
    <b:Author>
      <b:Author>
        <b:NameList>
          <b:Person>
            <b:Last>Heller</b:Last>
            <b:First>D.E.</b:First>
          </b:Person>
          <b:Person>
            <b:Last>Marin</b:Last>
            <b:First>P.</b:First>
          </b:Person>
        </b:NameList>
      </b:Author>
    </b:Author>
    <b:ConferenceName>State Merit Aid Programs: College Access and Equity</b:ConferenceName>
    <b:Title>Who should we help? The negative social effects of merit aid</b:Title>
    <b:RefOrder>31</b:RefOrder>
  </b:Source>
  <b:Source>
    <b:Tag>Wee06</b:Tag>
    <b:SourceType>JournalArticle</b:SourceType>
    <b:Guid>{6108A16A-D1C6-B24B-A856-A117A3D30C42}</b:Guid>
    <b:Title>Examining differences in state support for higher education: A compartative study of state appropirations for reserach I universities</b:Title>
    <b:Year>2006</b:Year>
    <b:Author>
      <b:Author>
        <b:NameList>
          <b:Person>
            <b:Last>Weerts</b:Last>
            <b:First>D.J.</b:First>
          </b:Person>
          <b:Person>
            <b:Last>Ronca</b:Last>
            <b:First>J.M.</b:First>
          </b:Person>
        </b:NameList>
      </b:Author>
    </b:Author>
    <b:JournalName>The Journal of Higher Educaiton</b:JournalName>
    <b:Volume>77</b:Volume>
    <b:Issue>6</b:Issue>
    <b:Pages>935-967. https://doi.org/10.1080/00221546.2006.11778952</b:Pages>
    <b:RefOrder>33</b:RefOrder>
  </b:Source>
  <b:Source>
    <b:Tag>Nat20</b:Tag>
    <b:SourceType>InternetSite</b:SourceType>
    <b:Guid>{D32825AD-3A39-3F46-B0E5-03ACCE4E0CB5}</b:Guid>
    <b:Title>Job: Had job while enrolled in 2019-20 (excl. work-study/fellowship) by Enrollment pattern. Filtered by Institutional category and control (Primarily baccalaureate or above, public).</b:Title>
    <b:Year>2020</b:Year>
    <b:Author>
      <b:Author>
        <b:Corporate>National Postsecondary Student Aid Study</b:Corporate>
      </b:Author>
    </b:Author>
    <b:URL>https://nces.ed.gov/d</b:URL>
    <b:RefOrder>35</b:RefOrder>
  </b:Source>
  <b:Source>
    <b:Tag>Hor06</b:Tag>
    <b:SourceType>InternetSite</b:SourceType>
    <b:Guid>{D5F33DFC-C122-D14C-9DDF-D6A428C5CDFC}</b:Guid>
    <b:Author>
      <b:Author>
        <b:NameList>
          <b:Person>
            <b:Last>Horn</b:Last>
            <b:First>L.</b:First>
          </b:Person>
          <b:Person>
            <b:Last>Nevill</b:Last>
            <b:First>S.</b:First>
          </b:Person>
          <b:Person>
            <b:Last>Griffith</b:Last>
            <b:First>J.</b:First>
          </b:Person>
        </b:NameList>
      </b:Author>
    </b:Author>
    <b:Title>Profile of Undergraduates in US Postsecondary Education Institutions, 2003-04: With a Special Analysis of Community College Students. Statistical Analysis Report. NCES 2006-184. </b:Title>
    <b:InternetSiteTitle>National Center for Education Statistics</b:InternetSiteTitle>
    <b:Year>2006</b:Year>
    <b:RefOrder>36</b:RefOrder>
  </b:Source>
  <b:Source>
    <b:Tag>Sch17</b:Tag>
    <b:SourceType>DocumentFromInternetSite</b:SourceType>
    <b:Guid>{E53CBA12-73BB-EB43-AEA2-2970E5722B0E}</b:Guid>
    <b:Author>
      <b:Author>
        <b:NameList>
          <b:Person>
            <b:Last>Schanzenbach</b:Last>
            <b:First>W.D.</b:First>
          </b:Person>
          <b:Person>
            <b:Last>Bauer</b:Last>
            <b:First>L.</b:First>
          </b:Person>
          <b:Person>
            <b:Last>Breitwieser</b:Last>
            <b:First>A.</b:First>
          </b:Person>
        </b:NameList>
      </b:Author>
    </b:Author>
    <b:Title>Eight Economic Facts on Higher Education: Economic Facts</b:Title>
    <b:Year>2017</b:Year>
    <b:Publisher>Brookings</b:Publisher>
    <b:InternetSiteTitle>Brookings Institution</b:InternetSiteTitle>
    <b:URL>https://www.brookings.edu/wp-content/uploads/2017/04/thp_20170426_eight_economic_facts_higher_education.pdf</b:URL>
    <b:RefOrder>37</b:RefOrder>
  </b:Source>
  <b:Source>
    <b:Tag>The21</b:Tag>
    <b:SourceType>Report</b:SourceType>
    <b:Guid>{9D26EA9D-D27E-D94A-9AA9-64E38D067FB7}</b:Guid>
    <b:Title>The Hope Center Survey 2021: Basic Needs Insecurity During the Ongoing Pandemic</b:Title>
    <b:Year>2021</b:Year>
    <b:Author>
      <b:Author>
        <b:NameList>
          <b:Person>
            <b:Last>The Hope Center For College</b:Last>
            <b:First>Community,</b:First>
            <b:Middle>and Justice</b:Middle>
          </b:Person>
        </b:NameList>
      </b:Author>
    </b:Author>
    <b:InternetSiteTitle>The Hope Survey Report 2021: </b:InternetSiteTitle>
    <b:Publisher>https://hope.temple.edu/sites/hope/files/media/document/HopeSurveyReport2021.pdf</b:Publisher>
    <b:RefOrder>40</b:RefOrder>
  </b:Source>
  <b:Source>
    <b:Tag>Nat2</b:Tag>
    <b:SourceType>InternetSite</b:SourceType>
    <b:Guid>{C1C3BF34-B5FB-2147-ABEB-A28CDDBDE62B}</b:Guid>
    <b:Author>
      <b:Author>
        <b:Corporate>National Postsecondary Student Aid Study</b:Corporate>
      </b:Author>
    </b:Author>
    <b:URL>https://nces.ed.gov/datalab/powerstats/157-national-postsecondary-student-aid-study-2020-undergraduate-students/percentage-distribution</b:URL>
    <b:Year>2020</b:Year>
    <b:Title>Food security status: previous 30 days by Enrollment pattern. Filtered by Institutional category and control (Primarily baccalaureate or above, public).</b:Title>
    <b:RefOrder>41</b:RefOrder>
  </b:Source>
  <b:Source>
    <b:Tag>Nat201</b:Tag>
    <b:SourceType>InternetSite</b:SourceType>
    <b:Guid>{CD1BB335-453A-AD48-BB5E-319F68A12BAB}</b:Guid>
    <b:Author>
      <b:Author>
        <b:Corporate>National Postsecondary Student Aid Study</b:Corporate>
      </b:Author>
    </b:Author>
    <b:Title>Experienced homelessness: previous 30 days by Enrollment pattern. Filtered by Institutional category and control (Primarily baccalaureate or above, public) </b:Title>
    <b:URL>https://nces.ed.gov/datalab/powerstats/157-na</b:URL>
    <b:Year>2020</b:Year>
    <b:RefOrder>42</b:RefOrder>
  </b:Source>
  <b:Source>
    <b:Tag>Dyn23</b:Tag>
    <b:SourceType>BookSection</b:SourceType>
    <b:Guid>{D66AF0B2-801B-E045-96F6-835A5EFFB964}</b:Guid>
    <b:Author>
      <b:Author>
        <b:NameList>
          <b:Person>
            <b:Last>Dynarski</b:Last>
            <b:First>S.M.</b:First>
          </b:Person>
          <b:Person>
            <b:Last>Page</b:Last>
            <b:First>L.C.</b:First>
          </b:Person>
          <b:Person>
            <b:Last>Scott-Clayton</b:Last>
            <b:First>J.</b:First>
          </b:Person>
        </b:NameList>
      </b:Author>
      <b:BookAuthor>
        <b:NameList>
          <b:Person>
            <b:Last>Machin</b:Last>
            <b:First>S.J.</b:First>
          </b:Person>
          <b:Person>
            <b:Last>Woessmann</b:Last>
            <b:First>L.</b:First>
          </b:Person>
          <b:Person>
            <b:Last>Hanushek</b:Last>
            <b:First>E.A.</b:First>
          </b:Person>
        </b:NameList>
      </b:BookAuthor>
    </b:Author>
    <b:Title>College Costs, Financial Aid, and Student Decisions</b:Title>
    <b:URL>https://www.nber.org/papers/w30275</b:URL>
    <b:Year>2023</b:Year>
    <b:BookTitle>Handbook of the Economics of Education</b:BookTitle>
    <b:Publisher>North Holland</b:Publisher>
    <b:Pages>227-285. https://doi.org/10.1016/bs.hesedu.2023.03.006</b:Pages>
    <b:RefOrder>9</b:RefOrder>
  </b:Source>
  <b:Source>
    <b:Tag>Dyn03</b:Tag>
    <b:SourceType>JournalArticle</b:SourceType>
    <b:Guid>{A2F4452B-B68A-3742-A483-FE28C6063241}</b:Guid>
    <b:Author>
      <b:Author>
        <b:NameList>
          <b:Person>
            <b:Last>Dynarski</b:Last>
            <b:First>S.M.</b:First>
          </b:Person>
        </b:NameList>
      </b:Author>
    </b:Author>
    <b:Title>Does aid matter?: Measuring the effect of student aid on college attendance and completion</b:Title>
    <b:Year>2003</b:Year>
    <b:JournalName>The American Economic Review</b:JournalName>
    <b:Volume>93</b:Volume>
    <b:Issue>1</b:Issue>
    <b:Pages>279–288. https://doi.org/10.1257/000282803321455287</b:Pages>
    <b:RefOrder>43</b:RefOrder>
  </b:Source>
  <b:Source>
    <b:Tag>Abr06</b:Tag>
    <b:SourceType>JournalArticle</b:SourceType>
    <b:Guid>{46461A1C-020D-974F-B352-EC5380C7C15B}</b:Guid>
    <b:Author>
      <b:Author>
        <b:NameList>
          <b:Person>
            <b:Last>Abraham</b:Last>
            <b:First>K.G.</b:First>
          </b:Person>
          <b:Person>
            <b:Last>Clark</b:Last>
            <b:First>M.A.</b:First>
          </b:Person>
        </b:NameList>
      </b:Author>
    </b:Author>
    <b:Title>Financial aid and students’ college decisions: Evidence from the District of Columbia tuition assistance grant program</b:Title>
    <b:JournalName>The Journal of Human Resources</b:JournalName>
    <b:Year>2006</b:Year>
    <b:Volume>XL</b:Volume>
    <b:Issue>3</b:Issue>
    <b:Pages>578–610. https://doi.org/10.3368/jhr.XLI.3.578</b:Pages>
    <b:RefOrder>44</b:RefOrder>
  </b:Source>
  <b:Source>
    <b:Tag>Kan07</b:Tag>
    <b:SourceType>JournalArticle</b:SourceType>
    <b:Guid>{9EF225FC-ED7C-DD4D-B25E-6763B0790069}</b:Guid>
    <b:Author>
      <b:Author>
        <b:NameList>
          <b:Person>
            <b:Last>Kane</b:Last>
            <b:First>T.J.</b:First>
          </b:Person>
        </b:NameList>
      </b:Author>
    </b:Author>
    <b:Title>Evaluating the impact of the D.C. Tuition Assistance Grant program.</b:Title>
    <b:JournalName>Journal of Human Resources</b:JournalName>
    <b:Year>2007</b:Year>
    <b:Volume>42</b:Volume>
    <b:Issue>3</b:Issue>
    <b:Pages>555–582. https://doi.org/10.3368/jhr.XLII.3.555</b:Pages>
    <b:RefOrder>45</b:RefOrder>
  </b:Source>
  <b:Source>
    <b:Tag>Eva19</b:Tag>
    <b:SourceType>JournalArticle</b:SourceType>
    <b:Guid>{CBCF1556-E96C-4449-BAD1-FCE9101929FB}</b:Guid>
    <b:Author>
      <b:Author>
        <b:NameList>
          <b:Person>
            <b:Last>Evans</b:Last>
            <b:First>B.</b:First>
            <b:Middle>J., &amp; Nguyen, T. D.</b:Middle>
          </b:Person>
        </b:NameList>
      </b:Author>
    </b:Author>
    <b:Title>Monetary substitution of loans, earnings, and need-based aid in postsecondary education: The impact of Pell grant eligibility.</b:Title>
    <b:JournalName>Economics of Education Review</b:JournalName>
    <b:Year>2019</b:Year>
    <b:Volume>70</b:Volume>
    <b:Pages>1–19. https://doi.org/10.1016/j.econedurev.2019.02.004</b:Pages>
    <b:RefOrder>47</b:RefOrder>
  </b:Source>
  <b:Source>
    <b:Tag>Car19</b:Tag>
    <b:SourceType>JournalArticle</b:SourceType>
    <b:Guid>{274CE72C-84FA-B04E-B7D5-29C7A3DCA7B3}</b:Guid>
    <b:Author>
      <b:Author>
        <b:NameList>
          <b:Person>
            <b:Last>Carruthers</b:Last>
            <b:First>C.K.</b:First>
          </b:Person>
          <b:Person>
            <b:Last>Welch</b:Last>
            <b:First>J.G.</b:First>
          </b:Person>
        </b:NameList>
      </b:Author>
    </b:Author>
    <b:Title>Not whether, but where? Pell grants and college choices</b:Title>
    <b:JournalName>Journal of Public Economics</b:JournalName>
    <b:Year>2019</b:Year>
    <b:Volume>172</b:Volume>
    <b:Pages>1–19. https://doi.org/10.1016/j.jpubeco.2018.11.006</b:Pages>
    <b:RefOrder>48</b:RefOrder>
  </b:Source>
  <b:Source>
    <b:Tag>Par181</b:Tag>
    <b:SourceType>JournalArticle</b:SourceType>
    <b:Guid>{02273042-1860-654D-BC46-5F4276811A9A}</b:Guid>
    <b:Title>The impact of Pell grant eligibility on community college students’ financial aid packages, labor supply, and academic outcomes.</b:Title>
    <b:Year>2018</b:Year>
    <b:Pages>557–585. https://doi.org/10.3102/0162373718783868</b:Pages>
    <b:Author>
      <b:Author>
        <b:NameList>
          <b:Person>
            <b:Last>Park</b:Last>
            <b:First>R.S.E.</b:First>
          </b:Person>
          <b:Person>
            <b:Last>Scott-Clayton</b:Last>
            <b:First>J.</b:First>
          </b:Person>
        </b:NameList>
      </b:Author>
    </b:Author>
    <b:JournalName>Educational Evaluation and Policy Analysis</b:JournalName>
    <b:Volume>40</b:Volume>
    <b:Issue>4</b:Issue>
    <b:RefOrder>49</b:RefOrder>
  </b:Source>
  <b:Source>
    <b:Tag>Dyn00</b:Tag>
    <b:SourceType>JournalArticle</b:SourceType>
    <b:Guid>{91C16812-8F01-8748-912D-22185088F4D2}</b:Guid>
    <b:Author>
      <b:Author>
        <b:NameList>
          <b:Person>
            <b:Last>Dynarski</b:Last>
            <b:First>S.M.</b:First>
          </b:Person>
        </b:NameList>
      </b:Author>
    </b:Author>
    <b:Title>Hope for whom? Financial aid for the middle class and its impact on college attendance.</b:Title>
    <b:JournalName>National Tax Journal</b:JournalName>
    <b:Year>2000</b:Year>
    <b:Volume>53</b:Volume>
    <b:Issue>3</b:Issue>
    <b:Pages>629-661.https://doi.org/10.17310/ntj.2000.3S.02</b:Pages>
    <b:RefOrder>50</b:RefOrder>
  </b:Source>
  <b:Source>
    <b:Tag>Bru14</b:Tag>
    <b:SourceType>JournalArticle</b:SourceType>
    <b:Guid>{A09FE859-E85C-7F40-8311-EEDD2CBCACC9}</b:Guid>
    <b:Author>
      <b:Author>
        <b:NameList>
          <b:Person>
            <b:Last>Bruce</b:Last>
            <b:First>D.J.</b:First>
          </b:Person>
          <b:Person>
            <b:Last>Carruthers</b:Last>
            <b:First>C.</b:First>
          </b:Person>
        </b:NameList>
      </b:Author>
    </b:Author>
    <b:Title>Jackpot? The impact of lottery scholarships on enrollment in Tennessee</b:Title>
    <b:JournalName>Journal of Urban Economics</b:JournalName>
    <b:Year>2014</b:Year>
    <b:Volume>81</b:Volume>
    <b:Pages>30-44. https://doi.org/10.1016/j.jue.2014.01.006</b:Pages>
    <b:RefOrder>51</b:RefOrder>
  </b:Source>
  <b:Source>
    <b:Tag>Lov11</b:Tag>
    <b:SourceType>JournalArticle</b:SourceType>
    <b:Guid>{8EDA40B7-0B22-4E4A-8029-6D7C0A161B0D}</b:Guid>
    <b:Author>
      <b:Author>
        <b:NameList>
          <b:Person>
            <b:Last>Lovenheim</b:Last>
            <b:First>M.F.</b:First>
          </b:Person>
        </b:NameList>
      </b:Author>
    </b:Author>
    <b:Title>The effect of liquid housing wealth on college enrollment</b:Title>
    <b:JournalName>Journal of Labor Economics</b:JournalName>
    <b:Year>2011</b:Year>
    <b:Volume>29</b:Volume>
    <b:Issue>4</b:Issue>
    <b:Pages>741–771. https://doi.org/10.1086/660775</b:Pages>
    <b:RefOrder>53</b:RefOrder>
  </b:Source>
  <b:Source>
    <b:Tag>Lon07</b:Tag>
    <b:SourceType>JournalArticle</b:SourceType>
    <b:Guid>{D092586C-4717-2A4F-BC69-E34FACD6AA83}</b:Guid>
    <b:Author>
      <b:Author>
        <b:NameList>
          <b:Person>
            <b:Last>Long</b:Last>
            <b:First>B.T.</b:First>
          </b:Person>
        </b:NameList>
      </b:Author>
    </b:Author>
    <b:Title>Do loans increase college access and choice? Examining the introduction of universal student loans</b:Title>
    <b:JournalName>Federal REserve Bank of Boston (Working Paper 07-1)</b:JournalName>
    <b:Year>2007</b:Year>
    <b:RefOrder>54</b:RefOrder>
  </b:Source>
  <b:Source>
    <b:Tag>Wie16</b:Tag>
    <b:SourceType>JournalArticle</b:SourceType>
    <b:Guid>{51ADA98A-EC99-DB4B-9555-E10411410D39}</b:Guid>
    <b:Author>
      <b:Author>
        <b:NameList>
          <b:Person>
            <b:Last>Wiederspan</b:Last>
            <b:First>M.</b:First>
          </b:Person>
        </b:NameList>
      </b:Author>
    </b:Author>
    <b:Title>Denying loan access: The student-level consequences when community colleges opt out of the Stafford Loan Program</b:Title>
    <b:JournalName>Economics of Education Review</b:JournalName>
    <b:Year>2016</b:Year>
    <b:Volume>51</b:Volume>
    <b:Pages>79- 96. https://doi.org/10.1016/j.econedurev.2015.06.007</b:Pages>
    <b:RefOrder>55</b:RefOrder>
  </b:Source>
  <b:Source>
    <b:Tag>Mar19</b:Tag>
    <b:SourceType>JournalArticle</b:SourceType>
    <b:Guid>{1351F2F5-54C1-4742-8C91-7D22F88A90AF}</b:Guid>
    <b:Author>
      <b:Author>
        <b:NameList>
          <b:Person>
            <b:Last>Marx</b:Last>
            <b:First>B.M.</b:First>
          </b:Person>
          <b:Person>
            <b:Last>Turner</b:Last>
            <b:First>L.J.</b:First>
          </b:Person>
        </b:NameList>
      </b:Author>
    </b:Author>
    <b:Title>Student laon nudges: Experimental evidence on borrowing and educational attainment</b:Title>
    <b:JournalName>American Economic Journal: Economic Policy</b:JournalName>
    <b:Year>2019</b:Year>
    <b:Volume>11</b:Volume>
    <b:Issue>2</b:Issue>
    <b:Pages>108-41. DOI: 10.1257/pol.20180279</b:Pages>
    <b:RefOrder>56</b:RefOrder>
  </b:Source>
  <b:Source>
    <b:Tag>Ngu23</b:Tag>
    <b:SourceType>DocumentFromInternetSite</b:SourceType>
    <b:Guid>{805B9B48-4735-C846-ADCF-A779BF8C3E9A}</b:Guid>
    <b:Author>
      <b:Author>
        <b:NameList>
          <b:Person>
            <b:Last>Nguyen</b:Last>
            <b:First>S.</b:First>
          </b:Person>
          <b:Person>
            <b:Last>Fishman</b:Last>
            <b:First>R</b:First>
          </b:Person>
          <b:Person>
            <b:Last>Cheche</b:Last>
            <b:First>O</b:First>
          </b:Person>
        </b:NameList>
      </b:Author>
    </b:Author>
    <b:Title>Varying degreees 2023 new america's seventh annual survey on higher education</b:Title>
    <b:InternetSiteTitle>New America</b:InternetSiteTitle>
    <b:URL>www.newamerica.org/education-policy/reports/varying-degrees-2023/</b:URL>
    <b:Year>2023</b:Year>
    <b:Month>August</b:Month>
    <b:Day>9th</b:Day>
    <b:Publisher>New America</b:Publisher>
    <b:RefOrder>58</b:RefOrder>
  </b:Source>
  <b:Source>
    <b:Tag>Tro10</b:Tag>
    <b:SourceType>JournalArticle</b:SourceType>
    <b:Guid>{624F7A9C-2A26-744B-8342-BDBBF263CDC2}</b:Guid>
    <b:Author>
      <b:Author>
        <b:NameList>
          <b:Person>
            <b:Last>Trostel</b:Last>
            <b:First>P.</b:First>
            <b:Middle>A.</b:Middle>
          </b:Person>
        </b:NameList>
      </b:Author>
    </b:Author>
    <b:Title>The Fiscal Impacts of College Attainment</b:Title>
    <b:JournalName>Research in Higher Education</b:JournalName>
    <b:Year>2010</b:Year>
    <b:Volume>51</b:Volume>
    <b:Issue>3</b:Issue>
    <b:Pages>220–247. https://doi.org/10.1007/s11162-009-9156-5</b:Pages>
    <b:RefOrder>59</b:RefOrder>
  </b:Source>
  <b:Source>
    <b:Tag>Bet04</b:Tag>
    <b:SourceType>BookSection</b:SourceType>
    <b:Guid>{15F20027-A426-4D40-89BE-388DC69730E3}</b:Guid>
    <b:Title>How financial aid affects persistence</b:Title>
    <b:Year>2004</b:Year>
    <b:Pages>pp. 207-238</b:Pages>
    <b:Author>
      <b:Author>
        <b:NameList>
          <b:Person>
            <b:Last>Bettinger</b:Last>
            <b:First>E.</b:First>
          </b:Person>
        </b:NameList>
      </b:Author>
      <b:BookAuthor>
        <b:NameList>
          <b:Person>
            <b:Last>Hoxby</b:Last>
            <b:First>C.M.</b:First>
          </b:Person>
        </b:NameList>
      </b:BookAuthor>
    </b:Author>
    <b:BookTitle>College choices: The economics of where to go, when to go, and how to pay for it</b:BookTitle>
    <b:Publisher>University of Chicago Press</b:Publisher>
    <b:RefOrder>60</b:RefOrder>
  </b:Source>
  <b:Source>
    <b:Tag>Den19</b:Tag>
    <b:SourceType>JournalArticle</b:SourceType>
    <b:Guid>{FAA74FF8-B1BE-3F47-A7C2-EEC7E16B47F3}</b:Guid>
    <b:Author>
      <b:Author>
        <b:NameList>
          <b:Person>
            <b:Last>Denning</b:Last>
            <b:First>J.T.</b:First>
          </b:Person>
          <b:Person>
            <b:Last>Marx</b:Last>
            <b:First>B.M.</b:First>
          </b:Person>
          <b:Person>
            <b:Last>Turner</b:Last>
            <b:First>L.J.</b:First>
          </b:Person>
        </b:NameList>
      </b:Author>
    </b:Author>
    <b:Title>ProPelled: The effects of grants on graduation, earnings, and welfare</b:Title>
    <b:JournalName>American Economic Journal. Applied Economics</b:JournalName>
    <b:Year>2019</b:Year>
    <b:Volume>11</b:Volume>
    <b:Issue>3</b:Issue>
    <b:Pages>193–224. https://doi.org/10.1257/app.20180100</b:Pages>
    <b:RefOrder>61</b:RefOrder>
  </b:Source>
  <b:Source>
    <b:Tag>Eng21</b:Tag>
    <b:SourceType>JournalArticle</b:SourceType>
    <b:Guid>{EF64AB8E-6BEA-DA45-B310-689228BAC68A}</b:Guid>
    <b:Author>
      <b:Author>
        <b:NameList>
          <b:Person>
            <b:Last>Eng</b:Last>
            <b:First>A.</b:First>
          </b:Person>
          <b:Person>
            <b:Last>Matsudaira</b:Last>
            <b:First>J.</b:First>
          </b:Person>
        </b:NameList>
      </b:Author>
    </b:Author>
    <b:Title>Pell grants and student success: Evidence from the universe of federal aid recipients</b:Title>
    <b:JournalName>Journal of Labor Economics</b:JournalName>
    <b:Year>2021</b:Year>
    <b:Volume>39</b:Volume>
    <b:Issue>S2</b:Issue>
    <b:Pages>S413–S454. https://doi.org/10.1086/712556</b:Pages>
    <b:RefOrder>62</b:RefOrder>
  </b:Source>
  <b:Source>
    <b:Tag>USB23</b:Tag>
    <b:SourceType>InternetSite</b:SourceType>
    <b:Guid>{5064FAFA-56AB-9840-87C8-BD005401FE1E}</b:Guid>
    <b:Title>All Employees, Total Nonfarm [PAYEMS]</b:Title>
    <b:Year>2023</b:Year>
    <b:Author>
      <b:Author>
        <b:Corporate>US Bureau of Labor Statistics</b:Corporate>
      </b:Author>
    </b:Author>
    <b:InternetSiteTitle>Federal Reserve Bank of St. Louis</b:InternetSiteTitle>
    <b:URL>https://fred.stlouisfed.org/series/PAYEMS</b:URL>
    <b:RefOrder>63</b:RefOrder>
  </b:Source>
  <b:Source>
    <b:Tag>Bro17</b:Tag>
    <b:SourceType>InternetSite</b:SourceType>
    <b:Guid>{5089E576-0DB6-0841-BEAF-A6CAD6011173}</b:Guid>
    <b:Author>
      <b:Author>
        <b:Corporate>Brookings Institute</b:Corporate>
      </b:Author>
    </b:Author>
    <b:Title>The closing of the jobs gap: A decade of recession and recovery</b:Title>
    <b:URL>https://www.brookings.edu/articles/the-closing-of-the-jobs-gap-a-decade-of-recession-and-recovery/</b:URL>
    <b:Year>2017</b:Year>
    <b:RefOrder>64</b:RefOrder>
  </b:Source>
  <b:Source>
    <b:Tag>Tur141</b:Tag>
    <b:SourceType>Book</b:SourceType>
    <b:Guid>{0942C99D-359D-3944-87BD-44A17A156A8C}</b:Guid>
    <b:Author>
      <b:Author>
        <b:NameList>
          <b:Person>
            <b:Last>Turner</b:Last>
            <b:First>L.J.</b:First>
          </b:Person>
        </b:NameList>
      </b:Author>
    </b:Author>
    <b:Title>The road to Pell is paved with good intentions: The economic incidence of federal student grat aid</b:Title>
    <b:Year>2014</b:Year>
    <b:Publisher>University of Maryland College Park (Working Paper). </b:Publisher>
    <b:RefOrder>144</b:RefOrder>
  </b:Source>
  <b:Source>
    <b:Tag>Bet19</b:Tag>
    <b:SourceType>JournalArticle</b:SourceType>
    <b:Guid>{53CBB1DE-B0FC-C44A-BFE1-62C4F060F909}</b:Guid>
    <b:Author>
      <b:Author>
        <b:NameList>
          <b:Person>
            <b:Last>Bettinger</b:Last>
            <b:First>E.</b:First>
          </b:Person>
          <b:Person>
            <b:Last>Gurantz</b:Last>
            <b:First>O.</b:First>
          </b:Person>
          <b:Person>
            <b:Last>Kawano</b:Last>
            <b:First>L.</b:First>
          </b:Person>
          <b:Person>
            <b:Last>Sacerdote</b:Last>
            <b:First>B.</b:First>
          </b:Person>
          <b:Person>
            <b:Last>Stevens</b:Last>
            <b:First>M.</b:First>
          </b:Person>
        </b:NameList>
      </b:Author>
    </b:Author>
    <b:Title>The long-run impacts of financial aid: Evidence from California’s Cal Grant</b:Title>
    <b:Year>2019</b:Year>
    <b:JournalName>American Economic Journal: Economic Policy</b:JournalName>
    <b:Volume>11</b:Volume>
    <b:Issue>1</b:Issue>
    <b:Pages>64-94. https://doi.org/10.1257/pol.20170466</b:Pages>
    <b:RefOrder>66</b:RefOrder>
  </b:Source>
  <b:Source>
    <b:Tag>And20</b:Tag>
    <b:SourceType>JournalArticle</b:SourceType>
    <b:Guid>{415E1389-137D-194A-B2F6-12C261DED501}</b:Guid>
    <b:Author>
      <b:Author>
        <b:NameList>
          <b:Person>
            <b:Last>Anderson</b:Last>
            <b:First>D.M.</b:First>
          </b:Person>
          <b:Person>
            <b:Last>Broton</b:Last>
            <b:First>K.M.</b:First>
          </b:Person>
          <b:Person>
            <b:Last>Goldrick‐Rab</b:Last>
            <b:First>S.</b:First>
          </b:Person>
          <b:Person>
            <b:Last>Kelchen</b:Last>
            <b:First>R.</b:First>
          </b:Person>
        </b:NameList>
      </b:Author>
    </b:Author>
    <b:Title>Experimental evidence on the impacts of need‐based financial aid: Longitudinal assessment of the Wisconsin scholars grant</b:Title>
    <b:JournalName>Journal of Policy Analysis and Management</b:JournalName>
    <b:Year>2020</b:Year>
    <b:Volume>39</b:Volume>
    <b:Issue>3</b:Issue>
    <b:Pages>720–739. https://doi.org/10.1002/pam.22190</b:Pages>
    <b:RefOrder>67</b:RefOrder>
  </b:Source>
  <b:Source>
    <b:Tag>Gol16</b:Tag>
    <b:SourceType>JournalArticle</b:SourceType>
    <b:Guid>{FAE26201-10A3-5948-ADBD-2CFB1791FBCC}</b:Guid>
    <b:Author>
      <b:Author>
        <b:NameList>
          <b:Person>
            <b:Last>Goldrick-Rab</b:Last>
            <b:First>S.</b:First>
          </b:Person>
          <b:Person>
            <b:Last>Kelchen</b:Last>
            <b:First>R.</b:First>
          </b:Person>
          <b:Person>
            <b:Last>Harris</b:Last>
            <b:First>D.N.</b:First>
          </b:Person>
          <b:Person>
            <b:Last>Benson</b:Last>
            <b:First>J.</b:First>
          </b:Person>
        </b:NameList>
      </b:Author>
    </b:Author>
    <b:Title>Reducing income inequality in educational attainment: Experimental evidence on the impact of financial aid on college completion</b:Title>
    <b:JournalName>The American Journal of Sociology</b:JournalName>
    <b:Year>2016</b:Year>
    <b:Volume>121</b:Volume>
    <b:Issue>6</b:Issue>
    <b:Pages>1762–1817. https://doi.org/10.1086/685442</b:Pages>
    <b:RefOrder>68</b:RefOrder>
  </b:Source>
  <b:Source>
    <b:Tag>Wel14</b:Tag>
    <b:SourceType>JournalArticle</b:SourceType>
    <b:Guid>{62439A4F-34A2-1A4D-ACF5-1BD46BC12EA0}</b:Guid>
    <b:Author>
      <b:Author>
        <b:NameList>
          <b:Person>
            <b:Last>Welch</b:Last>
            <b:First>J.G.</b:First>
          </b:Person>
        </b:NameList>
      </b:Author>
    </b:Author>
    <b:Title>HOPE for community college students: The impact of merit aid on persistence, graduation, and earning</b:Title>
    <b:JournalName>Economics of Education Review</b:JournalName>
    <b:Year>2014</b:Year>
    <b:Volume>43</b:Volume>
    <b:Pages>1–20. https://doi.org/10.1016/j.econedurev.2014.08.001</b:Pages>
    <b:RefOrder>69</b:RefOrder>
  </b:Source>
  <b:Source>
    <b:Tag>Dyn</b:Tag>
    <b:SourceType>BookSection</b:SourceType>
    <b:Guid>{F45C52A9-A44A-0344-9746-CF6698ECEC96}</b:Guid>
    <b:Title>The new merit aid</b:Title>
    <b:Author>
      <b:Author>
        <b:NameList>
          <b:Person>
            <b:Last>Dynarski</b:Last>
            <b:First>S.M.</b:First>
          </b:Person>
        </b:NameList>
      </b:Author>
      <b:BookAuthor>
        <b:NameList>
          <b:Person>
            <b:Last>Hoxby</b:Last>
            <b:First>C.M.</b:First>
          </b:Person>
        </b:NameList>
      </b:BookAuthor>
    </b:Author>
    <b:BookTitle>College choices: The economics of where to go, when to go, and how to pay for it</b:BookTitle>
    <b:Publisher>University of Chicago Press</b:Publisher>
    <b:Pages>63-100</b:Pages>
    <b:Year>2004</b:Year>
    <b:RefOrder>70</b:RefOrder>
  </b:Source>
  <b:Source>
    <b:Tag>Sco19</b:Tag>
    <b:SourceType>JournalArticle</b:SourceType>
    <b:Guid>{1104557E-5E58-A24F-9AF0-0AB246D6C3E6}</b:Guid>
    <b:Author>
      <b:Author>
        <b:NameList>
          <b:Person>
            <b:Last>Scott-Clayton</b:Last>
            <b:First>J.</b:First>
          </b:Person>
          <b:Person>
            <b:Last>Zafar</b:Last>
            <b:First>B.</b:First>
          </b:Person>
        </b:NameList>
      </b:Author>
    </b:Author>
    <b:Title>Financial aid, debt management, and socioeconomic outcomes: Post-college effects of merit-based aid.</b:Title>
    <b:JournalName>Journal of Public Economics</b:JournalName>
    <b:Year>2019</b:Year>
    <b:Volume>170</b:Volume>
    <b:Pages>68–82. https://doi.org/10.1016/j.jpubeco.2019.01.006</b:Pages>
    <b:RefOrder>72</b:RefOrder>
  </b:Source>
  <b:Source>
    <b:Tag>Sjo14</b:Tag>
    <b:SourceType>JournalArticle</b:SourceType>
    <b:Guid>{21B8F2AC-ED53-B141-8EA4-C3E744971829}</b:Guid>
    <b:Author>
      <b:Author>
        <b:NameList>
          <b:Person>
            <b:Last>Sjoquist</b:Last>
            <b:First>D.L.</b:First>
          </b:Person>
          <b:Person>
            <b:Last>Winters</b:Last>
            <b:First>J.V.</b:First>
          </b:Person>
        </b:NameList>
      </b:Author>
    </b:Author>
    <b:Title>Merit aid and post-college retention in the state.</b:Title>
    <b:JournalName>Journal of Urban Economics</b:JournalName>
    <b:Year>2014</b:Year>
    <b:Volume>80</b:Volume>
    <b:Pages>39–50. https://doi.org/10.1016/j.jue.2013.10.003</b:Pages>
    <b:RefOrder>73</b:RefOrder>
  </b:Source>
  <b:Source>
    <b:Tag>Sjo13</b:Tag>
    <b:SourceType>JournalArticle</b:SourceType>
    <b:Guid>{2ECB063F-CD1E-444C-BCD4-4A3A02CEF7B2}</b:Guid>
    <b:Author>
      <b:Author>
        <b:NameList>
          <b:Person>
            <b:Last>Sjoquist</b:Last>
            <b:First>D.L.</b:First>
          </b:Person>
          <b:Person>
            <b:Last>J.V.</b:Last>
            <b:First>Winters</b:First>
          </b:Person>
        </b:NameList>
      </b:Author>
    </b:Author>
    <b:Title>The effects of HOPE on post-college retention in the Georgia workforce</b:Title>
    <b:JournalName>Regional Science and Urban Economics</b:JournalName>
    <b:Year>2013</b:Year>
    <b:Volume>43</b:Volume>
    <b:Issue>3</b:Issue>
    <b:Pages>479-490. https://doi.org/10.1016/j.regsciurbeco.2013.02.003</b:Pages>
    <b:RefOrder>74</b:RefOrder>
  </b:Source>
  <b:Source>
    <b:Tag>Har16</b:Tag>
    <b:SourceType>JournalArticle</b:SourceType>
    <b:Guid>{186317AB-5768-EB41-ADB5-97C371AD8C68}</b:Guid>
    <b:Author>
      <b:Author>
        <b:NameList>
          <b:Person>
            <b:Last>Harrington</b:Last>
            <b:First>J.R.</b:First>
          </b:Person>
          <b:Person>
            <b:Last>Muñoz</b:Last>
            <b:First>J.</b:First>
          </b:Person>
          <b:Person>
            <b:Last>Curs</b:Last>
            <b:First>B.R.</b:First>
          </b:Person>
          <b:Person>
            <b:Last>Ehlert</b:Last>
            <b:First>M</b:First>
          </b:Person>
        </b:NameList>
      </b:Author>
    </b:Author>
    <b:Title>Examining the impact of a highly targeted state administered merit aid program on brain drain: Evidence from a regression discontinuity analysis of Missouri’s bright flight program</b:Title>
    <b:JournalName>Research in Higher Education</b:JournalName>
    <b:Year>2016</b:Year>
    <b:Volume>57</b:Volume>
    <b:Issue>4</b:Issue>
    <b:Pages>423–447. https://doi.org/10.1007/s11162-015-9392-9</b:Pages>
    <b:RefOrder>71</b:RefOrder>
  </b:Source>
  <b:Source>
    <b:Tag>Cum22</b:Tag>
    <b:SourceType>JournalArticle</b:SourceType>
    <b:Guid>{4EB37346-416E-E649-88FF-58EC2C28FBE7}</b:Guid>
    <b:Author>
      <b:Author>
        <b:NameList>
          <b:Person>
            <b:Last>Cummings</b:Last>
            <b:First>K.M.</b:First>
          </b:Person>
          <b:Person>
            <b:Last>Deane</b:Last>
            <b:First>K.C.</b:First>
          </b:Person>
          <b:Person>
            <b:Last>McCall</b:Last>
            <b:First>B.P.</b:First>
          </b:Person>
          <b:Person>
            <b:Last>DesJardins</b:Last>
            <b:First>S.L.</b:First>
          </b:Person>
        </b:NameList>
      </b:Author>
    </b:Author>
    <b:Title>Exploring Race and Income Heterogeneity in the Effects of State Merit Aid Loss Among Four-Year College Entrants. </b:Title>
    <b:JournalName>The Journal of Higher Educaiton</b:JournalName>
    <b:Year>2022</b:Year>
    <b:Volume>93</b:Volume>
    <b:Issue>6</b:Issue>
    <b:Pages>873–900. https://doi.org/10.1080/00221546.2022.2042155</b:Pages>
    <b:RefOrder>75</b:RefOrder>
  </b:Source>
  <b:Source>
    <b:Tag>Vel13</b:Tag>
    <b:SourceType>JournalArticle</b:SourceType>
    <b:Guid>{3DC3342E-A728-454C-9622-D3C4DAE4ECE2}</b:Guid>
    <b:Author>
      <b:Author>
        <b:NameList>
          <b:Person>
            <b:Last>Velez</b:Last>
            <b:First>E.D.</b:First>
          </b:Person>
        </b:NameList>
      </b:Author>
    </b:Author>
    <b:Title>What do Stafford loans actually buy you: The effect of Stafford loan access on community college students.</b:Title>
    <b:JournalName>CALDER, American Institutes for Research</b:JournalName>
    <b:Year>2013</b:Year>
    <b:Pages>http://hdl.voced.edu.au/10707/364110.</b:Pages>
    <b:RefOrder>77</b:RefOrder>
  </b:Source>
  <b:Source>
    <b:Tag>Bar21</b:Tag>
    <b:SourceType>JournalArticle</b:SourceType>
    <b:Guid>{2D7E845D-34E8-D241-AD80-5692BA29ABF8}</b:Guid>
    <b:Author>
      <b:Author>
        <b:NameList>
          <b:Person>
            <b:Last>Barr</b:Last>
            <b:First>A.</b:First>
          </b:Person>
          <b:Person>
            <b:Last>Bird</b:Last>
            <b:First>K.A.</b:First>
          </b:Person>
          <b:Person>
            <b:Last>Castleman</b:Last>
            <b:First>B.L.</b:First>
          </b:Person>
        </b:NameList>
      </b:Author>
    </b:Author>
    <b:Title>The effect of reduced student loan borrowing on academic performance and default: Evidence from a loan counseling experiment.</b:Title>
    <b:JournalName>Journal of Public Economics</b:JournalName>
    <b:Year>2021</b:Year>
    <b:Volume>202</b:Volume>
    <b:Pages>104493. https://doi.org/10.1016/j.jpubeco.2021.104493</b:Pages>
    <b:RefOrder>78</b:RefOrder>
  </b:Source>
  <b:Source>
    <b:Tag>Bla20</b:Tag>
    <b:SourceType>JournalArticle</b:SourceType>
    <b:Guid>{B6401D12-6986-6644-A9B2-EB5A3295884C}</b:Guid>
    <b:Author>
      <b:Author>
        <b:NameList>
          <b:Person>
            <b:Last>Black</b:Last>
            <b:First>S.E.</b:First>
          </b:Person>
          <b:Person>
            <b:Last>Denning</b:Last>
            <b:First>J.T.,</b:First>
            <b:Middle>Dettling, L.J.</b:Middle>
          </b:Person>
          <b:Person>
            <b:Last>Goodman</b:Last>
            <b:First>S.</b:First>
          </b:Person>
          <b:Person>
            <b:Last>Turner</b:Last>
            <b:First>L.J.</b:First>
          </b:Person>
        </b:NameList>
      </b:Author>
    </b:Author>
    <b:Title>Taking it to the limit: effects of increased student loan availability on attainment, earnings, and financial well-being</b:Title>
    <b:JournalName>National Bureau of Economic Reserach (Working Paper No. 27658)</b:JournalName>
    <b:Year>2020</b:Year>
    <b:Pages>https://doi.org/10.3386/w27658</b:Pages>
    <b:RefOrder>79</b:RefOrder>
  </b:Source>
  <b:Source>
    <b:Tag>Mez20</b:Tag>
    <b:SourceType>JournalArticle</b:SourceType>
    <b:Guid>{1226874D-6506-2542-B6B0-C527F1310BFF}</b:Guid>
    <b:Author>
      <b:Author>
        <b:NameList>
          <b:Person>
            <b:Last>Mezza</b:Last>
            <b:First>A.</b:First>
          </b:Person>
          <b:Person>
            <b:Last>Ringo</b:Last>
            <b:First>D.</b:First>
          </b:Person>
          <b:Person>
            <b:Last>Sherlund</b:Last>
            <b:First>S.</b:First>
          </b:Person>
          <b:Person>
            <b:Last>Sommer</b:Last>
            <b:First>K.</b:First>
          </b:Person>
        </b:NameList>
      </b:Author>
    </b:Author>
    <b:Title>Student loans and homeownership</b:Title>
    <b:JournalName>Journal of Labor Economics</b:JournalName>
    <b:Year>2020</b:Year>
    <b:Volume>38</b:Volume>
    <b:Issue>1</b:Issue>
    <b:Pages>215–260. https://doi.org/10.1086/704609</b:Pages>
    <b:RefOrder>81</b:RefOrder>
  </b:Source>
  <b:Source>
    <b:Tag>DiM19</b:Tag>
    <b:SourceType>JournalArticle</b:SourceType>
    <b:Guid>{E490FB5F-0089-B74C-A4E2-97E014953AB4}</b:Guid>
    <b:Author>
      <b:Author>
        <b:NameList>
          <b:Person>
            <b:Last>Di Maggio</b:Last>
            <b:First>M.</b:First>
          </b:Person>
          <b:Person>
            <b:Last>Kalda</b:Last>
            <b:First>A.,</b:First>
          </b:Person>
          <b:Person>
            <b:Last>Yao</b:Last>
            <b:First>V.</b:First>
          </b:Person>
        </b:NameList>
      </b:Author>
    </b:Author>
    <b:Title>Second chance: Life without student debt </b:Title>
    <b:JournalName>National Bureau of Economic Reserach (Working Paper)</b:JournalName>
    <b:Year>2019</b:Year>
    <b:Pages>No. 25810. https://doi.org/10.3386/w25810</b:Pages>
    <b:RefOrder>82</b:RefOrder>
  </b:Source>
  <b:Source>
    <b:Tag>Colnd</b:Tag>
    <b:SourceType>InternetSite</b:SourceType>
    <b:Guid>{678B9438-22C8-FA4D-A26E-18E06B36816C}</b:Guid>
    <b:Author>
      <b:Author>
        <b:Corporate>College Promise</b:Corporate>
      </b:Author>
    </b:Author>
    <b:Title>My Promise Tool</b:Title>
    <b:InternetSiteTitle>CollegePromise.org</b:InternetSiteTitle>
    <b:URL>https://www.mypromisetool.org/?source=college-promise-web</b:URL>
    <b:Year>n.d.</b:Year>
    <b:RefOrder>83</b:RefOrder>
  </b:Source>
  <b:Source>
    <b:Tag>Bau21</b:Tag>
    <b:SourceType>DocumentFromInternetSite</b:SourceType>
    <b:Guid>{E95AEBC2-5E97-6F42-9A9F-0EF930F4F42B}</b:Guid>
    <b:Title>Increasing Economic Diversity at a Flagship University.</b:Title>
    <b:Year>2021</b:Year>
    <b:Author>
      <b:Author>
        <b:NameList>
          <b:Person>
            <b:Last>Baum</b:Last>
            <b:First>A.</b:First>
          </b:Person>
          <b:Person>
            <b:Last>Burns</b:Last>
            <b:First>D.</b:First>
          </b:Person>
          <b:Person>
            <b:Last>Camo-Biogradlija</b:Last>
            <b:First>J.</b:First>
          </b:Person>
          <b:Person>
            <b:Last>Dynarski</b:Last>
            <b:First>S.</b:First>
          </b:Person>
          <b:Person>
            <b:Last>Michelmore</b:Last>
            <b:First>K.</b:First>
          </b:Person>
          <b:Person>
            <b:Last> Lam</b:Last>
            <b:First>N.W.</b:First>
          </b:Person>
          <b:Person>
            <b:Last>Own</b:Last>
            <b:First>S.</b:First>
          </b:Person>
        </b:NameList>
      </b:Author>
    </b:Author>
    <b:InternetSiteTitle>Gerald R. Ford School of Public Policy. (Policy Brief May 2021). </b:InternetSiteTitle>
    <b:URL>https://edpolicy.umich.edu/s</b:URL>
    <b:RefOrder>84</b:RefOrder>
  </b:Source>
  <b:Source>
    <b:Tag>Dyn21</b:Tag>
    <b:SourceType>JournalArticle</b:SourceType>
    <b:Guid>{ADA209AE-1ADD-F444-A4BA-5B528AA530D9}</b:Guid>
    <b:Title>Closing the gap: The effect of reducing complexity and uncertainty in college pricing on the choices of low-income students</b:Title>
    <b:Year>2021</b:Year>
    <b:Author>
      <b:Author>
        <b:NameList>
          <b:Person>
            <b:Last>Dynarski</b:Last>
            <b:First>S.</b:First>
          </b:Person>
          <b:Person>
            <b:Last>Libassi</b:Last>
            <b:First>C.</b:First>
          </b:Person>
          <b:Person>
            <b:Last>Michelmore</b:Last>
            <b:First>K.</b:First>
          </b:Person>
          <b:Person>
            <b:Last>Owen</b:Last>
            <b:First>S.</b:First>
          </b:Person>
        </b:NameList>
      </b:Author>
    </b:Author>
    <b:JournalName>The American Economic Review</b:JournalName>
    <b:Volume>111</b:Volume>
    <b:Issue>6</b:Issue>
    <b:Pages>1721–1756. https://doi.org/10.1257/aer.20200451</b:Pages>
    <b:RefOrder>85</b:RefOrder>
  </b:Source>
  <b:Source>
    <b:Tag>Bil18</b:Tag>
    <b:SourceType>JournalArticle</b:SourceType>
    <b:Guid>{03BFC7BD-9FFE-5043-9C87-26449B0C0A7B}</b:Guid>
    <b:Title>Free college for all: The impact of promise programs on college access and stuccess</b:Title>
    <b:Year>2018</b:Year>
    <b:Author>
      <b:Author>
        <b:NameList>
          <b:Person>
            <b:Last>Billings</b:Last>
            <b:First>M.</b:First>
          </b:Person>
        </b:NameList>
      </b:Author>
    </b:Author>
    <b:JournalName>[Doctoral dissertation, University of Michigan] Deep Blue Documents</b:JournalName>
    <b:Pages>https://hdl.handle.net/2027.42/144101</b:Pages>
    <b:RefOrder>86</b:RefOrder>
  </b:Source>
  <b:Source>
    <b:Tag>Per17</b:Tag>
    <b:SourceType>JournalArticle</b:SourceType>
    <b:Guid>{1164486F-EB91-CB49-BEB0-6A563E3E96E9}</b:Guid>
    <b:Author>
      <b:Author>
        <b:NameList>
          <b:Person>
            <b:Last>Perna</b:Last>
            <b:First>L.</b:First>
            <b:Middle>W.</b:Middle>
          </b:Person>
          <b:Person>
            <b:Last>Leigh</b:Last>
            <b:First>E.</b:First>
            <b:Middle>W.</b:Middle>
          </b:Person>
        </b:NameList>
      </b:Author>
    </b:Author>
    <b:Title>Understanding the promise: A typology of state and local college promise programs</b:Title>
    <b:JournalName>Educational Researcher</b:JournalName>
    <b:Year>2017</b:Year>
    <b:Volume>47</b:Volume>
    <b:Issue>3</b:Issue>
    <b:Pages>155–180. https://doi.org/10.3102/0013189X17742653</b:Pages>
    <b:RefOrder>8</b:RefOrder>
  </b:Source>
  <b:Source>
    <b:Tag>Swa20</b:Tag>
    <b:SourceType>BookSection</b:SourceType>
    <b:Guid>{B92C9B9B-175E-3D40-AB31-6B4165DA4F0B}</b:Guid>
    <b:Author>
      <b:Author>
        <b:NameList>
          <b:Person>
            <b:Last>Swanson</b:Last>
            <b:First>E.</b:First>
          </b:Person>
          <b:Person>
            <b:Last>Watson</b:Last>
            <b:First>A.</b:First>
          </b:Person>
          <b:Person>
            <b:Last>Ritter</b:Last>
            <b:First>G.W.</b:First>
          </b:Person>
        </b:NameList>
      </b:Author>
      <b:BookAuthor>
        <b:NameList>
          <b:Person>
            <b:Last>Perna</b:Last>
            <b:First>L.W.</b:First>
          </b:Person>
        </b:NameList>
      </b:BookAuthor>
    </b:Author>
    <b:Title>Promises fulfilled? A systematic review of the impacts of college promise programs</b:Title>
    <b:BookTitle>College promise programs: Improving research-based knowledge of college promise programs</b:BookTitle>
    <b:Publisher>American Educational Research Association</b:Publisher>
    <b:Year>2020</b:Year>
    <b:Pages>33-68</b:Pages>
    <b:RefOrder>88</b:RefOrder>
  </b:Source>
  <b:Source>
    <b:Tag>Placeholder1</b:Tag>
    <b:SourceType>Book</b:SourceType>
    <b:Guid>{0DC8DC69-8EB7-B646-9566-219BE6C1AB39}</b:Guid>
    <b:Author>
      <b:Author>
        <b:NameList>
          <b:Person>
            <b:Last>Miller-Adams</b:Last>
            <b:First>M.</b:First>
          </b:Person>
        </b:NameList>
      </b:Author>
    </b:Author>
    <b:Title>The Path to Free College: In Pursuit of Access, Equity, and Prosperity</b:Title>
    <b:Year>2021</b:Year>
    <b:Publisher>Harvard Education Press</b:Publisher>
    <b:RefOrder>89</b:RefOrder>
  </b:Source>
  <b:Source>
    <b:Tag>Upjnd</b:Tag>
    <b:SourceType>InternetSite</b:SourceType>
    <b:Guid>{A22D65DD-E1FF-F646-BFAB-AEDAF0104858}</b:Guid>
    <b:Title>Promise Research at the Upjohn Institute</b:Title>
    <b:URL>https://www.upjohn.org/promise/</b:URL>
    <b:Year>n.d.</b:Year>
    <b:Author>
      <b:Author>
        <b:Corporate>Upjohn Institute for Employment Research </b:Corporate>
      </b:Author>
    </b:Author>
    <b:RefOrder>91</b:RefOrder>
  </b:Source>
  <b:Source>
    <b:Tag>Ten18</b:Tag>
    <b:SourceType>DocumentFromInternetSite</b:SourceType>
    <b:Guid>{F979B07E-2713-B344-BD90-569BCEFA31FE}</b:Guid>
    <b:Title>Tennessee Promise Students at Community Colleges The Fall 2015 Cohort after Five Semesters</b:Title>
    <b:Year>2018</b:Year>
    <b:Author>
      <b:Author>
        <b:Corporate>Tennessee Board of Regents</b:Corporate>
      </b:Author>
    </b:Author>
    <b:URL>https://www.tbr.edu/sites/default/files/media/2019/07/TNPromise2015Cohort_201803.pdf</b:URL>
    <b:RefOrder>92</b:RefOrder>
  </b:Source>
  <b:Source>
    <b:Tag>Ten19</b:Tag>
    <b:SourceType>DocumentFromInternetSite</b:SourceType>
    <b:Guid>{B47521BB-C9B8-1C4C-B3A1-24AF7A2B5BF5}</b:Guid>
    <b:Author>
      <b:Author>
        <b:Corporate>Tennessee Board of Regents</b:Corporate>
      </b:Author>
    </b:Author>
    <b:Title>Tennessee Promise at Community Colleges Student Success for the Second Cohort of Promise Students </b:Title>
    <b:URL>https://www.tbr.edu/sites/default/files/media/2020/03/TN-Promise-2016_Executive%20Summary_July2019_0.pdf</b:URL>
    <b:Year>2019</b:Year>
    <b:RefOrder>93</b:RefOrder>
  </b:Source>
  <b:Source>
    <b:Tag>Car</b:Tag>
    <b:SourceType>JournalArticle</b:SourceType>
    <b:Guid>{50A0F021-CF5E-C947-BBD8-F468AF38D9C1}</b:Guid>
    <b:Author>
      <b:Author>
        <b:NameList>
          <b:Person>
            <b:Last>Carruthers</b:Last>
            <b:First>C.K.</b:First>
          </b:Person>
          <b:Person>
            <b:Last>Fox</b:Last>
            <b:First>W.F.</b:First>
          </b:Person>
          <b:Person>
            <b:Last>Jepsen</b:Last>
            <b:First>C.</b:First>
          </b:Person>
        </b:NameList>
      </b:Author>
    </b:Author>
    <b:Title>What knox achieved: Estimated effects of tuition-free community college on attainment and earnings</b:Title>
    <b:JournalName>The Journal of Human Resources</b:JournalName>
    <b:Pages>1220-. https://doi.org/10.3368/jhr.1220-11359R2</b:Pages>
    <b:Year>2023</b:Year>
    <b:RefOrder>96</b:RefOrder>
  </b:Source>
  <b:Source>
    <b:Tag>StJ03</b:Tag>
    <b:SourceType>JournalArticle</b:SourceType>
    <b:Guid>{7767A1CC-6326-F042-A1BC-0CE2269D5BAE}</b:Guid>
    <b:Author>
      <b:Author>
        <b:NameList>
          <b:Person>
            <b:Last>St. John</b:Last>
            <b:First>E.</b:First>
            <b:Middle>P.</b:Middle>
          </b:Person>
          <b:Person>
            <b:Last>Musoba</b:Last>
            <b:First>G.</b:First>
            <b:Middle>D.</b:Middle>
          </b:Person>
          <b:Person>
            <b:Last>Simmons</b:Last>
            <b:First>A.</b:First>
            <b:Middle>B.</b:Middle>
          </b:Person>
        </b:NameList>
      </b:Author>
    </b:Author>
    <b:Title>Keeping the Promise: The Impact of Indiana’s Twenty-first Century Scholars Program</b:Title>
    <b:JournalName>Review of Higher Education</b:JournalName>
    <b:Year>2003</b:Year>
    <b:Volume>27</b:Volume>
    <b:Issue>1</b:Issue>
    <b:Pages>103–123. https://doi.org/10.1353/rhe.2003.0042</b:Pages>
    <b:RefOrder>97</b:RefOrder>
  </b:Source>
  <b:Source>
    <b:Tag>LiA20</b:Tag>
    <b:SourceType>BookSection</b:SourceType>
    <b:Guid>{74DEDABC-D118-5A48-9FC0-4C5C15BD2CC9}</b:Guid>
    <b:Author>
      <b:Author>
        <b:NameList>
          <b:Person>
            <b:Last>Li</b:Last>
            <b:First>A.</b:First>
          </b:Person>
          <b:Person>
            <b:Last>Gandara</b:Last>
            <b:First>D.</b:First>
          </b:Person>
        </b:NameList>
      </b:Author>
      <b:BookAuthor>
        <b:NameList>
          <b:Person>
            <b:Last>Perna</b:Last>
            <b:First>L.W.</b:First>
          </b:Person>
        </b:NameList>
      </b:BookAuthor>
    </b:Author>
    <b:Title>The promise of "free" tuition and program design features: Impacts on first-time college enrollment</b:Title>
    <b:Year>2020</b:Year>
    <b:Pages>219-240</b:Pages>
    <b:BookTitle>College promise programs: Improving research-based knowledge of college promise programs</b:BookTitle>
    <b:Publisher>American Educational Research Association</b:Publisher>
    <b:RefOrder>99</b:RefOrder>
  </b:Source>
  <b:Source>
    <b:Tag>Gan20</b:Tag>
    <b:SourceType>JournalArticle</b:SourceType>
    <b:Guid>{5EE49FB1-F308-664D-9B42-C09CE7D00CEE}</b:Guid>
    <b:Author>
      <b:Author>
        <b:NameList>
          <b:Person>
            <b:Last>Gandara</b:Last>
            <b:First>D.</b:First>
          </b:Person>
          <b:Person>
            <b:Last>Li</b:Last>
            <b:First>A.</b:First>
          </b:Person>
        </b:NameList>
      </b:Author>
    </b:Author>
    <b:Title>Promise for whom?“Free-college” programs and enrollments by race and gender classifications at public, 2-year colleges. </b:Title>
    <b:JournalName>Educational Evaluation and Policy Analaysis</b:JournalName>
    <b:Year>2020</b:Year>
    <b:Volume>42</b:Volume>
    <b:Issue>4</b:Issue>
    <b:Pages>603-627</b:Pages>
    <b:RefOrder>87</b:RefOrder>
  </b:Source>
  <b:Source>
    <b:Tag>Hou20</b:Tag>
    <b:SourceType>BookSection</b:SourceType>
    <b:Guid>{C87C27A6-6B3B-6545-8503-A0A761D67479}</b:Guid>
    <b:Author>
      <b:Author>
        <b:NameList>
          <b:Person>
            <b:Last>House</b:Last>
            <b:First>E.</b:First>
          </b:Person>
          <b:Person>
            <b:Last>Dell</b:Last>
            <b:First>M.</b:First>
          </b:Person>
        </b:NameList>
      </b:Author>
      <b:BookAuthor>
        <b:NameList>
          <b:Person>
            <b:Last>Perna</b:Last>
            <b:First>L.W.</b:First>
          </b:Person>
          <b:Person>
            <b:Last>Smith</b:Last>
            <b:First>E.J.</b:First>
          </b:Person>
        </b:NameList>
      </b:BookAuthor>
    </b:Author>
    <b:Title>Keeping the promise: Early outcomes of Tennessee's tutition-free college initiative</b:Title>
    <b:Year>2020</b:Year>
    <b:Pages>151-172</b:Pages>
    <b:BookTitle>College Promise Programs: Improving Reserach-Based Knowledge of College Promise Programs</b:BookTitle>
    <b:Publisher>American Educational Research Association</b:Publisher>
    <b:RefOrder>100</b:RefOrder>
  </b:Source>
  <b:Source>
    <b:Tag>Ngu20</b:Tag>
    <b:SourceType>JournalArticle</b:SourceType>
    <b:Guid>{40C59A20-D602-CE45-B7B2-1A01CA2C1F21}</b:Guid>
    <b:Author>
      <b:Author>
        <b:NameList>
          <b:Person>
            <b:Last>Nguyen</b:Last>
            <b:First>H.</b:First>
          </b:Person>
        </b:NameList>
      </b:Author>
    </b:Author>
    <b:Title>Free college? Assessing enrollment responses to the Tennessee Promise program</b:Title>
    <b:Year>2020</b:Year>
    <b:Pages>101882-. https://doi.org/10.1016/j.labeco.2020.101882</b:Pages>
    <b:JournalName>Labour Economics</b:JournalName>
    <b:Volume>66</b:Volume>
    <b:RefOrder>101</b:RefOrder>
  </b:Source>
  <b:Source>
    <b:Tag>Eze21</b:Tag>
    <b:SourceType>DocumentFromInternetSite</b:SourceType>
    <b:Guid>{44338545-CB00-5247-9885-29810DA7B930}</b:Guid>
    <b:Title>Privacy and Security in State Postsecondary Data Systems: Strong Foundations 2020. </b:Title>
    <b:Year>2021</b:Year>
    <b:Author>
      <b:Author>
        <b:NameList>
          <b:Person>
            <b:Last>Ezeugo</b:Last>
            <b:First>E.</b:First>
          </b:Person>
          <b:Person>
            <b:Last>Klein</b:Last>
            <b:First>C.</b:First>
          </b:Person>
          <b:Person>
            <b:Last>Whitfield</b:Last>
            <b:First>C.</b:First>
          </b:Person>
        </b:NameList>
      </b:Author>
    </b:Author>
    <b:InternetSiteTitle>State Higher Education Executive Officers</b:InternetSiteTitle>
    <b:URL>https://files.eric.ed.gov/fulltext/ED614998.pdf</b:URL>
    <b:RefOrder>145</b:RefOrder>
  </b:Source>
  <b:Source>
    <b:Tag>Bar212</b:Tag>
    <b:SourceType>JournalArticle</b:SourceType>
    <b:Guid>{A91EE292-0232-B840-AFD4-4B32775DCDD8}</b:Guid>
    <b:Title>The effects of the Kalamazoo Promise Scholarship on college enrollment and completion.</b:Title>
    <b:Year>2021</b:Year>
    <b:Author>
      <b:Author>
        <b:NameList>
          <b:Person>
            <b:Last>Bartik</b:Last>
            <b:First>T.</b:First>
            <b:Middle>J.</b:Middle>
          </b:Person>
          <b:Person>
            <b:Last>Hershbein</b:Last>
            <b:First>B.</b:First>
          </b:Person>
          <b:Person>
            <b:Last>Lachowska</b:Last>
            <b:First>M.</b:First>
          </b:Person>
        </b:NameList>
      </b:Author>
    </b:Author>
    <b:JournalName>Journal of Human Resources</b:JournalName>
    <b:Volume>56</b:Volume>
    <b:Issue>1</b:Issue>
    <b:Pages>56(1), 269–310. https://doi.org/10.3368/jhr.56.1.0416-7824R4</b:Pages>
    <b:RefOrder>94</b:RefOrder>
  </b:Source>
  <b:Source>
    <b:Tag>Swa201</b:Tag>
    <b:SourceType>JournalArticle</b:SourceType>
    <b:Guid>{24C98CA9-BCE2-224D-AF0F-F7BC25E8FF4E}</b:Guid>
    <b:Title>Start to finish: Examining the impact of the El Dorado Promise program on postsecondary outcomes</b:Title>
    <b:Year>2020</b:Year>
    <b:Author>
      <b:Author>
        <b:NameList>
          <b:Person>
            <b:Last>Swanson</b:Last>
            <b:First>E.</b:First>
          </b:Person>
          <b:Person>
            <b:Last>Ritter</b:Last>
            <b:First>G.</b:First>
          </b:Person>
        </b:NameList>
      </b:Author>
    </b:Author>
    <b:JournalName>Journal of Student Financial Aid</b:JournalName>
    <b:Volume>49</b:Volume>
    <b:Issue>3</b:Issue>
    <b:Pages>Article 2, https://ir.library.louisville.edu/jsfa/vol49/iss3/2</b:Pages>
    <b:RefOrder>102</b:RefOrder>
  </b:Source>
  <b:Source>
    <b:Tag>Ger19</b:Tag>
    <b:SourceType>JournalArticle</b:SourceType>
    <b:Guid>{BFAE33DF-D6B5-AC4E-8313-E175D35CD894}</b:Guid>
    <b:Author>
      <b:Author>
        <b:NameList>
          <b:Person>
            <b:Last>Gershenfeld</b:Last>
            <b:First>S.</b:First>
          </b:Person>
          <b:Person>
            <b:Last>Zhan</b:Last>
            <b:First>M.</b:First>
          </b:Person>
          <b:Person>
            <b:Last>Hood</b:Last>
            <b:First>D.</b:First>
            <b:Middle>W.</b:Middle>
          </b:Person>
        </b:NameList>
      </b:Author>
    </b:Author>
    <b:Title>The impact of a promise: A loan replacement grant, low-income students, and college graduation</b:Title>
    <b:JournalName>Review of Higher Education</b:JournalName>
    <b:Year>2019</b:Year>
    <b:Volume>42</b:Volume>
    <b:Issue>3</b:Issue>
    <b:Pages>1073–1100. https://doi.org/10.1353/rhe.2019.0030</b:Pages>
    <b:RefOrder>146</b:RefOrder>
  </b:Source>
  <b:Source>
    <b:Tag>Her21</b:Tag>
    <b:SourceType>JournalArticle</b:SourceType>
    <b:Guid>{EEBB0007-E43C-B748-B087-4E04F081D61D}</b:Guid>
    <b:Author>
      <b:Author>
        <b:NameList>
          <b:Person>
            <b:Last>Hershbein</b:Last>
            <b:First>B.</b:First>
          </b:Person>
          <b:Person>
            <b:Last>McMullen</b:Last>
            <b:First>I.</b:First>
          </b:Person>
          <b:Person>
            <b:Last>Pittelko</b:Last>
            <b:First>B.</b:First>
          </b:Person>
          <b:Person>
            <b:Last>Timmeney</b:Last>
            <b:First>B.</b:First>
          </b:Person>
        </b:NameList>
      </b:Author>
    </b:Author>
    <b:Title>Beyond degrees: Longer term outcomes of the Kalamazoo Promise</b:Title>
    <b:JournalName>Upjohn Institute (Working Paper No. 21-350</b:JournalName>
    <b:Year>2021</b:Year>
    <b:Pages>https://doi.org/10.17848/wp21-350</b:Pages>
    <b:RefOrder>103</b:RefOrder>
  </b:Source>
  <b:Source>
    <b:Tag>Sco191</b:Tag>
    <b:SourceType>JournalArticle</b:SourceType>
    <b:Guid>{059E43D7-3479-B049-8008-38A1CAEA3C8B}</b:Guid>
    <b:Author>
      <b:Author>
        <b:NameList>
          <b:Person>
            <b:Last>Scott-Clayton</b:Last>
            <b:First>J.</b:First>
          </b:Person>
          <b:Person>
            <b:Last>Wen</b:Last>
            <b:First>Q.</b:First>
          </b:Person>
        </b:NameList>
      </b:Author>
    </b:Author>
    <b:Title>stimating returns to college attainment: Comparing survey and state administrative data–based estimates</b:Title>
    <b:JournalName>Evaluation Review</b:JournalName>
    <b:Year>2019</b:Year>
    <b:Volume>43</b:Volume>
    <b:Issue>5</b:Issue>
    <b:Pages>266–306. https://doi.org/10.1177/0193841X18803247</b:Pages>
    <b:RefOrder>104</b:RefOrder>
  </b:Source>
  <b:Source>
    <b:Tag>Ser94</b:Tag>
    <b:SourceType>Case</b:SourceType>
    <b:Guid>{2433536B-10A2-B045-A7FC-7B3BBE5DE337}</b:Guid>
    <b:Title>Serviceman's Readjustment Act</b:Title>
    <b:Year>1944</b:Year>
    <b:Author>
      <b:Author>
        <b:Corporate>Serviceman's Readjustment Act</b:Corporate>
      </b:Author>
    </b:Author>
    <b:CaseNumber>Pub. Law. No. 58 Stat. 291</b:CaseNumber>
    <b:Court>https://govtrackus.s3.amazonaws.com/legislink/pdf/stat/58/STATUTE-58-Pg284.pdf</b:Court>
    <b:RefOrder>11</b:RefOrder>
  </b:Source>
  <b:Source>
    <b:Tag>Nat</b:Tag>
    <b:SourceType>InternetSite</b:SourceType>
    <b:Guid>{86E059E2-78E6-E948-AB91-F8F87DB6FD48}</b:Guid>
    <b:Author>
      <b:Author>
        <b:Corporate>National Association for State Student Grant &amp; Aid Programs</b:Corporate>
      </b:Author>
    </b:Author>
    <b:Title>State Data Quick Check</b:Title>
    <b:InternetSiteTitle>NASSGAP Annual Survey</b:InternetSiteTitle>
    <b:URL>https://files.eric.ed.gov/fulltext/ED645144.pdf</b:URL>
    <b:Year>2023</b:Year>
    <b:RefOrder>30</b:RefOrder>
  </b:Source>
  <b:Source>
    <b:Tag>Ngu24</b:Tag>
    <b:SourceType>ArticleInAPeriodical</b:SourceType>
    <b:Guid>{0AFD55F8-AA6D-634D-9AEC-4E00FCDE5376}</b:Guid>
    <b:Title>Enrollment at Community Colleges Might Improve, but Challenges Remain for Students</b:Title>
    <b:Year>2024</b:Year>
    <b:Author>
      <b:Author>
        <b:NameList>
          <b:Person>
            <b:Last>Nguyen</b:Last>
            <b:First>Sophie</b:First>
          </b:Person>
          <b:Person>
            <b:Last>Cheche</b:Last>
            <b:First>Olivia</b:First>
          </b:Person>
        </b:NameList>
      </b:Author>
    </b:Author>
    <b:PeriodicalTitle>New America</b:PeriodicalTitle>
    <b:Month>Feburary</b:Month>
    <b:Day>7</b:Day>
    <b:RefOrder>38</b:RefOrder>
  </b:Source>
  <b:Source>
    <b:Tag>Per18</b:Tag>
    <b:SourceType>BookSection</b:SourceType>
    <b:Guid>{E7F4FF73-035C-914C-BD72-9A34333E4266}</b:Guid>
    <b:Author>
      <b:Author>
        <b:NameList>
          <b:Person>
            <b:Last>Perin</b:Last>
            <b:First>D</b:First>
          </b:Person>
        </b:NameList>
      </b:Author>
      <b:BookAuthor>
        <b:NameList>
          <b:Person>
            <b:Last>Levin</b:Last>
            <b:First>John</b:First>
          </b:Person>
          <b:Person>
            <b:Last>Kater</b:Last>
            <b:First>Susan</b:First>
            <b:Middle>T.</b:Middle>
          </b:Person>
        </b:NameList>
      </b:BookAuthor>
    </b:Author>
    <b:Title>Teaching academically underpreapared studnts in community colleges</b:Title>
    <b:Year>2018</b:Year>
    <b:Pages>135-158</b:Pages>
    <b:JournalName>Understanding Community Colleges</b:JournalName>
    <b:BookTitle>Understanding</b:BookTitle>
    <b:Publisher>Routledge</b:Publisher>
    <b:RefOrder>142</b:RefOrder>
  </b:Source>
  <b:Source>
    <b:Tag>MaJ23</b:Tag>
    <b:SourceType>Report</b:SourceType>
    <b:Guid>{DC91BBC4-2CFB-8B45-B29A-5587AA8F444C}</b:Guid>
    <b:Author>
      <b:Author>
        <b:NameList>
          <b:Person>
            <b:Last>Ma</b:Last>
            <b:First>Jennifer</b:First>
          </b:Person>
          <b:Person>
            <b:Last>Pender</b:Last>
            <b:First>Matea</b:First>
          </b:Person>
        </b:NameList>
      </b:Author>
    </b:Author>
    <b:Title>Trends in higher educaiton serties: Trends in college pricing and student aid 2023</b:Title>
    <b:Publisher>College Board</b:Publisher>
    <b:Year>2023</b:Year>
    <b:RefOrder>2</b:RefOrder>
  </b:Source>
  <b:Source>
    <b:Tag>Ngu19</b:Tag>
    <b:SourceType>JournalArticle</b:SourceType>
    <b:Guid>{682B03BC-080E-E14F-A4DA-11918068B852}</b:Guid>
    <b:Title>The effects of grant aid on student persistence and degree attainment: A systematic review and meta-analysis of the causal evidence</b:Title>
    <b:Year>2019</b:Year>
    <b:Pages>831–874. https://doi.org/10.3102/0034654319877156</b:Pages>
    <b:Author>
      <b:Author>
        <b:NameList>
          <b:Person>
            <b:Last>Nguyen</b:Last>
            <b:First>T.</b:First>
            <b:Middle>D.</b:Middle>
          </b:Person>
          <b:Person>
            <b:Last>Kramer</b:Last>
            <b:First>J.</b:First>
            <b:Middle>W.</b:Middle>
          </b:Person>
          <b:Person>
            <b:Last>Evans</b:Last>
            <b:First>B.</b:First>
            <b:Middle>J.</b:Middle>
          </b:Person>
        </b:NameList>
      </b:Author>
    </b:Author>
    <b:JournalName>Review of Educational Research</b:JournalName>
    <b:Volume>89</b:Volume>
    <b:Issue>6</b:Issue>
    <b:RefOrder>46</b:RefOrder>
  </b:Source>
  <b:Source>
    <b:Tag>Fry24</b:Tag>
    <b:SourceType>DocumentFromInternetSite</b:SourceType>
    <b:Guid>{94039B4D-B065-6641-8DE8-98F8E788E4EF}</b:Guid>
    <b:Title>Is college worth it? As economic outcomes for young adults with and without degrees have improaved, Americans hold mixed views on the value of college.</b:Title>
    <b:Year>2024</b:Year>
    <b:Author>
      <b:Author>
        <b:NameList>
          <b:Person>
            <b:Last>Fry</b:Last>
            <b:First>R.</b:First>
          </b:Person>
          <b:Person>
            <b:Last>Braga</b:Last>
            <b:First>D.</b:First>
          </b:Person>
          <b:Person>
            <b:Last>K.</b:Last>
            <b:First>Parker.</b:First>
          </b:Person>
        </b:NameList>
      </b:Author>
    </b:Author>
    <b:InternetSiteTitle>Pew Research Center</b:InternetSiteTitle>
    <b:URL>https://www.pewresearch.org/social-trends/2024/05/23/is-college-worth-it-2/</b:URL>
    <b:Month>May</b:Month>
    <b:Day>23</b:Day>
    <b:RefOrder>6</b:RefOrder>
  </b:Source>
  <b:Source>
    <b:Tag>Nat221</b:Tag>
    <b:SourceType>Report</b:SourceType>
    <b:Guid>{E9D48AFA-360A-ED48-ABFA-797208A44A6B}</b:Guid>
    <b:Title>Young Adult Educational and Employment Outcomes by Family Socioeconomic Status</b:Title>
    <b:Year>2022</b:Year>
    <b:Author>
      <b:Author>
        <b:Corporate>National Center for Education Statistics</b:Corporate>
      </b:Author>
    </b:Author>
    <b:Publisher>U.S. Department of Education, Institute of Education Sciences. </b:Publisher>
    <b:RefOrder>7</b:RefOrder>
  </b:Source>
  <b:Source>
    <b:Tag>Han19</b:Tag>
    <b:SourceType>InternetSite</b:SourceType>
    <b:Guid>{578A5F3C-68A1-9B42-ACAE-E3834A543ABE}</b:Guid>
    <b:Title>The unwaversing SES achievement gap: Trends in US student preformance</b:Title>
    <b:Year>2019</b:Year>
    <b:Author>
      <b:Author>
        <b:NameList>
          <b:Person>
            <b:Last>Hanushek</b:Last>
            <b:First>Eric</b:First>
          </b:Person>
          <b:Person>
            <b:Last>Peterson</b:Last>
            <b:First>Paul.</b:First>
            <b:Middle>E.</b:Middle>
          </b:Person>
          <b:Person>
            <b:Last>Talpey</b:Last>
            <b:First>Laura</b:First>
          </b:Person>
          <b:Person>
            <b:Last>Woessmann</b:Last>
            <b:First>Ludger</b:First>
          </b:Person>
        </b:NameList>
      </b:Author>
    </b:Author>
    <b:JournalName>SSRN: https://ssrn.com/abstract=3357905 or http://dx.doi.org/10.2139/ssrn.3357905</b:JournalName>
    <b:Pages>HKS Working Paper No. RWP19-012</b:Pages>
    <b:InternetSiteTitle>SSRN. HKS Working Paper No. RWP19-012</b:InternetSiteTitle>
    <b:URL>http://dx.doi.org/10.2139/ssrn.3357905</b:URL>
    <b:RefOrder>147</b:RefOrder>
  </b:Source>
  <b:Source>
    <b:Tag>Jur17</b:Tag>
    <b:SourceType>JournalArticle</b:SourceType>
    <b:Guid>{64986D92-A859-C341-8412-4E2A2F504D63}</b:Guid>
    <b:Author>
      <b:Author>
        <b:NameList>
          <b:Person>
            <b:Last>Jury</b:Last>
            <b:First>M.</b:First>
          </b:Person>
          <b:Person>
            <b:Last>Smeding</b:Last>
            <b:First>A.</b:First>
          </b:Person>
          <b:Person>
            <b:Last>Stephens</b:Last>
            <b:First>N.</b:First>
            <b:Middle>M.</b:Middle>
          </b:Person>
          <b:Person>
            <b:Last>Nelson</b:Last>
            <b:First>J.</b:First>
            <b:Middle>E.</b:Middle>
          </b:Person>
          <b:Person>
            <b:Last>Aelenei</b:Last>
            <b:First>C.</b:First>
          </b:Person>
          <b:Person>
            <b:Last>Darnon</b:Last>
            <b:First>C.</b:First>
          </b:Person>
        </b:NameList>
      </b:Author>
    </b:Author>
    <b:Title>The experinces of low-SES students in higher educaiton: Psychological barriers to success and interventions to reduce social-class inequality</b:Title>
    <b:Year>2017</b:Year>
    <b:JournalName>Journal of Social Issues</b:JournalName>
    <b:Volume>73</b:Volume>
    <b:Issue>1</b:Issue>
    <b:Pages>23-41</b:Pages>
    <b:RefOrder>148</b:RefOrder>
  </b:Source>
  <b:Source>
    <b:Tag>Car20</b:Tag>
    <b:SourceType>Report</b:SourceType>
    <b:Guid>{FC65AB5A-5834-4D4E-8178-B7CB836BDCC5}</b:Guid>
    <b:Title>The Dollars and Sense of Free College.</b:Title>
    <b:Year>2020</b:Year>
    <b:Author>
      <b:Author>
        <b:NameList>
          <b:Person>
            <b:Last>Carnevale</b:Last>
            <b:First>A.</b:First>
            <b:Middle>P.</b:Middle>
          </b:Person>
          <b:Person>
            <b:Last>Sablan</b:Last>
            <b:First>J.</b:First>
            <b:Middle>R.</b:Middle>
          </b:Person>
          <b:Person>
            <b:Last>Gulish</b:Last>
            <b:First>A.</b:First>
          </b:Person>
          <b:Person>
            <b:Last>Quinn</b:Last>
            <b:First>M.</b:First>
            <b:Middle>C.</b:Middle>
          </b:Person>
          <b:Person>
            <b:Last>Cinquegrani</b:Last>
            <b:First>G.</b:First>
          </b:Person>
        </b:NameList>
      </b:Author>
    </b:Author>
    <b:Publisher>Georgetown University Center on Education and the Workforce</b:Publisher>
    <b:RefOrder>10</b:RefOrder>
  </b:Source>
  <b:Source>
    <b:Tag>Gil121</b:Tag>
    <b:SourceType>Report</b:SourceType>
    <b:Guid>{D29B4DE6-D8CF-D344-8062-D29CD0ABACB7}</b:Guid>
    <b:Author>
      <b:Author>
        <b:NameList>
          <b:Person>
            <b:Last>Gillen</b:Last>
            <b:First>A.</b:First>
          </b:Person>
        </b:NameList>
      </b:Author>
    </b:Author>
    <b:Title>Introducing Bennett hypothesis 2.0. </b:Title>
    <b:Publisher>Center for College Affordability and Productivity. https://files.eric.ed.gov/fulltext/ED536151.pdf  </b:Publisher>
    <b:Year>2012</b:Year>
    <b:RefOrder>149</b:RefOrder>
  </b:Source>
  <b:Source>
    <b:Tag>Bar191</b:Tag>
    <b:SourceType>JournalArticle</b:SourceType>
    <b:Guid>{DE5E005F-DC40-F948-8F5A-98684A068E17}</b:Guid>
    <b:Title>For-profit higher education responsiveness to price shocks: An investigation of changes to post 9-11 GI bill allowed maximum tuitions  </b:Title>
    <b:Year>2019</b:Year>
    <b:Author>
      <b:Author>
        <b:NameList>
          <b:Person>
            <b:Last>Barid</b:Last>
            <b:First>M.</b:First>
          </b:Person>
          <b:Person>
            <b:Last>Kofoed</b:Last>
            <b:First>M.</b:First>
          </b:Person>
          <b:Person>
            <b:Last>Miller</b:Last>
            <b:First>T.</b:First>
          </b:Person>
          <b:Person>
            <b:Last>Wenger</b:Last>
            <b:First>J.</b:First>
          </b:Person>
        </b:NameList>
      </b:Author>
    </b:Author>
    <b:JournalName>Journal of Policy Analysis and Management</b:JournalName>
    <b:Volume>41</b:Volume>
    <b:Issue>4</b:Issue>
    <b:Pages>1012-1039</b:Pages>
    <b:RefOrder>150</b:RefOrder>
  </b:Source>
  <b:Source>
    <b:Tag>Cel14</b:Tag>
    <b:SourceType>JournalArticle</b:SourceType>
    <b:Guid>{67842644-2A24-2A4D-B8AE-B8B4913E598E}</b:Guid>
    <b:Author>
      <b:Author>
        <b:NameList>
          <b:Person>
            <b:Last>Cellini</b:Last>
            <b:First>S.</b:First>
          </b:Person>
          <b:Person>
            <b:Last>Goldin</b:Last>
            <b:First>C.</b:First>
          </b:Person>
        </b:NameList>
      </b:Author>
    </b:Author>
    <b:Title>Does federal student aid raise tuition? New evidence on for-profit colleges</b:Title>
    <b:JournalName>American Economic Journal: Economic Policy</b:JournalName>
    <b:Year>2014</b:Year>
    <b:Volume>6</b:Volume>
    <b:Issue>4</b:Issue>
    <b:Pages>174-206.  https://doi.org/10.1257/pol.6.4.174.  </b:Pages>
    <b:RefOrder>151</b:RefOrder>
  </b:Source>
  <b:Source>
    <b:Tag>Lau141</b:Tag>
    <b:SourceType>Report</b:SourceType>
    <b:Guid>{08C06EDE-83FD-EE43-A61D-B1B9B2F83014}</b:Guid>
    <b:Title>The incidence of federal subsidies in for-profit higher education.</b:Title>
    <b:Year>2014</b:Year>
    <b:Author>
      <b:Author>
        <b:NameList>
          <b:Person>
            <b:Last>Lau</b:Last>
            <b:First>C</b:First>
          </b:Person>
        </b:NameList>
      </b:Author>
    </b:Author>
    <b:Publisher> [Doctoral Dissertation, Northwestern University] ProQuest Dissertations and Thesis Global. https://www.proquest.com/docview/1690882088?parentSessionId=sSnwKnpOjp4aJ7L4Ect</b:Publisher>
    <b:RefOrder>152</b:RefOrder>
  </b:Source>
  <b:Source>
    <b:Tag>Luc151</b:Tag>
    <b:SourceType>JournalArticle</b:SourceType>
    <b:Guid>{B3EB2686-E518-F44B-ACA9-462D08D3F1EB}</b:Guid>
    <b:Title>Credit supply and the rise in college tuition: Evidence from the expansion in federal student aid programs</b:Title>
    <b:Year>2015</b:Year>
    <b:Author>
      <b:Author>
        <b:NameList>
          <b:Person>
            <b:Last>Lucca</b:Last>
            <b:First>D.</b:First>
          </b:Person>
          <b:Person>
            <b:Last>Nadauld</b:Last>
            <b:First>T.</b:First>
          </b:Person>
          <b:Person>
            <b:Last>Shen</b:Last>
            <b:First>K.</b:First>
          </b:Person>
        </b:NameList>
      </b:Author>
    </b:Author>
    <b:JournalName>The American Historical Review, 32(2),</b:JournalName>
    <b:Volume>32</b:Volume>
    <b:Issue>2</b:Issue>
    <b:Pages>423–466. https://doi.org/10.1093/rfs/hhy069</b:Pages>
    <b:RefOrder>153</b:RefOrder>
  </b:Source>
  <b:Source>
    <b:Tag>Riz031</b:Tag>
    <b:SourceType>BookSection</b:SourceType>
    <b:Guid>{C57FA718-DD09-8347-8AFB-A99B41D2316D}</b:Guid>
    <b:Title>Resident and nonresident tuition and enrollment at flagship state universities. </b:Title>
    <b:Year>2003</b:Year>
    <b:Pages>403-349</b:Pages>
    <b:Author>
      <b:Author>
        <b:NameList>
          <b:Person>
            <b:Last>Rizzo</b:Last>
            <b:First>M.</b:First>
          </b:Person>
          <b:Person>
            <b:Last>Ehrenberg</b:Last>
            <b:First>R.</b:First>
            <b:Middle>G.</b:Middle>
          </b:Person>
        </b:NameList>
      </b:Author>
      <b:BookAuthor>
        <b:NameList>
          <b:Person>
            <b:Last>(Eds.)</b:Last>
            <b:First>C.</b:First>
            <b:Middle>Hoxby</b:Middle>
          </b:Person>
        </b:NameList>
      </b:BookAuthor>
    </b:Author>
    <b:BookTitle>College choices: The economics of where to go, when to go, and how to pay for it </b:BookTitle>
    <b:Publisher>University of Chicago</b:Publisher>
    <b:RefOrder>154</b:RefOrder>
  </b:Source>
  <b:Source>
    <b:Tag>Sin071</b:Tag>
    <b:SourceType>JournalArticle</b:SourceType>
    <b:Guid>{236173CB-0AAF-F34D-B423-8DAB9A6EEBA6}</b:Guid>
    <b:Title>For whom the Pell tolls: The response of university tuition to federal grants-in-aid </b:Title>
    <b:Year>2007</b:Year>
    <b:Pages>285–295. https://doi.org/10.1016/j.econedurev.2006.01.005.  </b:Pages>
    <b:Author>
      <b:Author>
        <b:NameList>
          <b:Person>
            <b:Last>Singell</b:Last>
            <b:First>L.</b:First>
            <b:Middle>D.</b:Middle>
          </b:Person>
          <b:Person>
            <b:Last>Stone</b:Last>
            <b:First>J.</b:First>
            <b:Middle>A.</b:Middle>
          </b:Person>
        </b:NameList>
      </b:Author>
    </b:Author>
    <b:JournalName>Economics of Education Review</b:JournalName>
    <b:Volume>26</b:Volume>
    <b:Issue>3</b:Issue>
    <b:RefOrder>155</b:RefOrder>
  </b:Source>
  <b:Source>
    <b:Tag>Dou04</b:Tag>
    <b:SourceType>ConferenceProceedings</b:SourceType>
    <b:Guid>{A7437DB7-426E-624A-AB09-D51F8F59898C}</b:Guid>
    <b:Title>Financing higher education in the United States: Structure, trends,   and issues</b:Title>
    <b:Year>2004</b:Year>
    <b:Author>
      <b:Author>
        <b:NameList>
          <b:Person>
            <b:Last>Dougherty</b:Last>
            <b:First>K.</b:First>
          </b:Person>
        </b:NameList>
      </b:Author>
    </b:Author>
    <b:ConferenceName>Address to the Institute for Economics of Education</b:ConferenceName>
    <b:Publisher>Teachers College, Columbia University</b:Publisher>
    <b:City>Peking University</b:City>
    <b:RefOrder>23</b:RefOrder>
  </b:Source>
  <b:Source>
    <b:Tag>Cro19</b:Tag>
    <b:SourceType>Report</b:SourceType>
    <b:Guid>{F56B6765-EC02-6A4D-B641-9AF95B77C11C}</b:Guid>
    <b:Title>The US land-grant university system: An overview</b:Title>
    <b:Publisher>hCRS Report, 45897. https://www.everycrsreport.com/files/20190829_R45897_5efa0858fffb8907390aa992527916db88aa8d54.pdf </b:Publisher>
    <b:Year>2019</b:Year>
    <b:Author>
      <b:Author>
        <b:NameList>
          <b:Person>
            <b:Last>Croft</b:Last>
            <b:First>G.</b:First>
            <b:Middle>K.</b:Middle>
          </b:Person>
        </b:NameList>
      </b:Author>
    </b:Author>
    <b:RefOrder>24</b:RefOrder>
  </b:Source>
  <b:Source>
    <b:Tag>Arc02</b:Tag>
    <b:SourceType>Book</b:SourceType>
    <b:Guid>{12E4401C-FEF4-6141-A8D4-104129CDD8BD}</b:Guid>
    <b:Title>Redesigning the financial aid system: Why colleges and universities should switch roles with the federal government. </b:Title>
    <b:Publisher>The Johns Hopkins University Press</b:Publisher>
    <b:Year>2002</b:Year>
    <b:Author>
      <b:Author>
        <b:NameList>
          <b:Person>
            <b:Last>Archibald</b:Last>
            <b:First>R.</b:First>
            <b:Middle>B.</b:Middle>
          </b:Person>
        </b:NameList>
      </b:Author>
    </b:Author>
    <b:RefOrder>156</b:RefOrder>
  </b:Source>
  <b:Source>
    <b:Tag>McC101</b:Tag>
    <b:SourceType>BookSection</b:SourceType>
    <b:Guid>{9C904B64-1649-1945-9542-9240FC71B701}</b:Guid>
    <b:Title>Working during college: Its relationship to student engagement and education outcomes</b:Title>
    <b:Publisher>Taylor &amp; Francis Group. https://doi.org/10.4324/98710034484495-13</b:Publisher>
    <b:Year>2010</b:Year>
    <b:Author>
      <b:Author>
        <b:NameList>
          <b:Person>
            <b:Last>McCormick</b:Last>
            <b:First>A.</b:First>
            <b:Middle>C.</b:Middle>
          </b:Person>
          <b:Person>
            <b:Last>Moore</b:Last>
            <b:First>J.</b:First>
            <b:Middle>V.</b:Middle>
          </b:Person>
          <b:Person>
            <b:Last>Kuh</b:Last>
            <b:First>G.</b:First>
            <b:Middle>D.</b:Middle>
          </b:Person>
        </b:NameList>
      </b:Author>
      <b:BookAuthor>
        <b:NameList>
          <b:Person>
            <b:Last>Perna</b:Last>
            <b:First>L.</b:First>
            <b:Middle>(Eds.).</b:Middle>
          </b:Person>
        </b:NameList>
      </b:BookAuthor>
    </b:Author>
    <b:Pages>179-212</b:Pages>
    <b:BookTitle>Understanding the working college student: New research and its implications for policy and practice</b:BookTitle>
    <b:RefOrder>34</b:RefOrder>
  </b:Source>
  <b:Source>
    <b:Tag>Pik091</b:Tag>
    <b:SourceType>JournalArticle</b:SourceType>
    <b:Guid>{6E96A75B-4435-B648-A2A6-262123956D25}</b:Guid>
    <b:Title>First-year students’ employment, engagement, and academic achievement: Untangling the relationship between work and grades.</b:Title>
    <b:Year>2009</b:Year>
    <b:Pages>1012-1034. https://doi.org/10.2202/1949-6605.2011</b:Pages>
    <b:Author>
      <b:Author>
        <b:NameList>
          <b:Person>
            <b:Last>Pike</b:Last>
            <b:First>G.</b:First>
          </b:Person>
          <b:Person>
            <b:Last>Kuh</b:Last>
            <b:First>G.</b:First>
          </b:Person>
          <b:Person>
            <b:Last>Massa-McKinley</b:Last>
            <b:First>R.</b:First>
          </b:Person>
        </b:NameList>
      </b:Author>
    </b:Author>
    <b:JournalName>Journal of Student Affairs Research and Practice</b:JournalName>
    <b:Volume>45</b:Volume>
    <b:Issue>4</b:Issue>
    <b:RefOrder>39</b:RefOrder>
  </b:Source>
  <b:Source>
    <b:Tag>Les24</b:Tag>
    <b:SourceType>Report</b:SourceType>
    <b:Guid>{294E75CD-D439-FA4F-97A2-75343A4CC6A4}</b:Guid>
    <b:Title>The economic value of higher education</b:Title>
    <b:Year>1998</b:Year>
    <b:Author>
      <b:Author>
        <b:NameList>
          <b:Person>
            <b:Last>Leslie</b:Last>
            <b:First>L</b:First>
          </b:Person>
          <b:Person>
            <b:Last>Brinkman</b:Last>
            <b:First>P</b:First>
          </b:Person>
        </b:NameList>
      </b:Author>
    </b:Author>
    <b:Publisher>American Council on Educaiton. https://eric.edu.gov/?id=ED296624 </b:Publisher>
    <b:RefOrder>157</b:RefOrder>
  </b:Source>
  <b:Source>
    <b:Tag>Han831</b:Tag>
    <b:SourceType>JournalArticle</b:SourceType>
    <b:Guid>{2888472A-292A-6641-BBE1-5ED11F3F076F}</b:Guid>
    <b:Title>Impact of Student Financial Aid on Access.</b:Title>
    <b:Year>1983</b:Year>
    <b:Author>
      <b:Author>
        <b:NameList>
          <b:Person>
            <b:Last>Hansen</b:Last>
            <b:First>L.</b:First>
            <b:Middle>W.</b:Middle>
          </b:Person>
        </b:NameList>
      </b:Author>
    </b:Author>
    <b:JournalName> Proceedings of the Academy of Political Science</b:JournalName>
    <b:Volume>35</b:Volume>
    <b:Issue>2</b:Issue>
    <b:Pages>84–96. https://doi.org/10.2307/3700892</b:Pages>
    <b:RefOrder>158</b:RefOrder>
  </b:Source>
  <b:Source>
    <b:Tag>Kan961</b:Tag>
    <b:SourceType>BookSection</b:SourceType>
    <b:Guid>{B368A67F-5867-3F44-B2A6-08242E688A89}</b:Guid>
    <b:Title>Lessons from the largest school voucher program ever: Two decades of experience with Pell grants</b:Title>
    <b:Year>1996</b:Year>
    <b:Author>
      <b:Author>
        <b:NameList>
          <b:Person>
            <b:Last>Kane</b:Last>
            <b:First>T.</b:First>
          </b:Person>
        </b:NameList>
      </b:Author>
      <b:BookAuthor>
        <b:NameList>
          <b:Person>
            <b:Last>Fuller</b:Last>
            <b:First>B.</b:First>
          </b:Person>
          <b:Person>
            <b:Last>Elmore</b:Last>
            <b:First>R.</b:First>
          </b:Person>
          <b:Person>
            <b:Last>Orfield</b:Last>
            <b:First>G.</b:First>
          </b:Person>
        </b:NameList>
      </b:BookAuthor>
    </b:Author>
    <b:BookTitle> Who chooses? Who loses? Culture, institutions and the unequal effects of school choice. </b:BookTitle>
    <b:Publisher>Teachers College Press</b:Publisher>
    <b:RefOrder>159</b:RefOrder>
  </b:Source>
  <b:Source>
    <b:Tag>Cor061</b:Tag>
    <b:SourceType>JournalArticle</b:SourceType>
    <b:Guid>{DA8A93B3-FFDC-AC49-AC88-0A4512C57823}</b:Guid>
    <b:Title>The enrollment effects of merit‐based financial aid: Evidence from Georgia’s HOPE program</b:Title>
    <b:Year>2006</b:Year>
    <b:Pages>761–786. https://doi.org/10.1086/506485</b:Pages>
    <b:Author>
      <b:Author>
        <b:NameList>
          <b:Person>
            <b:Last>Cornwell</b:Last>
            <b:First>C.</b:First>
          </b:Person>
          <b:Person>
            <b:Last>Mustard</b:Last>
            <b:First>D.</b:First>
            <b:Middle>B.</b:Middle>
          </b:Person>
          <b:Person>
            <b:Last>Sridhar</b:Last>
            <b:First>D.</b:First>
            <b:Middle>J.</b:Middle>
          </b:Person>
        </b:NameList>
      </b:Author>
    </b:Author>
    <b:JournalName>Journal of Labor Economics</b:JournalName>
    <b:Volume>24</b:Volume>
    <b:Issue>4</b:Issue>
    <b:RefOrder>52</b:RefOrder>
  </b:Source>
  <b:Source>
    <b:Tag>Den191</b:Tag>
    <b:SourceType>JournalArticle</b:SourceType>
    <b:Guid>{4D22CB11-89DC-9D4A-A091-4605B24891FE}</b:Guid>
    <b:Author>
      <b:Author>
        <b:NameList>
          <b:Person>
            <b:Last>Denning</b:Last>
            <b:First>J.</b:First>
            <b:Middle>T.</b:Middle>
          </b:Person>
          <b:Person>
            <b:Last>Turner</b:Last>
            <b:First>L.</b:First>
            <b:Middle>J.</b:Middle>
          </b:Person>
        </b:NameList>
      </b:Author>
    </b:Author>
    <b:Title>ProPelled: The effects of grants on graduation, earings, and welfare</b:Title>
    <b:JournalName>American Economic Journal. Applied Economics </b:JournalName>
    <b:Year>2019</b:Year>
    <b:Volume>11</b:Volume>
    <b:Issue>3</b:Issue>
    <b:Pages>193-224</b:Pages>
    <b:RefOrder>57</b:RefOrder>
  </b:Source>
  <b:Source>
    <b:Tag>Bet14</b:Tag>
    <b:SourceType>BookSection</b:SourceType>
    <b:Guid>{47D0E265-FA92-DB45-BDC3-4CF666DABD30}</b:Guid>
    <b:Title>Federal and state financial aid during the great recession</b:Title>
    <b:Year>2014</b:Year>
    <b:Pages>235-262</b:Pages>
    <b:Author>
      <b:Author>
        <b:NameList>
          <b:Person>
            <b:Last>Bettinger</b:Last>
            <b:First>E.,</b:First>
          </b:Person>
          <b:Person>
            <b:Last>Williams</b:Last>
            <b:First>B.</b:First>
          </b:Person>
        </b:NameList>
      </b:Author>
      <b:BookAuthor>
        <b:NameList>
          <b:Person>
            <b:Last>Brown</b:Last>
            <b:First>Jeffrey</b:First>
            <b:Middle>R.</b:Middle>
          </b:Person>
          <b:Person>
            <b:Last>Hoxby</b:Last>
            <b:First>Caroline</b:First>
            <b:Middle>M.</b:Middle>
          </b:Person>
        </b:NameList>
      </b:BookAuthor>
    </b:Author>
    <b:BookTitle>How the financial crisis and great recession affected higher education</b:BookTitle>
    <b:Publisher>University of Chicago Press. https://scholar.harvard.edu/files/btl/files/blong_-the_financial_crisis_and_college_enrollment_-_july_2013.pdf</b:Publisher>
    <b:RefOrder>65</b:RefOrder>
  </b:Source>
  <b:Source>
    <b:Tag>Hen041</b:Tag>
    <b:SourceType>JournalArticle</b:SourceType>
    <b:Guid>{91EAB8CF-A29E-1A47-BDFC-7032BE9F9CA6}</b:Guid>
    <b:Title>Is HOPE enough? Impacts of receiving and losing merit-based financial aid</b:Title>
    <b:Year>2004</b:Year>
    <b:Pages>686–709.  https://doi.org/10.1177/0895904804269098.</b:Pages>
    <b:Author>
      <b:Author>
        <b:NameList>
          <b:Person>
            <b:Last>Henry</b:Last>
            <b:First>G.</b:First>
          </b:Person>
          <b:Person>
            <b:Last>Rubenstein</b:Last>
            <b:First>R.</b:First>
          </b:Person>
          <b:Person>
            <b:Last>Bugler</b:Last>
            <b:First>D.</b:First>
          </b:Person>
        </b:NameList>
      </b:Author>
    </b:Author>
    <b:JournalName>Educational Policy</b:JournalName>
    <b:Volume>18</b:Volume>
    <b:Issue>5</b:Issue>
    <b:RefOrder>76</b:RefOrder>
  </b:Source>
  <b:Source>
    <b:Tag>Bla201</b:Tag>
    <b:SourceType>DocumentFromInternetSite</b:SourceType>
    <b:Guid>{33B063CB-0304-9244-9F93-E14245932340}</b:Guid>
    <b:Title>Taking it to the limit: effects of increased student loan availability on attainment, earnings, and financial well-being</b:Title>
    <b:Year>2020</b:Year>
    <b:Author>
      <b:Author>
        <b:NameList>
          <b:Person>
            <b:Last>Black</b:Last>
            <b:First>S.</b:First>
          </b:Person>
          <b:Person>
            <b:Last>Denning</b:Last>
            <b:First>J.</b:First>
            <b:Middle>D.</b:Middle>
          </b:Person>
          <b:Person>
            <b:Last>Goodman</b:Last>
            <b:First>S.</b:First>
          </b:Person>
          <b:Person>
            <b:Last>Turner</b:Last>
            <b:First>L.</b:First>
          </b:Person>
        </b:NameList>
      </b:Author>
    </b:Author>
    <b:InternetSiteTitle>National Bureau of Economic Research (Working Paper No. 27658)</b:InternetSiteTitle>
    <b:URL>https://doi.org/10.3386/w27658</b:URL>
    <b:RefOrder>80</b:RefOrder>
  </b:Source>
  <b:Source>
    <b:Tag>Camnd</b:Tag>
    <b:SourceType>InternetSite</b:SourceType>
    <b:Guid>{B319AAD8-77B5-6848-BE61-018779183B3F}</b:Guid>
    <b:Title>Promise Programs</b:Title>
    <b:URL>https://www.freecollegenow.org/promise_programs#:~:text=Promise%20Programs%20ae%20place%2Dbased,such%20as%20a%20minimum%20GPA</b:URL>
    <b:Year>n.d.</b:Year>
    <b:Author>
      <b:Author>
        <b:Corporate>Campaign for Free College Tuition</b:Corporate>
      </b:Author>
    </b:Author>
    <b:RefOrder>160</b:RefOrder>
  </b:Source>
  <b:Source>
    <b:Tag>Kan21</b:Tag>
    <b:SourceType>Report</b:SourceType>
    <b:Guid>{F4F0A3D2-EDEE-ED4C-89E9-11D2C895A71F}</b:Guid>
    <b:Title>College promise for all: Preparing America’s talent pipeline with universal access to, through, and beyond postsecondary education a federal-state partnership proposal for college promise</b:Title>
    <b:Year>2021</b:Year>
    <b:Author>
      <b:Author>
        <b:NameList>
          <b:Person>
            <b:Last>Kanter</b:Last>
            <b:First>M.</b:First>
          </b:Person>
          <b:Person>
            <b:Last>Blancas Cloud</b:Last>
            <b:First>R.</b:First>
          </b:Person>
          <b:Person>
            <b:Last>Lazarowitz</b:Last>
            <b:First>D.</b:First>
          </b:Person>
        </b:NameList>
      </b:Author>
    </b:Author>
    <b:Publisher>College Promise. https://assets.website-files.com/61ba001bb59d05538c5a4bd8/61ba001bb59d0576b75a4c5a_College%20Promise%20for%20All%20Policy%20Proposal.pdf</b:Publisher>
    <b:RefOrder>161</b:RefOrder>
  </b:Source>
  <b:Source>
    <b:Tag>Off15</b:Tag>
    <b:SourceType>InternetSite</b:SourceType>
    <b:Guid>{3DA769C9-47F3-CC4C-BF48-CB5973A194CD}</b:Guid>
    <b:Title>Fact sheet - White House unveils America’s college promise proposal: Tuition-free community college for responsible students</b:Title>
    <b:Year>2015</b:Year>
    <b:Author>
      <b:Author>
        <b:Corporate>Office of the Press Secretary</b:Corporate>
      </b:Author>
    </b:Author>
    <b:InternetSiteTitle>The White House</b:InternetSiteTitle>
    <b:URL>https://obamawhitehouse.archives.gov/the-press-office/2015/01/09/fact-sheet-white-house-unviels-america-s-college-promise-proposal-tuitio</b:URL>
    <b:Month>Jan</b:Month>
    <b:Day>9</b:Day>
    <b:RefOrder>90</b:RefOrder>
  </b:Source>
  <b:Source>
    <b:Tag>And101</b:Tag>
    <b:SourceType>JournalArticle</b:SourceType>
    <b:Guid>{D328C1E6-1DDE-8342-BB33-E2CF0D0C9821}</b:Guid>
    <b:Title>The effects of the Kalamazoo Promise on college choice</b:Title>
    <b:Year>2010</b:Year>
    <b:Author>
      <b:Author>
        <b:NameList>
          <b:Person>
            <b:Last>Andrews</b:Last>
            <b:First>R.</b:First>
          </b:Person>
          <b:Person>
            <b:Last>DesJardins</b:Last>
            <b:First>S.</b:First>
          </b:Person>
          <b:Person>
            <b:Last>Ranchhod</b:Last>
            <b:First>V.</b:First>
          </b:Person>
        </b:NameList>
      </b:Author>
    </b:Author>
    <b:JournalName>Economics of Education Review, </b:JournalName>
    <b:Volume>29</b:Volume>
    <b:Issue>5</b:Issue>
    <b:Pages>722-737. https://doi.org/10.1016/j.econedurev.2010.05.004 </b:Pages>
    <b:RefOrder>162</b:RefOrder>
  </b:Source>
  <b:Source>
    <b:Tag>Gon141</b:Tag>
    <b:SourceType>Report</b:SourceType>
    <b:Guid>{7B147DB0-36AC-3B48-B263-1CE5A1232F74}</b:Guid>
    <b:Title>Transforming an urban school system: Progress of New Haven school change and New Haven Promise education reforms (2010–2013)</b:Title>
    <b:Year>2014</b:Year>
    <b:Author>
      <b:Author>
        <b:NameList>
          <b:Person>
            <b:Last>Gonzalez</b:Last>
            <b:First>G.,</b:First>
            <b:Middle>Bozick, R., Daugherty, L.</b:Middle>
          </b:Person>
          <b:Person>
            <b:Last>Scherer</b:Last>
            <b:First>E.</b:First>
          </b:Person>
          <b:Person>
            <b:Last>Signh</b:Last>
            <b:First>R.</b:First>
          </b:Person>
          <b:Person>
            <b:Last>Suarez</b:Last>
            <b:First>M.</b:First>
          </b:Person>
          <b:Person>
            <b:Last>Ryan</b:Last>
            <b:First>S.</b:First>
          </b:Person>
        </b:NameList>
      </b:Author>
    </b:Author>
    <b:Publisher>Research Report No. RR-777- CFGNH. Rand Corporation. https://www.rand.org/pubs/research_reports/RR777.html</b:Publisher>
    <b:RefOrder>163</b:RefOrder>
  </b:Source>
  <b:Source>
    <b:Tag>Pag191</b:Tag>
    <b:SourceType>JournalArticle</b:SourceType>
    <b:Guid>{676CAE7F-5187-A84F-8FD4-90B0E75CD1B1}</b:Guid>
    <b:Title>Customized nudging to improve FAFSA completion and income verification</b:Title>
    <b:Year>2019</b:Year>
    <b:Author>
      <b:Author>
        <b:NameList>
          <b:Person>
            <b:Last>Page</b:Last>
            <b:First>L.</b:First>
          </b:Person>
          <b:Person>
            <b:Last>Castleman</b:Last>
            <b:First>B.</b:First>
          </b:Person>
          <b:Person>
            <b:Last>Meyer</b:Last>
            <b:First>K.</b:First>
          </b:Person>
        </b:NameList>
      </b:Author>
    </b:Author>
    <b:JournalName>Educational Evaluation and Policy Analysis</b:JournalName>
    <b:Volume>41</b:Volume>
    <b:Issue>1</b:Issue>
    <b:Pages>3-21. https://doi.org/10.3102/0162373719876916</b:Pages>
    <b:RefOrder>164</b:RefOrder>
  </b:Source>
  <b:Source>
    <b:Tag>Boz151</b:Tag>
    <b:SourceType>JournalArticle</b:SourceType>
    <b:Guid>{9E265067-1D8C-BA4C-9BB4-813B199929B4}</b:Guid>
    <b:Author>
      <b:Author>
        <b:NameList>
          <b:Person>
            <b:Last>Bozick</b:Last>
            <b:First>R.</b:First>
          </b:Person>
          <b:Person>
            <b:Last>Gonzalez</b:Last>
            <b:First>G.</b:First>
          </b:Person>
          <b:Person>
            <b:Last>Engberg</b:Last>
            <b:First>J.</b:First>
          </b:Person>
        </b:NameList>
      </b:Author>
    </b:Author>
    <b:Title>Using a merit-based scholarship program to increase rates of college enrollment in an urban school district: The case of the Pittsburgh Promise</b:Title>
    <b:JournalName>Journal of Student Financial Aid</b:JournalName>
    <b:Year>2015</b:Year>
    <b:Volume>45</b:Volume>
    <b:Issue>2</b:Issue>
    <b:Pages>Article 2. https://ir.library.louisville.edu/jsfa/vol45/iss2/2</b:Pages>
    <b:RefOrder>165</b:RefOrder>
  </b:Source>
  <b:Source>
    <b:Tag>Bel211</b:Tag>
    <b:SourceType>JournalArticle</b:SourceType>
    <b:Guid>{95EE11FA-76AD-2641-AFD5-8E1CF38CAFDD}</b:Guid>
    <b:Author>
      <b:Author>
        <b:NameList>
          <b:Person>
            <b:Last>Bell</b:Last>
            <b:First>E.</b:First>
          </b:Person>
          <b:Person>
            <b:Last>Gàndara</b:Last>
            <b:First>D.</b:First>
          </b:Person>
        </b:NameList>
      </b:Author>
    </b:Author>
    <b:Title>Can free community college close racial disparities in postsecondary attainment? How Tulsa achieves affects racially minoritized student outcomes</b:Title>
    <b:JournalName>American Educational Research Journal</b:JournalName>
    <b:Year>2021</b:Year>
    <b:Volume>58</b:Volume>
    <b:Issue>6</b:Issue>
    <b:Pages>1142-1177. https://doi.org/10.3102/00028312211003501</b:Pages>
    <b:RefOrder>166</b:RefOrder>
  </b:Source>
  <b:Source>
    <b:Tag>Rui201</b:Tag>
    <b:SourceType>BookSection</b:SourceType>
    <b:Guid>{AC56A9DB-B646-0D48-9A2F-C030A5B78FF7}</b:Guid>
    <b:Author>
      <b:Author>
        <b:NameList>
          <b:Person>
            <b:Last>Ruiz</b:Last>
            <b:First>R.</b:First>
          </b:Person>
          <b:Person>
            <b:Last>Leigh</b:Last>
            <b:First>E.</b:First>
          </b:Person>
          <b:Person>
            <b:Last>Napier</b:Last>
            <b:First>A.,</b:First>
          </b:Person>
          <b:Person>
            <b:Last>González Canché</b:Last>
            <b:First>M.</b:First>
          </b:Person>
        </b:NameList>
      </b:Author>
      <b:BookAuthor>
        <b:NameList>
          <b:Person>
            <b:Last>L. Perna</b:Last>
            <b:First>&amp;</b:First>
            <b:Middle>E. Smith (Eds.)</b:Middle>
          </b:Person>
        </b:NameList>
      </b:BookAuthor>
    </b:Author>
    <b:Title>Community college promise programs and local impact: Aggregate effects of college attainment in three promise communities</b:Title>
    <b:Year>2020</b:Year>
    <b:Pages>241-266. https://doi.org/10.2307/j.ctvxw3phv.14</b:Pages>
    <b:BookTitle>College promise programs: Improving research-based knowledge of college promise programs</b:BookTitle>
    <b:Publisher>American Educational Research Association</b:Publisher>
    <b:RefOrder>167</b:RefOrder>
  </b:Source>
  <b:Source>
    <b:Tag>Odl21</b:Tag>
    <b:SourceType>JournalArticle</b:SourceType>
    <b:Guid>{4F6CDB9E-B474-254A-B784-E4231BA3CA74}</b:Guid>
    <b:Title>Do promise programs reduce student loans? Evidence from Tennessee Promise</b:Title>
    <b:Year>2021</b:Year>
    <b:Pages>847-876. https://doi.org/10.1080/00221546.2021.1888674  </b:Pages>
    <b:Author>
      <b:Author>
        <b:NameList>
          <b:Person>
            <b:Last>Odle</b:Last>
            <b:First>T.</b:First>
            <b:Middle>K.</b:Middle>
          </b:Person>
          <b:Person>
            <b:Last>Lee</b:Last>
            <b:First>J.</b:First>
            <b:Middle>C.</b:Middle>
          </b:Person>
          <b:Person>
            <b:Last>Gentile</b:Last>
            <b:First>S.</b:First>
            <b:Middle>P.</b:Middle>
          </b:Person>
        </b:NameList>
      </b:Author>
    </b:Author>
    <b:JournalName>The Journal of Higher Education</b:JournalName>
    <b:Volume>92</b:Volume>
    <b:Issue>6</b:Issue>
    <b:RefOrder>95</b:RefOrder>
  </b:Source>
  <b:Source>
    <b:Tag>Bif19</b:Tag>
    <b:SourceType>JournalArticle</b:SourceType>
    <b:Guid>{C2C4F56B-86E1-7648-9A21-FDD006D09E55}</b:Guid>
    <b:Author>
      <b:Author>
        <b:NameList>
          <b:Person>
            <b:Last>Bifulco</b:Last>
            <b:First>R.</b:First>
            <b:Middle>Rubenstein, R., Sohn, H.</b:Middle>
          </b:Person>
        </b:NameList>
      </b:Author>
    </b:Author>
    <b:Title>Evaluating the effects of universal place-based scholarships on studnets outcomes: The Buffalo "say yes to education" program</b:Title>
    <b:JournalName>Journal of Policy Analysis and Management</b:JournalName>
    <b:Year>2019</b:Year>
    <b:Volume>38</b:Volume>
    <b:Issue>4</b:Issue>
    <b:Pages>918-943</b:Pages>
    <b:RefOrder>98</b:RefOrder>
  </b:Source>
  <b:Source>
    <b:Tag>Dau16</b:Tag>
    <b:SourceType>InternetSite</b:SourceType>
    <b:Guid>{FD345E73-AAA5-8045-94B6-CBA402BB4482}</b:Guid>
    <b:Author>
      <b:Author>
        <b:NameList>
          <b:Person>
            <b:Last>Daugherty</b:Last>
            <b:First>L.</b:First>
          </b:Person>
          <b:Person>
            <b:Last>Gonzalez</b:Last>
            <b:First>G.</b:First>
            <b:Middle>C.</b:Middle>
          </b:Person>
        </b:NameList>
      </b:Author>
    </b:Author>
    <b:Title>The impact of the new haven promise program on college, enrollment, choice, and persistence</b:Title>
    <b:Year>2016</b:Year>
    <b:InternetSiteTitle>RAND. </b:InternetSiteTitle>
    <b:URL>https://www.rand.org/content/dam/rand/pubs/working_papers/WR1100/WR1147/RAND_WR1147.pdf</b:URL>
    <b:RefOrder>168</b:RefOrder>
  </b:Source>
  <b:Source>
    <b:Tag>Bur23</b:Tag>
    <b:SourceType>JournalArticle</b:SourceType>
    <b:Guid>{DEE01CC0-8520-7D46-993D-D13BEE902354}</b:Guid>
    <b:Title>The power of certainty: Experimental evidence on the effective design of free tuition programs</b:Title>
    <b:Year>2023</b:Year>
    <b:Author>
      <b:Author>
        <b:NameList>
          <b:Person>
            <b:Last>Burland</b:Last>
            <b:First>E.</b:First>
          </b:Person>
          <b:Person>
            <b:Last>Dynarski</b:Last>
            <b:First>S.</b:First>
          </b:Person>
          <b:Person>
            <b:Last>Michelmore</b:Last>
            <b:First>K.</b:First>
          </b:Person>
          <b:Person>
            <b:Last>Owen</b:Last>
            <b:First>S.</b:First>
          </b:Person>
          <b:Person>
            <b:Last>Raghuraman</b:Last>
            <b:First>S.</b:First>
          </b:Person>
        </b:NameList>
      </b:Author>
    </b:Author>
    <b:JournalName>American Economic Review: Insights</b:JournalName>
    <b:Volume>5</b:Volume>
    <b:Issue>3</b:Issue>
    <b:Pages>293-310. https://doi.org/10.3386/w298</b:Pages>
    <b:RefOrder>169</b:RefOrder>
  </b:Source>
  <b:Source>
    <b:Tag>Rot24</b:Tag>
    <b:SourceType>JournalArticle</b:SourceType>
    <b:Guid>{CC2F5842-E164-724F-BD1C-B86E2D38A3D9}</b:Guid>
    <b:Author>
      <b:Author>
        <b:NameList>
          <b:Person>
            <b:Last>Roth</b:Last>
            <b:First>Jonathan.</b:First>
          </b:Person>
        </b:NameList>
      </b:Author>
    </b:Author>
    <b:Title>Interpreting event-studies from recent difference-in-differences methods</b:Title>
    <b:JournalName>arXiv preprint </b:JournalName>
    <b:Year>2024</b:Year>
    <b:Pages>arXiv:2401.12309. https://arxiv.org/abs/2401.12309</b:Pages>
    <b:RefOrder>105</b:RefOrder>
  </b:Source>
  <b:Source>
    <b:Tag>Ath17</b:Tag>
    <b:SourceType>JournalArticle</b:SourceType>
    <b:Guid>{5B25CB32-A9BD-CC43-A4F6-9510FB0A273E}</b:Guid>
    <b:Author>
      <b:Author>
        <b:NameList>
          <b:Person>
            <b:Last>Athey</b:Last>
            <b:First>S.</b:First>
          </b:Person>
          <b:Person>
            <b:Last>Imbens</b:Last>
            <b:First>G.</b:First>
            <b:Middle>W.</b:Middle>
          </b:Person>
        </b:NameList>
      </b:Author>
    </b:Author>
    <b:Title>The state of applied econometrics: Causality and policy evaluation</b:Title>
    <b:JournalName>Journal of Economic perspectives</b:JournalName>
    <b:Year>2017</b:Year>
    <b:Volume>31</b:Volume>
    <b:Issue>2</b:Issue>
    <b:Pages>3-32. https://doi.org/10.1257/jep.31.2.3</b:Pages>
    <b:RefOrder>106</b:RefOrder>
  </b:Source>
  <b:Source>
    <b:Tag>Bor17</b:Tag>
    <b:SourceType>Report</b:SourceType>
    <b:Guid>{44791635-C483-384F-810C-A9EDDF99D497}</b:Guid>
    <b:Author>
      <b:Author>
        <b:NameList>
          <b:Person>
            <b:Last>Borusyak</b:Last>
            <b:First>K.</b:First>
          </b:Person>
          <b:Person>
            <b:Last>Jaravel</b:Last>
            <b:First>X.</b:First>
          </b:Person>
        </b:NameList>
      </b:Author>
    </b:Author>
    <b:Title>Consistency and inference in bartik research designs</b:Title>
    <b:Year>2017</b:Year>
    <b:Publisher>Technical Report, Working paper 187</b:Publisher>
    <b:RefOrder>107</b:RefOrder>
  </b:Source>
  <b:Source>
    <b:Tag>Bra21</b:Tag>
    <b:SourceType>JournalArticle</b:SourceType>
    <b:Guid>{5A404DCE-B581-F542-8F45-7506C5C08DF0}</b:Guid>
    <b:Title>Difference-in-Differences with multiple time periods</b:Title>
    <b:Year>2021</b:Year>
    <b:Author>
      <b:Author>
        <b:NameList>
          <b:Person>
            <b:Last>Callaway</b:Last>
            <b:First>Brantly</b:First>
          </b:Person>
          <b:Person>
            <b:Last>Sant’Anna</b:Last>
            <b:First>Pedro</b:First>
            <b:Middle>H.C.</b:Middle>
          </b:Person>
        </b:NameList>
      </b:Author>
    </b:Author>
    <b:JournalName>Journal of Econometrics</b:JournalName>
    <b:Volume>225</b:Volume>
    <b:Issue>2</b:Issue>
    <b:Pages>200-230; https://doi.org/10.1016/j.jeconom.2020.12.001</b:Pages>
    <b:RefOrder>108</b:RefOrder>
  </b:Source>
  <b:Source>
    <b:Tag>Goo21</b:Tag>
    <b:SourceType>JournalArticle</b:SourceType>
    <b:Guid>{E3FF4D77-7B77-5542-B07E-B98C44CC8F88}</b:Guid>
    <b:Author>
      <b:Author>
        <b:NameList>
          <b:Person>
            <b:Last>Goodman-Bacon</b:Last>
            <b:First>A.</b:First>
          </b:Person>
        </b:NameList>
      </b:Author>
    </b:Author>
    <b:Title>Difference-in-differences with variation in treatment timing</b:Title>
    <b:JournalName>Journal of Econometrics</b:JournalName>
    <b:Year>2021</b:Year>
    <b:Volume>225</b:Volume>
    <b:Issue>2</b:Issue>
    <b:Pages>254-277. https://doi.org/10.1016/j.jeconom.2021.03.014</b:Pages>
    <b:RefOrder>109</b:RefOrder>
  </b:Source>
  <b:Source>
    <b:Tag>Sun21</b:Tag>
    <b:SourceType>JournalArticle</b:SourceType>
    <b:Guid>{4CEC9B7F-DBF4-2D49-86F4-5B07BC1F10F3}</b:Guid>
    <b:Author>
      <b:Author>
        <b:NameList>
          <b:Person>
            <b:Last>Sun</b:Last>
            <b:First>L.</b:First>
          </b:Person>
          <b:Person>
            <b:Last>Abraham</b:Last>
            <b:First>S.</b:First>
          </b:Person>
        </b:NameList>
      </b:Author>
    </b:Author>
    <b:Title>Estimating dynamic treatment effects in event studies with heterogeneous treatment effects</b:Title>
    <b:JournalName>Journal of econometrics</b:JournalName>
    <b:Year>2021</b:Year>
    <b:Volume>225</b:Volume>
    <b:Issue>2</b:Issue>
    <b:Pages>175-199. https://doi.org/10.1016/j.jeconom.2020.09.006</b:Pages>
    <b:RefOrder>110</b:RefOrder>
  </b:Source>
  <b:Source>
    <b:Tag>Bor24</b:Tag>
    <b:SourceType>JournalArticle</b:SourceType>
    <b:Guid>{EEAEA7D5-009B-F045-9295-67A007D6A670}</b:Guid>
    <b:Author>
      <b:Author>
        <b:NameList>
          <b:Person>
            <b:Last>Borusyak</b:Last>
            <b:First>K.</b:First>
          </b:Person>
          <b:Person>
            <b:Last>Jaravel</b:Last>
            <b:First>X.</b:First>
          </b:Person>
          <b:Person>
            <b:Last>Spiess</b:Last>
            <b:First>J.</b:First>
          </b:Person>
        </b:NameList>
      </b:Author>
    </b:Author>
    <b:Title>Revisiting event-study designs: robust and efficient estimation.</b:Title>
    <b:JournalName>Review of Economic Studies</b:JournalName>
    <b:Year>2024</b:Year>
    <b:Pages> rdae007. https://arxiv.org/abs/2108.12419</b:Pages>
    <b:RefOrder>111</b:RefOrder>
  </b:Source>
  <b:Source>
    <b:Tag>DeC20</b:Tag>
    <b:SourceType>JournalArticle</b:SourceType>
    <b:Guid>{61652D12-4A74-EB40-A237-253FFA76D832}</b:Guid>
    <b:Author>
      <b:Author>
        <b:NameList>
          <b:Person>
            <b:Last>De Chaisemartin</b:Last>
            <b:First>C.</b:First>
          </b:Person>
          <b:Person>
            <b:Last>d’Haultfoeuille</b:Last>
            <b:First>X.</b:First>
          </b:Person>
        </b:NameList>
      </b:Author>
    </b:Author>
    <b:Title>Two-way fixed effects estimators with heterogeneous treatment effects</b:Title>
    <b:JournalName>American economic review</b:JournalName>
    <b:Year>2020</b:Year>
    <b:Volume>110</b:Volume>
    <b:Issue>9</b:Issue>
    <b:Pages>2964-2996. https://www.jstor.org/stable/26966322</b:Pages>
    <b:RefOrder>112</b:RefOrder>
  </b:Source>
  <b:Source>
    <b:Tag>Woo21</b:Tag>
    <b:SourceType>InternetSite</b:SourceType>
    <b:Guid>{10B0A362-96FF-624F-AB45-D5E2B6196C73}</b:Guid>
    <b:Title>Two-way fixed effects, the two-way mundlak regression, and difference-in-differences estimators</b:Title>
    <b:Year>2021</b:Year>
    <b:Author>
      <b:Author>
        <b:NameList>
          <b:Person>
            <b:Last>Wooldridge</b:Last>
            <b:First>J.</b:First>
            <b:Middle>M.</b:Middle>
          </b:Person>
        </b:NameList>
      </b:Author>
    </b:Author>
    <b:InternetSiteTitle>SSRN Working Papers</b:InternetSiteTitle>
    <b:URL>https://dx.doi.org/10.2139/ssrn.3906345</b:URL>
    <b:RefOrder>113</b:RefOrder>
  </b:Source>
  <b:Source>
    <b:Tag>Ram23</b:Tag>
    <b:SourceType>JournalArticle</b:SourceType>
    <b:Guid>{287ECAC2-5F9C-0448-88BA-6DEFA33376C3}</b:Guid>
    <b:Title>A more credible approach to parallel trends</b:Title>
    <b:Year>2023</b:Year>
    <b:Pages> 2555-2591. https://doi.org/10.1093/restud/rdad018</b:Pages>
    <b:Author>
      <b:Author>
        <b:NameList>
          <b:Person>
            <b:Last>Rambachan</b:Last>
            <b:First>A.</b:First>
          </b:Person>
          <b:Person>
            <b:Last>Roth</b:Last>
            <b:First>J.</b:First>
          </b:Person>
        </b:NameList>
      </b:Author>
    </b:Author>
    <b:JournalName>Review of Economic Studies</b:JournalName>
    <b:Volume>90</b:Volume>
    <b:Issue>5</b:Issue>
    <b:RefOrder>114</b:RefOrder>
  </b:Source>
  <b:Source>
    <b:Tag>Bak22</b:Tag>
    <b:SourceType>JournalArticle</b:SourceType>
    <b:Guid>{F42C7B18-B176-4847-80F1-0F8DC1B9CBC2}</b:Guid>
    <b:Author>
      <b:Author>
        <b:NameList>
          <b:Person>
            <b:Last>Baker</b:Last>
            <b:First>A.</b:First>
            <b:Middle>C.</b:Middle>
          </b:Person>
          <b:Person>
            <b:Last>Larcker</b:Last>
            <b:First>D.</b:First>
            <b:Middle>F.</b:Middle>
          </b:Person>
          <b:Person>
            <b:Last>Wang</b:Last>
            <b:First>C.</b:First>
            <b:Middle>C.</b:Middle>
          </b:Person>
        </b:NameList>
      </b:Author>
    </b:Author>
    <b:Title>How much should we trust staggered difference-in-differences estimates?</b:Title>
    <b:JournalName>Journal of Financial Economics</b:JournalName>
    <b:Year>2022</b:Year>
    <b:Volume>144</b:Volume>
    <b:Issue>2</b:Issue>
    <b:Pages>370-395. https://doi.org/10.1016/j.jfineco.2022.01.004</b:Pages>
    <b:RefOrder>115</b:RefOrder>
  </b:Source>
  <b:Source>
    <b:Tag>Fie24</b:Tag>
    <b:SourceType>ArticleInAPeriodical</b:SourceType>
    <b:Guid>{66B9865D-1B06-2D46-9087-734AB249D9CC}</b:Guid>
    <b:Title>Race to the finish: The rise of faster bachelor’s degrees raises the question: What is college for?</b:Title>
    <b:Year>2024</b:Year>
    <b:Pages> https://www.chronicle.com/article/race-to-the-finish </b:Pages>
    <b:Author>
      <b:Author>
        <b:NameList>
          <b:Person>
            <b:Last>Field</b:Last>
            <b:First>K.</b:First>
          </b:Person>
        </b:NameList>
      </b:Author>
    </b:Author>
    <b:PeriodicalTitle>The Chronicle of Higher Education</b:PeriodicalTitle>
    <b:Month>March</b:Month>
    <b:Day>21</b:Day>
    <b:RefOrder>116</b:RefOrder>
  </b:Source>
  <b:Source>
    <b:Tag>Wei23</b:Tag>
    <b:SourceType>ArticleInAPeriodical</b:SourceType>
    <b:Guid>{FBE596A1-30AA-6145-978A-F82331502325}</b:Guid>
    <b:Author>
      <b:Author>
        <b:NameList>
          <b:Person>
            <b:Last>Weissman</b:Last>
            <b:First>S.</b:First>
          </b:Person>
        </b:NameList>
      </b:Author>
    </b:Author>
    <b:Title>Universities prepare to launch 2-year colleges </b:Title>
    <b:PeriodicalTitle>Inside Higher Ed</b:PeriodicalTitle>
    <b:Year>2023</b:Year>
    <b:Month>November</b:Month>
    <b:Day>14</b:Day>
    <b:Pages>https://www.insidehighered.com/news/students/diversity/2023/11/14/four-year-universities-launching-two-year-colleges#:~:text=Butler%20University%2C%20a%20private%20institution,serve%20local%20low%2Dincome%20students.</b:Pages>
    <b:RefOrder>117</b:RefOrder>
  </b:Source>
  <b:Source>
    <b:Tag>Rot23</b:Tag>
    <b:SourceType>JournalArticle</b:SourceType>
    <b:Guid>{86782DFC-CA83-8C4C-B05B-DC044EF481D4}</b:Guid>
    <b:Title>What’s trending in difference-in-differences? A synthesis of the recent econometrics literature</b:Title>
    <b:Year>2023</b:Year>
    <b:Pages>2218-2244.</b:Pages>
    <b:Author>
      <b:Author>
        <b:NameList>
          <b:Person>
            <b:Last>Roth</b:Last>
            <b:First>J.</b:First>
          </b:Person>
          <b:Person>
            <b:Last>Sant’Anna</b:Last>
            <b:First>P.</b:First>
            <b:Middle>H.</b:Middle>
          </b:Person>
          <b:Person>
            <b:Last>Bilinski</b:Last>
            <b:First>A.</b:First>
          </b:Person>
          <b:Person>
            <b:Last>Poe</b:Last>
            <b:First>J.</b:First>
          </b:Person>
        </b:NameList>
      </b:Author>
    </b:Author>
    <b:JournalName>Journal of Econometrics</b:JournalName>
    <b:Volume>235</b:Volume>
    <b:Issue>2</b:Issue>
    <b:RefOrder>118</b:RefOrder>
  </b:Source>
  <b:Source>
    <b:Tag>Ven20</b:Tag>
    <b:SourceType>JournalArticle</b:SourceType>
    <b:Guid>{15ACE5FD-45CC-C244-846F-3E64B01147D1}</b:Guid>
    <b:Author>
      <b:Author>
        <b:NameList>
          <b:Person>
            <b:Last>Venkataramani</b:Last>
            <b:First>A.</b:First>
            <b:Middle>S.</b:Middle>
          </b:Person>
          <b:Person>
            <b:Last>Bair</b:Last>
            <b:First>E.</b:First>
            <b:Middle>F.</b:Middle>
          </b:Person>
          <b:Person>
            <b:Last>O’Brien</b:Last>
            <b:First>R.</b:First>
            <b:Middle>L.</b:Middle>
          </b:Person>
          <b:Person>
            <b:Last>Tsai</b:Last>
            <b:First>A.</b:First>
            <b:Middle>C.</b:Middle>
          </b:Person>
        </b:NameList>
      </b:Author>
    </b:Author>
    <b:Title>Association between automotive assembly plant closures and opioid overdose mortality in the United States: A difference-in-differences analysis</b:Title>
    <b:JournalName>JAMA internal medicine</b:JournalName>
    <b:Year>2020</b:Year>
    <b:Volume>180</b:Volume>
    <b:Issue>2</b:Issue>
    <b:Pages>254-262. https://doi.org/10.1001/jamainternmed.2019.5686</b:Pages>
    <b:RefOrder>119</b:RefOrder>
  </b:Source>
  <b:Source>
    <b:Tag>Dim20</b:Tag>
    <b:SourceType>JournalArticle</b:SourceType>
    <b:Guid>{CDA05275-2957-6442-B041-6D5BD6DC56D1}</b:Guid>
    <b:Title>Effect of a national primary care reform on avoidable hospital admissions (2000–2015): A difference-in-difference analysis</b:Title>
    <b:Year>2020</b:Year>
    <b:Pages>252, 112908. https://doi.org/10.1016/j.socscimed.2020.112908</b:Pages>
    <b:Author>
      <b:Author>
        <b:NameList>
          <b:Person>
            <b:Last>Dimitrovová</b:Last>
            <b:First>K.</b:First>
          </b:Person>
          <b:Person>
            <b:Last>Perelman</b:Last>
            <b:First>J.</b:First>
          </b:Person>
          <b:Person>
            <b:Last>Serrano-Alarcón</b:Last>
            <b:First>M.</b:First>
          </b:Person>
        </b:NameList>
      </b:Author>
    </b:Author>
    <b:JournalName>Social Science &amp; Medicine</b:JournalName>
    <b:RefOrder>121</b:RefOrder>
  </b:Source>
  <b:Source>
    <b:Tag>Kel24</b:Tag>
    <b:SourceType>JournalArticle</b:SourceType>
    <b:Guid>{21B4D89B-103A-AD47-AACF-7DA6F80E6CD1}</b:Guid>
    <b:Author>
      <b:Author>
        <b:NameList>
          <b:Person>
            <b:Last>Kelchen</b:Last>
            <b:First>R.</b:First>
          </b:Person>
          <b:Person>
            <b:Last>Pingel</b:Last>
            <b:First>S.</b:First>
          </b:Person>
        </b:NameList>
      </b:Author>
    </b:Author>
    <b:Title>Examining the Effects of Tuition Controls on Student Enrollment</b:Title>
    <b:JournalName>Research in Higher Education</b:JournalName>
    <b:Year>2024</b:Year>
    <b:Issue>65</b:Issue>
    <b:Pages>70-91. http://dx.doi.org/10.1007/s11162-023-09748-5</b:Pages>
    <b:RefOrder>122</b:RefOrder>
  </b:Source>
  <b:Source>
    <b:Tag>Ort23</b:Tag>
    <b:SourceType>JournalArticle</b:SourceType>
    <b:Guid>{A5462FBE-9279-6046-BEE7-ECDD8679C58E}</b:Guid>
    <b:Author>
      <b:Author>
        <b:NameList>
          <b:Person>
            <b:Last>Ortagus</b:Last>
            <b:First>J.</b:First>
          </b:Person>
          <b:Person>
            <b:Last>Rosinger</b:Last>
            <b:First>K.</b:First>
          </b:Person>
          <b:Person>
            <b:Last>Kelchen</b:Last>
            <b:First>R.</b:First>
          </b:Person>
          <b:Person>
            <b:Last>Voorhees</b:Last>
            <b:First>N.</b:First>
          </b:Person>
          <b:Person>
            <b:Last>Chu</b:Last>
            <b:First>G.</b:First>
          </b:Person>
        </b:NameList>
      </b:Author>
    </b:Author>
    <b:Title>A National Analysis of the Impact of Performance-Based Funding on Completion Outcomes Among Underserved Students</b:Title>
    <b:JournalName>The Review of Higher Education</b:JournalName>
    <b:Year>2023</b:Year>
    <b:Volume>46</b:Volume>
    <b:Issue>4</b:Issue>
    <b:Pages>415-452</b:Pages>
    <b:RefOrder>123</b:RefOrder>
  </b:Source>
  <b:Source>
    <b:Tag>Suh19</b:Tag>
    <b:SourceType>JournalArticle</b:SourceType>
    <b:Guid>{E0E5E1F5-B082-0D4E-9B0A-B5E81D64B3E9}</b:Guid>
    <b:Author>
      <b:Author>
        <b:NameList>
          <b:Person>
            <b:Last>Suhonen</b:Last>
            <b:First>T.</b:First>
          </b:Person>
          <b:Person>
            <b:Last>Karhunen</b:Last>
            <b:First>H.</b:First>
          </b:Person>
        </b:NameList>
      </b:Author>
    </b:Author>
    <b:Title>The intergenerational effects of parental higher education: Evidence from changes in university accessibility</b:Title>
    <b:JournalName>Journal of Public Economics</b:JournalName>
    <b:Year>2019</b:Year>
    <b:Volume>176</b:Volume>
    <b:Pages>195-217. https://doi.org/10.1016/j.jpubeco.2019.07.001</b:Pages>
    <b:RefOrder>124</b:RefOrder>
  </b:Source>
  <b:Source>
    <b:Tag>Ros21</b:Tag>
    <b:SourceType>JournalArticle</b:SourceType>
    <b:Guid>{B353A5EC-6D80-7E44-8B36-18409662CA83}</b:Guid>
    <b:Author>
      <b:Author>
        <b:NameList>
          <b:Person>
            <b:Last>Rosinger</b:Last>
            <b:First>K.</b:First>
            <b:Middle>O.</b:Middle>
          </b:Person>
          <b:Person>
            <b:Last>Ortagus</b:Last>
          </b:Person>
          <b:Person>
            <b:Last>J.</b:Last>
            <b:First>Kelchen,</b:First>
            <b:Middle>R.</b:Middle>
          </b:Person>
          <b:Person>
            <b:Last>Cassell</b:Last>
            <b:First>A.</b:First>
          </b:Person>
          <b:Person>
            <b:Last>Brown</b:Last>
            <b:First>L.</b:First>
            <b:Middle>C.</b:Middle>
          </b:Person>
        </b:NameList>
      </b:Author>
    </b:Author>
    <b:Title>New evidence on the evolution and landscape of performance funding for higher education</b:Title>
    <b:JournalName>The Journal of Higher Education</b:JournalName>
    <b:Year>2021</b:Year>
    <b:Volume>93</b:Volume>
    <b:Issue>5</b:Issue>
    <b:Pages>735-768. https://doi.org/10.1080/00221546.2022.2066269</b:Pages>
    <b:RefOrder>125</b:RefOrder>
  </b:Source>
  <b:Source>
    <b:Tag>Kel22</b:Tag>
    <b:SourceType>JournalArticle</b:SourceType>
    <b:Guid>{E11D3CD7-1507-7E4A-9157-CA784FC805CC}</b:Guid>
    <b:Author>
      <b:Author>
        <b:NameList>
          <b:Person>
            <b:Last>Kelchen</b:Last>
            <b:First>R.</b:First>
          </b:Person>
          <b:Person>
            <b:Last>Ortagus</b:Last>
            <b:First>J.</b:First>
          </b:Person>
          <b:Person>
            <b:Last>Rosinger</b:Last>
            <b:First>K.</b:First>
          </b:Person>
          <b:Person>
            <b:Last>Cassell</b:Last>
            <b:First>A.</b:First>
          </b:Person>
        </b:NameList>
      </b:Author>
    </b:Author>
    <b:Title>The Effects of State Performance Funding Policies on Student Loan Debt</b:Title>
    <b:JournalName>Economics of Education Review</b:JournalName>
    <b:Year>2022</b:Year>
    <b:Volume>91</b:Volume>
    <b:Issue>Article 102328.</b:Issue>
    <b:Pages>https://doi.org/10.1016/j.econedurev.2022.102328</b:Pages>
    <b:RefOrder>126</b:RefOrder>
  </b:Source>
  <b:Source>
    <b:Tag>DeC23</b:Tag>
    <b:SourceType>JournalArticle</b:SourceType>
    <b:Guid>{50F3676C-3615-9440-9897-1596CD45039A}</b:Guid>
    <b:Author>
      <b:Author>
        <b:NameList>
          <b:Person>
            <b:Last>De Chaisemartin</b:Last>
            <b:First>C.</b:First>
          </b:Person>
          <b:Person>
            <b:Last>d’Haultfoeuille</b:Last>
            <b:First>X.</b:First>
          </b:Person>
        </b:NameList>
      </b:Author>
    </b:Author>
    <b:Title>Two-way fixed effects and differences-in-differences with heterogeneous treatment effects: A survey</b:Title>
    <b:JournalName>The Econometrics Journal</b:JournalName>
    <b:Year>2023</b:Year>
    <b:Volume>26</b:Volume>
    <b:Issue>3</b:Issue>
    <b:Pages>C1-C30. https://doi.org/10.1093/ectj/utac017</b:Pages>
    <b:RefOrder>127</b:RefOrder>
  </b:Source>
  <b:Source>
    <b:Tag>Mar21</b:Tag>
    <b:SourceType>JournalArticle</b:SourceType>
    <b:Guid>{33D402E5-A611-0545-8993-FC19367C30BB}</b:Guid>
    <b:Author>
      <b:Author>
        <b:NameList>
          <b:Person>
            <b:Last>Marcus</b:Last>
            <b:First>M.</b:First>
          </b:Person>
          <b:Person>
            <b:Last>Sant’Anna</b:Last>
            <b:First>P.</b:First>
            <b:Middle>H.</b:Middle>
          </b:Person>
        </b:NameList>
      </b:Author>
    </b:Author>
    <b:Title>The role of parallel trends in event study settings: An application to environmental economics.  </b:Title>
    <b:JournalName>Journal of the Association of Environmental and Resource Economists,</b:JournalName>
    <b:Year>2021</b:Year>
    <b:Volume>8</b:Volume>
    <b:Issue>2</b:Issue>
    <b:Pages>235-275. https://doi.org/10.1086/711509</b:Pages>
    <b:RefOrder>128</b:RefOrder>
  </b:Source>
  <b:Source xmlns:b="http://schemas.openxmlformats.org/officeDocument/2006/bibliography">
    <b:Tag>Rot22</b:Tag>
    <b:SourceType>JournalArticle</b:SourceType>
    <b:Guid>{5CB1CE77-6935-594A-8002-49525BB9AEEE}</b:Guid>
    <b:Author>
      <b:Author>
        <b:NameList>
          <b:Person>
            <b:Last>Roth</b:Last>
            <b:First>J.</b:First>
          </b:Person>
        </b:NameList>
      </b:Author>
    </b:Author>
    <b:Title>Pretest with caution: Event-study estimates after testing for parallel trends</b:Title>
    <b:JournalName>American Economic Review: Insights</b:JournalName>
    <b:Year>2022</b:Year>
    <b:Volume>4</b:Volume>
    <b:Issue>3</b:Issue>
    <b:Pages>305-322. DOI: 10.1257/aeri.20210236</b:Pages>
    <b:RefOrder>170</b:RefOrder>
  </b:Source>
  <b:Source>
    <b:Tag>Kes24</b:Tag>
    <b:SourceType>JournalArticle</b:SourceType>
    <b:Guid>{A89D1B3D-4A85-774B-9945-2CD99B0DF43F}</b:Guid>
    <b:Author>
      <b:Author>
        <b:NameList>
          <b:Person>
            <b:Last>Kessler</b:Last>
            <b:First>L.</b:First>
            <b:Middle>M.</b:Middle>
          </b:Person>
          <b:Person>
            <b:Last>Bruce</b:Last>
            <b:First>D.</b:First>
            <b:Middle>(</b:Middle>
          </b:Person>
        </b:NameList>
      </b:Author>
    </b:Author>
    <b:Title>A SALT on real estate? Housing market and migration responses to the limit on the state and local tax deduction</b:Title>
    <b:JournalName>Contemporary Economic Policy</b:JournalName>
    <b:Year>2024</b:Year>
    <b:Volume>42</b:Volume>
    <b:Issue>4</b:Issue>
    <b:Pages>683-704</b:Pages>
    <b:RefOrder>129</b:RefOrder>
  </b:Source>
  <b:Source>
    <b:Tag>Car181</b:Tag>
    <b:SourceType>Report</b:SourceType>
    <b:Guid>{6CA8F36A-0CCA-CA42-B22E-6669FFE1B830}</b:Guid>
    <b:Author>
      <b:Author>
        <b:NameList>
          <b:Person>
            <b:Last>Carnevale</b:Last>
            <b:First>A.</b:First>
            <b:Middle>P.</b:Middle>
          </b:Person>
          <b:Person>
            <b:Last>Van Der Werf</b:Last>
            <b:First>M.</b:First>
          </b:Person>
          <b:Person>
            <b:Last>Quinn</b:Last>
            <b:First>M.</b:First>
            <b:Middle>C.</b:Middle>
          </b:Person>
          <b:Person>
            <b:Last>Strohl</b:Last>
            <b:First>J.</b:First>
          </b:Person>
          <b:Person>
            <b:Last>Repnikov</b:Last>
            <b:First>D.</b:First>
          </b:Person>
        </b:NameList>
      </b:Author>
    </b:Author>
    <b:Title>Our Separate &amp; Unequal Public Colleges: How Public Colleges Reinforce White Racial Privilege and Marginalize Black and Latino Students</b:Title>
    <b:Publisher>Georgetown University Center on Education. </b:Publisher>
    <b:Year>2018</b:Year>
    <b:RefOrder>131</b:RefOrder>
  </b:Source>
  <b:Source>
    <b:Tag>Mar05</b:Tag>
    <b:SourceType>JournalArticle</b:SourceType>
    <b:Guid>{6BF174B4-856A-F14E-ABCC-060A75C86524}</b:Guid>
    <b:Title>The returns of a community college education: Evidence from the National Education Longitudinal Survey</b:Title>
    <b:Year>2005</b:Year>
    <b:Author>
      <b:Author>
        <b:NameList>
          <b:Person>
            <b:Last>Marcotte</b:Last>
            <b:First>D.</b:First>
            <b:Middle>E.</b:Middle>
          </b:Person>
          <b:Person>
            <b:Last>Bailey</b:Last>
            <b:First>T.</b:First>
          </b:Person>
          <b:Person>
            <b:Last>Borkoski</b:Last>
            <b:First>C.</b:First>
          </b:Person>
          <b:Person>
            <b:Last>Kienzl</b:Last>
            <b:First>G.</b:First>
            <b:Middle>S.</b:Middle>
          </b:Person>
        </b:NameList>
      </b:Author>
    </b:Author>
    <b:JournalName>Educational Evaluation and Policy Analysis</b:JournalName>
    <b:Volume> 27</b:Volume>
    <b:Issue>2</b:Issue>
    <b:Pages>157-175.</b:Pages>
    <b:RefOrder>132</b:RefOrder>
  </b:Source>
  <b:Source>
    <b:Tag>Han24</b:Tag>
    <b:SourceType>JournalArticle</b:SourceType>
    <b:Guid>{71A8FCD0-B595-DE41-B670-22BFA7709D0F}</b:Guid>
    <b:Author>
      <b:Author>
        <b:NameList>
          <b:Person>
            <b:Last>Handel</b:Last>
            <b:First>M.</b:First>
            <b:Middle>J.</b:Middle>
          </b:Person>
        </b:NameList>
      </b:Author>
    </b:Author>
    <b:Title>Labor Shortages: What Is the Problem?</b:Title>
    <b:JournalName>Intereconomics</b:JournalName>
    <b:Year>2024</b:Year>
    <b:Volume>59</b:Volume>
    <b:Issue>3</b:Issue>
    <b:Pages>136-142.</b:Pages>
    <b:RefOrder>133</b:RefOrder>
  </b:Source>
  <b:Source>
    <b:Tag>Str24</b:Tag>
    <b:SourceType>Report</b:SourceType>
    <b:Guid>{C25C7C4B-BBB6-9149-A47D-96CFF1311D83}</b:Guid>
    <b:Title>The great misalignment: Addressing the mismatch between the supply of certificates and associate's degrees</b:Title>
    <b:Year>2024</b:Year>
    <b:Author>
      <b:Author>
        <b:NameList>
          <b:Person>
            <b:Last>Strohl</b:Last>
            <b:First>J.</b:First>
          </b:Person>
          <b:Person>
            <b:Last>Mable</b:Last>
            <b:First>Z.</b:First>
          </b:Person>
          <b:Person>
            <b:Last>Campbell</b:Last>
            <b:First>K.</b:First>
            <b:Middle>P.</b:Middle>
          </b:Person>
        </b:NameList>
      </b:Author>
    </b:Author>
    <b:Publisher>Georgetown Universitty Center on Eduction and the Workforce. </b:Publisher>
    <b:RefOrder>134</b:RefOrder>
  </b:Source>
  <b:Source>
    <b:Tag>Ger191</b:Tag>
    <b:SourceType>JournalArticle</b:SourceType>
    <b:Guid>{DE2B9804-B25E-2247-B37F-C5E42185FA5A}</b:Guid>
    <b:Title>The impact of a promise: A loan replacement grant, low-income students, and college graduation</b:Title>
    <b:Year>2019</b:Year>
    <b:Author>
      <b:Author>
        <b:NameList>
          <b:Person>
            <b:Last>Gershenfeld</b:Last>
            <b:First>S.</b:First>
          </b:Person>
          <b:Person>
            <b:Last>Zhan</b:Last>
            <b:First>M.</b:First>
          </b:Person>
          <b:Person>
            <b:Last>Hood</b:Last>
            <b:First>D.</b:First>
            <b:Middle>W.</b:Middle>
          </b:Person>
        </b:NameList>
      </b:Author>
    </b:Author>
    <b:JournalName>The Review of Higher Education</b:JournalName>
    <b:Volume>42</b:Volume>
    <b:Issue>3</b:Issue>
    <b:Pages>1073-1100</b:Pages>
    <b:RefOrder>171</b:RefOrder>
  </b:Source>
  <b:Source>
    <b:Tag>Car231</b:Tag>
    <b:SourceType>Report</b:SourceType>
    <b:Guid>{11193C59-0650-EB46-B518-6B90A17E58C4}</b:Guid>
    <b:Author>
      <b:Author>
        <b:NameList>
          <b:Person>
            <b:Last>Carnevale</b:Last>
            <b:First>A.</b:First>
            <b:Middle>P.</b:Middle>
          </b:Person>
          <b:Person>
            <b:Last>Smith</b:Last>
            <b:First>N.</b:First>
          </b:Person>
          <b:Person>
            <b:Last>Van Der Werf</b:Last>
            <b:First>M.</b:First>
          </b:Person>
          <b:Person>
            <b:Last>Quinn</b:Last>
            <b:First>M.</b:First>
            <b:Middle>C.</b:Middle>
          </b:Person>
        </b:NameList>
      </b:Author>
    </b:Author>
    <b:Title>After Everything: Projections of Jobs, Education, and Training Requirements through 2031</b:Title>
    <b:Publisher>National Report. Georgetown University Center on Education and the Workforce.</b:Publisher>
    <b:Year>2023</b:Year>
    <b:RefOrder>3</b:RefOrder>
  </b:Source>
  <b:Source>
    <b:Tag>Lyn18</b:Tag>
    <b:SourceType>JournalArticle</b:SourceType>
    <b:Guid>{EE036A57-CEBD-AC4D-BD5C-AF039BA643DE}</b:Guid>
    <b:Author>
      <b:Author>
        <b:NameList>
          <b:Person>
            <b:Last>Lynch</b:Last>
            <b:First>J.</b:First>
          </b:Person>
          <b:Person>
            <b:Last>Lungrin</b:Last>
            <b:First>T.</b:First>
          </b:Person>
        </b:NameList>
      </b:Author>
    </b:Author>
    <b:Title>Integrating academic and career advising toward student success.  </b:Title>
    <b:JournalName>New Directions for Higher Education,</b:JournalName>
    <b:Year>2018</b:Year>
    <b:Volume>184</b:Volume>
    <b:Pages>69-79. https://doi.org/10.1002/he.20304</b:Pages>
    <b:RefOrder>135</b:RefOrder>
  </b:Source>
  <b:Source>
    <b:Tag>Rei211</b:Tag>
    <b:SourceType>Report</b:SourceType>
    <b:Guid>{FFBBA65E-FA46-7844-B470-E5277FB5C072}</b:Guid>
    <b:Title>Reimgaining Education and Career Help Act of 2021</b:Title>
    <b:Publisher>31 Florida State Statutes § 445 et seq. </b:Publisher>
    <b:Year>2021</b:Year>
    <b:RefOrder>172</b:RefOrder>
  </b:Source>
  <b:Source>
    <b:Tag>Nat237</b:Tag>
    <b:SourceType>DocumentFromInternetSite</b:SourceType>
    <b:Guid>{EBD7B331-0724-6840-B9D9-2102EC265B8C}</b:Guid>
    <b:Title>Brief: Credentials of Value</b:Title>
    <b:Year>2023</b:Year>
    <b:Author>
      <b:Author>
        <b:Corporate>National Conference on State Legislatures</b:Corporate>
      </b:Author>
    </b:Author>
    <b:URL>https://www.ncsl.org/education/credentials-of-value</b:URL>
    <b:Month>Feb</b:Month>
    <b:Day>23</b:Day>
    <b:RefOrder>136</b:RefOrder>
  </b:Source>
  <b:Source>
    <b:Tag>Mab20</b:Tag>
    <b:SourceType>JournalArticle</b:SourceType>
    <b:Guid>{89882C6E-35B4-D14F-B30C-BA5DB5253EDB}</b:Guid>
    <b:Title>The value of using early-career earnings data in the College Scorecard to guide college choices. </b:Title>
    <b:Year>2020</b:Year>
    <b:Author>
      <b:Author>
        <b:NameList>
          <b:Person>
            <b:Last>Mabel</b:Last>
            <b:First>Z.</b:First>
          </b:Person>
          <b:Person>
            <b:Last>Libassi</b:Last>
            <b:First>C.</b:First>
            <b:Middle>J.</b:Middle>
          </b:Person>
          <b:Person>
            <b:Last>Hurwitz</b:Last>
            <b:First>M.</b:First>
          </b:Person>
        </b:NameList>
      </b:Author>
    </b:Author>
    <b:JournalName>Economics of Education Review, </b:JournalName>
    <b:Volume>75</b:Volume>
    <b:Pages>101958.</b:Pages>
    <b:RefOrder>137</b:RefOrder>
  </b:Source>
  <b:Source>
    <b:Tag>Bro18</b:Tag>
    <b:SourceType>JournalArticle</b:SourceType>
    <b:Guid>{307179D1-2A2B-B34A-B1FD-45729C950B55}</b:Guid>
    <b:Author>
      <b:Author>
        <b:NameList>
          <b:Person>
            <b:Last>Broton</b:Last>
            <b:First>K.</b:First>
            <b:Middle>M.</b:Middle>
          </b:Person>
          <b:Person>
            <b:Last>Goldrick-Rab</b:Last>
            <b:First>S.</b:First>
          </b:Person>
        </b:NameList>
      </b:Author>
    </b:Author>
    <b:Title>Going without: An exploration of food and housing insecurity among undergraduates</b:Title>
    <b:JournalName>Educational Researcher</b:JournalName>
    <b:Year>2018</b:Year>
    <b:Volume>47</b:Volume>
    <b:Issue>2</b:Issue>
    <b:Pages>121-133.</b:Pages>
    <b:RefOrder>138</b:RefOrder>
  </b:Source>
  <b:Source>
    <b:Tag>Cen20</b:Tag>
    <b:SourceType>Report</b:SourceType>
    <b:Guid>{8D715C04-101A-6743-82F9-6D0F423B7593}</b:Guid>
    <b:Author>
      <b:Author>
        <b:Corporate>Center for Community College Student Engagement</b:Corporate>
      </b:Author>
    </b:Author>
    <b:Title>Community college survey of student engagement - 2020 cohort</b:Title>
    <b:JournalName>The University of Texas at Austin.</b:JournalName>
    <b:Year>2020</b:Year>
    <b:Publisher>The University of Texas at Austin</b:Publisher>
    <b:RefOrder>139</b:RefOrder>
  </b:Source>
  <b:Source>
    <b:Tag>Eva20</b:Tag>
    <b:SourceType>JournalArticle</b:SourceType>
    <b:Guid>{E8BC9759-47F5-4E4F-AB3B-C3BED5BC511E}</b:Guid>
    <b:Title>Increasing community college completion rates among low‐income students: Evidence from a randomized controlled trial evaluation of a case‐management intervention</b:Title>
    <b:Year>2020</b:Year>
    <b:Author>
      <b:Author>
        <b:NameList>
          <b:Person>
            <b:Last>Evans</b:Last>
            <b:First>W.</b:First>
            <b:Middle>N.</b:Middle>
          </b:Person>
          <b:Person>
            <b:Last>Kearney</b:Last>
            <b:First>M.</b:First>
            <b:Middle>S.</b:Middle>
          </b:Person>
          <b:Person>
            <b:Last>Perry</b:Last>
            <b:First>B.</b:First>
          </b:Person>
          <b:Person>
            <b:Last>Sullivan</b:Last>
            <b:First>J.</b:First>
            <b:Middle>X.</b:Middle>
          </b:Person>
        </b:NameList>
      </b:Author>
    </b:Author>
    <b:JournalName>Journal of Policy Analysis and Management</b:JournalName>
    <b:Volume>39</b:Volume>
    <b:Issue>4</b:Issue>
    <b:Pages>930-965</b:Pages>
    <b:RefOrder>140</b:RefOrder>
  </b:Source>
  <b:Source>
    <b:Tag>May19</b:Tag>
    <b:SourceType>Report</b:SourceType>
    <b:Guid>{21980C9C-737B-3A47-AC38-014266A68A56}</b:Guid>
    <b:Title>Integrating technology and advising: Studying enhancements to colleges’ iPASS practices. MDRC and CCRC</b:Title>
    <b:Year>2019</b:Year>
    <b:Author>
      <b:Author>
        <b:NameList>
          <b:Person>
            <b:Last>Mayer</b:Last>
            <b:First>A.</b:First>
            <b:Middle>K.</b:Middle>
          </b:Person>
          <b:Person>
            <b:Last>Kalamkarian</b:Last>
            <b:First>H.</b:First>
            <b:Middle>S.</b:Middle>
          </b:Person>
          <b:Person>
            <b:Last>Cohen</b:Last>
            <b:First>B.</b:First>
          </b:Person>
          <b:Person>
            <b:Last>Pellegrino</b:Last>
            <b:First>L.</b:First>
          </b:Person>
          <b:Person>
            <b:Last>Boynton</b:Last>
            <b:First>M.</b:First>
          </b:Person>
          <b:Person>
            <b:Last>Yang</b:Last>
            <b:First>E.</b:First>
          </b:Person>
        </b:NameList>
      </b:Author>
    </b:Author>
    <b:Publisher> Community College Research Center, Teachers College, Columbia University. https://doi.org/10.7916/d8-z4f0-wf35</b:Publisher>
    <b:RefOrder>141</b:RefOrder>
  </b:Source>
  <b:Source>
    <b:Tag>Bai18</b:Tag>
    <b:SourceType>BookSection</b:SourceType>
    <b:Guid>{D40CA418-58E0-8046-8FCF-FDDBC99D9293}</b:Guid>
    <b:Title>Access and use of contraception and its effects on women’s outcomes in the United States</b:Title>
    <b:Year>2018</b:Year>
    <b:Pages>219-257.</b:Pages>
    <b:Publisher>Oxford University Press</b:Publisher>
    <b:Author>
      <b:Author>
        <b:NameList>
          <b:Person>
            <b:Last>Bailey</b:Last>
            <b:First>M.</b:First>
            <b:Middle>J.</b:Middle>
          </b:Person>
          <b:Person>
            <b:Last>Lindo</b:Last>
            <b:First>J.</b:First>
            <b:Middle>M.</b:Middle>
          </b:Person>
        </b:NameList>
      </b:Author>
      <b:BookAuthor>
        <b:NameList>
          <b:Person>
            <b:Last>Averett</b:Last>
            <b:First>Susan</b:First>
            <b:Middle>L.</b:Middle>
          </b:Person>
          <b:Person>
            <b:Last>Argys</b:Last>
            <b:First>Laura</b:First>
            <b:Middle>M.</b:Middle>
          </b:Person>
          <b:Person>
            <b:Last>Hoffman</b:Last>
            <b:First>Sual</b:First>
            <b:Middle>D.</b:Middle>
          </b:Person>
        </b:NameList>
      </b:BookAuthor>
    </b:Author>
    <b:BookTitle>The Oxford handbook of women and the economy</b:BookTitle>
    <b:RefOrder>120</b:RefOrder>
  </b:Source>
  <b:Source>
    <b:Tag>Nat234</b:Tag>
    <b:SourceType>Report</b:SourceType>
    <b:Guid>{D1F17727-CAD1-CE46-BB5E-AFAEB6DC6F3E}</b:Guid>
    <b:Author>
      <b:Author>
        <b:Corporate>National Center for Education Statistics</b:Corporate>
      </b:Author>
    </b:Author>
    <b:Title>Trend generator: Graduation and Retention Rates: What is the graduation rate within 150% of normal time at 2-year postsecondary institutions?</b:Title>
    <b:Publisher>Graduation Rates component final data (2002 - 2021) and provisional data (2022).</b:Publisher>
    <b:Year>2024d</b:Year>
    <b:RefOrder>4</b:RefOrder>
  </b:Source>
  <b:Source>
    <b:Tag>Nat24</b:Tag>
    <b:SourceType>Report</b:SourceType>
    <b:Guid>{C0D6331A-DD13-A14C-A66D-88DEA43AD527}</b:Guid>
    <b:Author>
      <b:Author>
        <b:Corporate>National Center for Education Statisitics</b:Corporate>
      </b:Author>
    </b:Author>
    <b:Title>Trend generator: Degrees and Certificates Awarded: How many degrees/certificates are awarded at postsecondary institutions?</b:Title>
    <b:Publisher>Completions component 2022-23 provisional data.</b:Publisher>
    <b:Year>2024b</b:Year>
    <b:RefOrder>173</b:RefOrder>
  </b:Source>
  <b:Source>
    <b:Tag>Nat1</b:Tag>
    <b:SourceType>DocumentFromInternetSite</b:SourceType>
    <b:Guid>{80FD85CE-84C0-C24E-92AC-C661B11909A1}</b:Guid>
    <b:Author>
      <b:Author>
        <b:Corporate>National Center for Education Statistics</b:Corporate>
      </b:Author>
    </b:Author>
    <b:InternetSiteTitle>IPEDS: Integrated Postsecondary Education Data System</b:InternetSiteTitle>
    <b:Title>Trend generator: Institutional Expenses: What are the expenses (in thousands) of public postsecondary institutions using GASB standards?</b:Title>
    <b:URL>https://nces.ed.gov/ipeds/TrendGenerator/app/trend-table/9/39?trending=column&amp;rid=43</b:URL>
    <b:Year>2024c</b:Year>
    <b:RefOrder>32</b:RefOrder>
  </b:Source>
  <b:Source>
    <b:Tag>Nat236</b:Tag>
    <b:SourceType>Report</b:SourceType>
    <b:Guid>{92D0ECD8-2FD5-4B45-87D7-3AEEF67F6CF0}</b:Guid>
    <b:Author>
      <b:Author>
        <b:Corporate>National Center for Education Statistics</b:Corporate>
      </b:Author>
    </b:Author>
    <b:Title>Trend generator: Graduation and Retention Rates: What is the graduation rate within 150% of normal time at 2-year postsecondary institutions?</b:Title>
    <b:Year>2024d</b:Year>
    <b:Publisher>U.S. Department of Education, National Center for Education Statistics, Integrated Postsecondary Education Data System (IPEDS), Graduation Rates component final data (2002 - 2021) and provisional data (2022).</b:Publisher>
    <b:RefOrder>130</b:RefOrder>
  </b:Source>
  <b:Source>
    <b:Tag>Nat235</b:Tag>
    <b:SourceType>Report</b:SourceType>
    <b:Guid>{399B4FC4-CC08-844B-9468-32C2896E543D}</b:Guid>
    <b:Author>
      <b:Author>
        <b:Corporate>National Center for Education Statistics</b:Corporate>
      </b:Author>
    </b:Author>
    <b:Title>Trend generator: Graduation and Retention Rates: What is the graduation rate within 150% of normal time at less-than 2-year postsecondary institutions?</b:Title>
    <b:Publisher>Graduation Rates component final data (2002 - 2021) and provisional data (2022).</b:Publisher>
    <b:Year>2024e</b:Year>
    <b:RefOrder>5</b:RefOrder>
  </b:Source>
</b:Sources>
</file>

<file path=customXml/itemProps1.xml><?xml version="1.0" encoding="utf-8"?>
<ds:datastoreItem xmlns:ds="http://schemas.openxmlformats.org/officeDocument/2006/customXml" ds:itemID="{FCE46BC4-0D09-43AE-96EB-82F8B50C1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14387</TotalTime>
  <Pages>251</Pages>
  <Words>48806</Words>
  <Characters>309432</Characters>
  <Application>Microsoft Office Word</Application>
  <DocSecurity>0</DocSecurity>
  <Lines>4181</Lines>
  <Paragraphs>179</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358059</CharactersWithSpaces>
  <SharedDoc>false</SharedDoc>
  <HLinks>
    <vt:vector size="678" baseType="variant">
      <vt:variant>
        <vt:i4>7733307</vt:i4>
      </vt:variant>
      <vt:variant>
        <vt:i4>1065</vt:i4>
      </vt:variant>
      <vt:variant>
        <vt:i4>0</vt:i4>
      </vt:variant>
      <vt:variant>
        <vt:i4>5</vt:i4>
      </vt:variant>
      <vt:variant>
        <vt:lpwstr>https://drive.google.com/file/d/18djgZxwWpx-zc0M5ToEKu7gYHo2DTo-S/view?usp=sharing</vt:lpwstr>
      </vt:variant>
      <vt:variant>
        <vt:lpwstr/>
      </vt:variant>
      <vt:variant>
        <vt:i4>5046370</vt:i4>
      </vt:variant>
      <vt:variant>
        <vt:i4>1062</vt:i4>
      </vt:variant>
      <vt:variant>
        <vt:i4>0</vt:i4>
      </vt:variant>
      <vt:variant>
        <vt:i4>5</vt:i4>
      </vt:variant>
      <vt:variant>
        <vt:lpwstr>https://drive.google.com/file/d/1qmVZv-qmDVyu5GmmUaA4_o1ZVrUBd6O7/view?usp=sharing</vt:lpwstr>
      </vt:variant>
      <vt:variant>
        <vt:lpwstr/>
      </vt:variant>
      <vt:variant>
        <vt:i4>1638495</vt:i4>
      </vt:variant>
      <vt:variant>
        <vt:i4>1059</vt:i4>
      </vt:variant>
      <vt:variant>
        <vt:i4>0</vt:i4>
      </vt:variant>
      <vt:variant>
        <vt:i4>5</vt:i4>
      </vt:variant>
      <vt:variant>
        <vt:lpwstr>https://drive.google.com/file/d/1q7TKV1mJOlbwj37zHggo2_8t_xydCuM-/view?usp=sharing</vt:lpwstr>
      </vt:variant>
      <vt:variant>
        <vt:lpwstr/>
      </vt:variant>
      <vt:variant>
        <vt:i4>8126587</vt:i4>
      </vt:variant>
      <vt:variant>
        <vt:i4>1056</vt:i4>
      </vt:variant>
      <vt:variant>
        <vt:i4>0</vt:i4>
      </vt:variant>
      <vt:variant>
        <vt:i4>5</vt:i4>
      </vt:variant>
      <vt:variant>
        <vt:lpwstr>https://drive.google.com/file/d/1JkPRNYULpNSEoO4Bm-Lrq8QIYX4KzYIx/view?usp=sharing</vt:lpwstr>
      </vt:variant>
      <vt:variant>
        <vt:lpwstr/>
      </vt:variant>
      <vt:variant>
        <vt:i4>4849734</vt:i4>
      </vt:variant>
      <vt:variant>
        <vt:i4>1053</vt:i4>
      </vt:variant>
      <vt:variant>
        <vt:i4>0</vt:i4>
      </vt:variant>
      <vt:variant>
        <vt:i4>5</vt:i4>
      </vt:variant>
      <vt:variant>
        <vt:lpwstr>https://www.dol.gov/agencies/whd/minimum-</vt:lpwstr>
      </vt:variant>
      <vt:variant>
        <vt:lpwstr/>
      </vt:variant>
      <vt:variant>
        <vt:i4>2097206</vt:i4>
      </vt:variant>
      <vt:variant>
        <vt:i4>1050</vt:i4>
      </vt:variant>
      <vt:variant>
        <vt:i4>0</vt:i4>
      </vt:variant>
      <vt:variant>
        <vt:i4>5</vt:i4>
      </vt:variant>
      <vt:variant>
        <vt:lpwstr>https://onestop.utk.edu/scholarships/tri-star-scholarship-</vt:lpwstr>
      </vt:variant>
      <vt:variant>
        <vt:lpwstr/>
      </vt:variant>
      <vt:variant>
        <vt:i4>1507410</vt:i4>
      </vt:variant>
      <vt:variant>
        <vt:i4>1047</vt:i4>
      </vt:variant>
      <vt:variant>
        <vt:i4>0</vt:i4>
      </vt:variant>
      <vt:variant>
        <vt:i4>5</vt:i4>
      </vt:variant>
      <vt:variant>
        <vt:lpwstr>https://hope.temple.edu/sites/hope/files/media/document/HopeSurveyReport2021</vt:lpwstr>
      </vt:variant>
      <vt:variant>
        <vt:lpwstr/>
      </vt:variant>
      <vt:variant>
        <vt:i4>2162729</vt:i4>
      </vt:variant>
      <vt:variant>
        <vt:i4>1044</vt:i4>
      </vt:variant>
      <vt:variant>
        <vt:i4>0</vt:i4>
      </vt:variant>
      <vt:variant>
        <vt:i4>5</vt:i4>
      </vt:variant>
      <vt:variant>
        <vt:lpwstr>https://doi.org/10.1007/s11162-</vt:lpwstr>
      </vt:variant>
      <vt:variant>
        <vt:lpwstr/>
      </vt:variant>
      <vt:variant>
        <vt:i4>3539067</vt:i4>
      </vt:variant>
      <vt:variant>
        <vt:i4>1041</vt:i4>
      </vt:variant>
      <vt:variant>
        <vt:i4>0</vt:i4>
      </vt:variant>
      <vt:variant>
        <vt:i4>5</vt:i4>
      </vt:variant>
      <vt:variant>
        <vt:lpwstr>https://www.govinfo.gov/content/pkg/STATUTE-86/pdf/STATUTE-86-</vt:lpwstr>
      </vt:variant>
      <vt:variant>
        <vt:lpwstr/>
      </vt:variant>
      <vt:variant>
        <vt:i4>6291498</vt:i4>
      </vt:variant>
      <vt:variant>
        <vt:i4>1038</vt:i4>
      </vt:variant>
      <vt:variant>
        <vt:i4>0</vt:i4>
      </vt:variant>
      <vt:variant>
        <vt:i4>5</vt:i4>
      </vt:variant>
      <vt:variant>
        <vt:lpwstr>https://dx.doi.org/10.2139/ssrn.3357905</vt:lpwstr>
      </vt:variant>
      <vt:variant>
        <vt:lpwstr/>
      </vt:variant>
      <vt:variant>
        <vt:i4>524307</vt:i4>
      </vt:variant>
      <vt:variant>
        <vt:i4>1035</vt:i4>
      </vt:variant>
      <vt:variant>
        <vt:i4>0</vt:i4>
      </vt:variant>
      <vt:variant>
        <vt:i4>5</vt:i4>
      </vt:variant>
      <vt:variant>
        <vt:lpwstr>https://ssrn.com/abstract=3357905</vt:lpwstr>
      </vt:variant>
      <vt:variant>
        <vt:lpwstr/>
      </vt:variant>
      <vt:variant>
        <vt:i4>3604602</vt:i4>
      </vt:variant>
      <vt:variant>
        <vt:i4>1032</vt:i4>
      </vt:variant>
      <vt:variant>
        <vt:i4>0</vt:i4>
      </vt:variant>
      <vt:variant>
        <vt:i4>5</vt:i4>
      </vt:variant>
      <vt:variant>
        <vt:lpwstr>https://www.govinfo.gov/content/pkg/STATUTE-78/pdf/STATUTE-78-</vt:lpwstr>
      </vt:variant>
      <vt:variant>
        <vt:lpwstr/>
      </vt:variant>
      <vt:variant>
        <vt:i4>3014777</vt:i4>
      </vt:variant>
      <vt:variant>
        <vt:i4>1029</vt:i4>
      </vt:variant>
      <vt:variant>
        <vt:i4>0</vt:i4>
      </vt:variant>
      <vt:variant>
        <vt:i4>5</vt:i4>
      </vt:variant>
      <vt:variant>
        <vt:lpwstr>https://www.brookings.edu/articles/the-closing-of-the-</vt:lpwstr>
      </vt:variant>
      <vt:variant>
        <vt:lpwstr/>
      </vt:variant>
      <vt:variant>
        <vt:i4>3276862</vt:i4>
      </vt:variant>
      <vt:variant>
        <vt:i4>588</vt:i4>
      </vt:variant>
      <vt:variant>
        <vt:i4>0</vt:i4>
      </vt:variant>
      <vt:variant>
        <vt:i4>5</vt:i4>
      </vt:variant>
      <vt:variant>
        <vt:lpwstr>https://nces.ed.gov/ipeds/TrendGenerator/app/build-table/4/24?rid=36&amp;cid=33</vt:lpwstr>
      </vt:variant>
      <vt:variant>
        <vt:lpwstr/>
      </vt:variant>
      <vt:variant>
        <vt:i4>1376306</vt:i4>
      </vt:variant>
      <vt:variant>
        <vt:i4>578</vt:i4>
      </vt:variant>
      <vt:variant>
        <vt:i4>0</vt:i4>
      </vt:variant>
      <vt:variant>
        <vt:i4>5</vt:i4>
      </vt:variant>
      <vt:variant>
        <vt:lpwstr/>
      </vt:variant>
      <vt:variant>
        <vt:lpwstr>_Toc179136928</vt:lpwstr>
      </vt:variant>
      <vt:variant>
        <vt:i4>1376306</vt:i4>
      </vt:variant>
      <vt:variant>
        <vt:i4>572</vt:i4>
      </vt:variant>
      <vt:variant>
        <vt:i4>0</vt:i4>
      </vt:variant>
      <vt:variant>
        <vt:i4>5</vt:i4>
      </vt:variant>
      <vt:variant>
        <vt:lpwstr/>
      </vt:variant>
      <vt:variant>
        <vt:lpwstr>_Toc179136927</vt:lpwstr>
      </vt:variant>
      <vt:variant>
        <vt:i4>1376306</vt:i4>
      </vt:variant>
      <vt:variant>
        <vt:i4>566</vt:i4>
      </vt:variant>
      <vt:variant>
        <vt:i4>0</vt:i4>
      </vt:variant>
      <vt:variant>
        <vt:i4>5</vt:i4>
      </vt:variant>
      <vt:variant>
        <vt:lpwstr/>
      </vt:variant>
      <vt:variant>
        <vt:lpwstr>_Toc179136926</vt:lpwstr>
      </vt:variant>
      <vt:variant>
        <vt:i4>1376306</vt:i4>
      </vt:variant>
      <vt:variant>
        <vt:i4>560</vt:i4>
      </vt:variant>
      <vt:variant>
        <vt:i4>0</vt:i4>
      </vt:variant>
      <vt:variant>
        <vt:i4>5</vt:i4>
      </vt:variant>
      <vt:variant>
        <vt:lpwstr/>
      </vt:variant>
      <vt:variant>
        <vt:lpwstr>_Toc179136925</vt:lpwstr>
      </vt:variant>
      <vt:variant>
        <vt:i4>1376306</vt:i4>
      </vt:variant>
      <vt:variant>
        <vt:i4>554</vt:i4>
      </vt:variant>
      <vt:variant>
        <vt:i4>0</vt:i4>
      </vt:variant>
      <vt:variant>
        <vt:i4>5</vt:i4>
      </vt:variant>
      <vt:variant>
        <vt:lpwstr/>
      </vt:variant>
      <vt:variant>
        <vt:lpwstr>_Toc179136924</vt:lpwstr>
      </vt:variant>
      <vt:variant>
        <vt:i4>1376306</vt:i4>
      </vt:variant>
      <vt:variant>
        <vt:i4>548</vt:i4>
      </vt:variant>
      <vt:variant>
        <vt:i4>0</vt:i4>
      </vt:variant>
      <vt:variant>
        <vt:i4>5</vt:i4>
      </vt:variant>
      <vt:variant>
        <vt:lpwstr/>
      </vt:variant>
      <vt:variant>
        <vt:lpwstr>_Toc179136923</vt:lpwstr>
      </vt:variant>
      <vt:variant>
        <vt:i4>1376306</vt:i4>
      </vt:variant>
      <vt:variant>
        <vt:i4>542</vt:i4>
      </vt:variant>
      <vt:variant>
        <vt:i4>0</vt:i4>
      </vt:variant>
      <vt:variant>
        <vt:i4>5</vt:i4>
      </vt:variant>
      <vt:variant>
        <vt:lpwstr/>
      </vt:variant>
      <vt:variant>
        <vt:lpwstr>_Toc179136922</vt:lpwstr>
      </vt:variant>
      <vt:variant>
        <vt:i4>1376306</vt:i4>
      </vt:variant>
      <vt:variant>
        <vt:i4>536</vt:i4>
      </vt:variant>
      <vt:variant>
        <vt:i4>0</vt:i4>
      </vt:variant>
      <vt:variant>
        <vt:i4>5</vt:i4>
      </vt:variant>
      <vt:variant>
        <vt:lpwstr/>
      </vt:variant>
      <vt:variant>
        <vt:lpwstr>_Toc179136921</vt:lpwstr>
      </vt:variant>
      <vt:variant>
        <vt:i4>1376306</vt:i4>
      </vt:variant>
      <vt:variant>
        <vt:i4>530</vt:i4>
      </vt:variant>
      <vt:variant>
        <vt:i4>0</vt:i4>
      </vt:variant>
      <vt:variant>
        <vt:i4>5</vt:i4>
      </vt:variant>
      <vt:variant>
        <vt:lpwstr/>
      </vt:variant>
      <vt:variant>
        <vt:lpwstr>_Toc179136920</vt:lpwstr>
      </vt:variant>
      <vt:variant>
        <vt:i4>1441842</vt:i4>
      </vt:variant>
      <vt:variant>
        <vt:i4>524</vt:i4>
      </vt:variant>
      <vt:variant>
        <vt:i4>0</vt:i4>
      </vt:variant>
      <vt:variant>
        <vt:i4>5</vt:i4>
      </vt:variant>
      <vt:variant>
        <vt:lpwstr/>
      </vt:variant>
      <vt:variant>
        <vt:lpwstr>_Toc179136919</vt:lpwstr>
      </vt:variant>
      <vt:variant>
        <vt:i4>1441842</vt:i4>
      </vt:variant>
      <vt:variant>
        <vt:i4>518</vt:i4>
      </vt:variant>
      <vt:variant>
        <vt:i4>0</vt:i4>
      </vt:variant>
      <vt:variant>
        <vt:i4>5</vt:i4>
      </vt:variant>
      <vt:variant>
        <vt:lpwstr/>
      </vt:variant>
      <vt:variant>
        <vt:lpwstr>_Toc179136918</vt:lpwstr>
      </vt:variant>
      <vt:variant>
        <vt:i4>1441842</vt:i4>
      </vt:variant>
      <vt:variant>
        <vt:i4>512</vt:i4>
      </vt:variant>
      <vt:variant>
        <vt:i4>0</vt:i4>
      </vt:variant>
      <vt:variant>
        <vt:i4>5</vt:i4>
      </vt:variant>
      <vt:variant>
        <vt:lpwstr/>
      </vt:variant>
      <vt:variant>
        <vt:lpwstr>_Toc179136917</vt:lpwstr>
      </vt:variant>
      <vt:variant>
        <vt:i4>1441842</vt:i4>
      </vt:variant>
      <vt:variant>
        <vt:i4>506</vt:i4>
      </vt:variant>
      <vt:variant>
        <vt:i4>0</vt:i4>
      </vt:variant>
      <vt:variant>
        <vt:i4>5</vt:i4>
      </vt:variant>
      <vt:variant>
        <vt:lpwstr/>
      </vt:variant>
      <vt:variant>
        <vt:lpwstr>_Toc179136916</vt:lpwstr>
      </vt:variant>
      <vt:variant>
        <vt:i4>1441842</vt:i4>
      </vt:variant>
      <vt:variant>
        <vt:i4>500</vt:i4>
      </vt:variant>
      <vt:variant>
        <vt:i4>0</vt:i4>
      </vt:variant>
      <vt:variant>
        <vt:i4>5</vt:i4>
      </vt:variant>
      <vt:variant>
        <vt:lpwstr/>
      </vt:variant>
      <vt:variant>
        <vt:lpwstr>_Toc179136915</vt:lpwstr>
      </vt:variant>
      <vt:variant>
        <vt:i4>1441842</vt:i4>
      </vt:variant>
      <vt:variant>
        <vt:i4>494</vt:i4>
      </vt:variant>
      <vt:variant>
        <vt:i4>0</vt:i4>
      </vt:variant>
      <vt:variant>
        <vt:i4>5</vt:i4>
      </vt:variant>
      <vt:variant>
        <vt:lpwstr/>
      </vt:variant>
      <vt:variant>
        <vt:lpwstr>_Toc179136914</vt:lpwstr>
      </vt:variant>
      <vt:variant>
        <vt:i4>1441842</vt:i4>
      </vt:variant>
      <vt:variant>
        <vt:i4>488</vt:i4>
      </vt:variant>
      <vt:variant>
        <vt:i4>0</vt:i4>
      </vt:variant>
      <vt:variant>
        <vt:i4>5</vt:i4>
      </vt:variant>
      <vt:variant>
        <vt:lpwstr/>
      </vt:variant>
      <vt:variant>
        <vt:lpwstr>_Toc179136913</vt:lpwstr>
      </vt:variant>
      <vt:variant>
        <vt:i4>1441842</vt:i4>
      </vt:variant>
      <vt:variant>
        <vt:i4>482</vt:i4>
      </vt:variant>
      <vt:variant>
        <vt:i4>0</vt:i4>
      </vt:variant>
      <vt:variant>
        <vt:i4>5</vt:i4>
      </vt:variant>
      <vt:variant>
        <vt:lpwstr/>
      </vt:variant>
      <vt:variant>
        <vt:lpwstr>_Toc179136912</vt:lpwstr>
      </vt:variant>
      <vt:variant>
        <vt:i4>1441842</vt:i4>
      </vt:variant>
      <vt:variant>
        <vt:i4>476</vt:i4>
      </vt:variant>
      <vt:variant>
        <vt:i4>0</vt:i4>
      </vt:variant>
      <vt:variant>
        <vt:i4>5</vt:i4>
      </vt:variant>
      <vt:variant>
        <vt:lpwstr/>
      </vt:variant>
      <vt:variant>
        <vt:lpwstr>_Toc179136911</vt:lpwstr>
      </vt:variant>
      <vt:variant>
        <vt:i4>1441842</vt:i4>
      </vt:variant>
      <vt:variant>
        <vt:i4>470</vt:i4>
      </vt:variant>
      <vt:variant>
        <vt:i4>0</vt:i4>
      </vt:variant>
      <vt:variant>
        <vt:i4>5</vt:i4>
      </vt:variant>
      <vt:variant>
        <vt:lpwstr/>
      </vt:variant>
      <vt:variant>
        <vt:lpwstr>_Toc179136910</vt:lpwstr>
      </vt:variant>
      <vt:variant>
        <vt:i4>1507378</vt:i4>
      </vt:variant>
      <vt:variant>
        <vt:i4>464</vt:i4>
      </vt:variant>
      <vt:variant>
        <vt:i4>0</vt:i4>
      </vt:variant>
      <vt:variant>
        <vt:i4>5</vt:i4>
      </vt:variant>
      <vt:variant>
        <vt:lpwstr/>
      </vt:variant>
      <vt:variant>
        <vt:lpwstr>_Toc179136909</vt:lpwstr>
      </vt:variant>
      <vt:variant>
        <vt:i4>1507378</vt:i4>
      </vt:variant>
      <vt:variant>
        <vt:i4>458</vt:i4>
      </vt:variant>
      <vt:variant>
        <vt:i4>0</vt:i4>
      </vt:variant>
      <vt:variant>
        <vt:i4>5</vt:i4>
      </vt:variant>
      <vt:variant>
        <vt:lpwstr/>
      </vt:variant>
      <vt:variant>
        <vt:lpwstr>_Toc179136908</vt:lpwstr>
      </vt:variant>
      <vt:variant>
        <vt:i4>1507378</vt:i4>
      </vt:variant>
      <vt:variant>
        <vt:i4>452</vt:i4>
      </vt:variant>
      <vt:variant>
        <vt:i4>0</vt:i4>
      </vt:variant>
      <vt:variant>
        <vt:i4>5</vt:i4>
      </vt:variant>
      <vt:variant>
        <vt:lpwstr/>
      </vt:variant>
      <vt:variant>
        <vt:lpwstr>_Toc179136907</vt:lpwstr>
      </vt:variant>
      <vt:variant>
        <vt:i4>1507378</vt:i4>
      </vt:variant>
      <vt:variant>
        <vt:i4>446</vt:i4>
      </vt:variant>
      <vt:variant>
        <vt:i4>0</vt:i4>
      </vt:variant>
      <vt:variant>
        <vt:i4>5</vt:i4>
      </vt:variant>
      <vt:variant>
        <vt:lpwstr/>
      </vt:variant>
      <vt:variant>
        <vt:lpwstr>_Toc179136906</vt:lpwstr>
      </vt:variant>
      <vt:variant>
        <vt:i4>1507378</vt:i4>
      </vt:variant>
      <vt:variant>
        <vt:i4>440</vt:i4>
      </vt:variant>
      <vt:variant>
        <vt:i4>0</vt:i4>
      </vt:variant>
      <vt:variant>
        <vt:i4>5</vt:i4>
      </vt:variant>
      <vt:variant>
        <vt:lpwstr/>
      </vt:variant>
      <vt:variant>
        <vt:lpwstr>_Toc179136905</vt:lpwstr>
      </vt:variant>
      <vt:variant>
        <vt:i4>1507378</vt:i4>
      </vt:variant>
      <vt:variant>
        <vt:i4>434</vt:i4>
      </vt:variant>
      <vt:variant>
        <vt:i4>0</vt:i4>
      </vt:variant>
      <vt:variant>
        <vt:i4>5</vt:i4>
      </vt:variant>
      <vt:variant>
        <vt:lpwstr/>
      </vt:variant>
      <vt:variant>
        <vt:lpwstr>_Toc179136904</vt:lpwstr>
      </vt:variant>
      <vt:variant>
        <vt:i4>2031672</vt:i4>
      </vt:variant>
      <vt:variant>
        <vt:i4>425</vt:i4>
      </vt:variant>
      <vt:variant>
        <vt:i4>0</vt:i4>
      </vt:variant>
      <vt:variant>
        <vt:i4>5</vt:i4>
      </vt:variant>
      <vt:variant>
        <vt:lpwstr/>
      </vt:variant>
      <vt:variant>
        <vt:lpwstr>_Toc179136389</vt:lpwstr>
      </vt:variant>
      <vt:variant>
        <vt:i4>2031672</vt:i4>
      </vt:variant>
      <vt:variant>
        <vt:i4>419</vt:i4>
      </vt:variant>
      <vt:variant>
        <vt:i4>0</vt:i4>
      </vt:variant>
      <vt:variant>
        <vt:i4>5</vt:i4>
      </vt:variant>
      <vt:variant>
        <vt:lpwstr/>
      </vt:variant>
      <vt:variant>
        <vt:lpwstr>_Toc179136388</vt:lpwstr>
      </vt:variant>
      <vt:variant>
        <vt:i4>2031672</vt:i4>
      </vt:variant>
      <vt:variant>
        <vt:i4>413</vt:i4>
      </vt:variant>
      <vt:variant>
        <vt:i4>0</vt:i4>
      </vt:variant>
      <vt:variant>
        <vt:i4>5</vt:i4>
      </vt:variant>
      <vt:variant>
        <vt:lpwstr/>
      </vt:variant>
      <vt:variant>
        <vt:lpwstr>_Toc179136387</vt:lpwstr>
      </vt:variant>
      <vt:variant>
        <vt:i4>2031672</vt:i4>
      </vt:variant>
      <vt:variant>
        <vt:i4>407</vt:i4>
      </vt:variant>
      <vt:variant>
        <vt:i4>0</vt:i4>
      </vt:variant>
      <vt:variant>
        <vt:i4>5</vt:i4>
      </vt:variant>
      <vt:variant>
        <vt:lpwstr/>
      </vt:variant>
      <vt:variant>
        <vt:lpwstr>_Toc179136386</vt:lpwstr>
      </vt:variant>
      <vt:variant>
        <vt:i4>2031672</vt:i4>
      </vt:variant>
      <vt:variant>
        <vt:i4>401</vt:i4>
      </vt:variant>
      <vt:variant>
        <vt:i4>0</vt:i4>
      </vt:variant>
      <vt:variant>
        <vt:i4>5</vt:i4>
      </vt:variant>
      <vt:variant>
        <vt:lpwstr/>
      </vt:variant>
      <vt:variant>
        <vt:lpwstr>_Toc179136385</vt:lpwstr>
      </vt:variant>
      <vt:variant>
        <vt:i4>2031672</vt:i4>
      </vt:variant>
      <vt:variant>
        <vt:i4>395</vt:i4>
      </vt:variant>
      <vt:variant>
        <vt:i4>0</vt:i4>
      </vt:variant>
      <vt:variant>
        <vt:i4>5</vt:i4>
      </vt:variant>
      <vt:variant>
        <vt:lpwstr/>
      </vt:variant>
      <vt:variant>
        <vt:lpwstr>_Toc179136384</vt:lpwstr>
      </vt:variant>
      <vt:variant>
        <vt:i4>2031672</vt:i4>
      </vt:variant>
      <vt:variant>
        <vt:i4>389</vt:i4>
      </vt:variant>
      <vt:variant>
        <vt:i4>0</vt:i4>
      </vt:variant>
      <vt:variant>
        <vt:i4>5</vt:i4>
      </vt:variant>
      <vt:variant>
        <vt:lpwstr/>
      </vt:variant>
      <vt:variant>
        <vt:lpwstr>_Toc179136383</vt:lpwstr>
      </vt:variant>
      <vt:variant>
        <vt:i4>2031672</vt:i4>
      </vt:variant>
      <vt:variant>
        <vt:i4>383</vt:i4>
      </vt:variant>
      <vt:variant>
        <vt:i4>0</vt:i4>
      </vt:variant>
      <vt:variant>
        <vt:i4>5</vt:i4>
      </vt:variant>
      <vt:variant>
        <vt:lpwstr/>
      </vt:variant>
      <vt:variant>
        <vt:lpwstr>_Toc179136382</vt:lpwstr>
      </vt:variant>
      <vt:variant>
        <vt:i4>2031672</vt:i4>
      </vt:variant>
      <vt:variant>
        <vt:i4>377</vt:i4>
      </vt:variant>
      <vt:variant>
        <vt:i4>0</vt:i4>
      </vt:variant>
      <vt:variant>
        <vt:i4>5</vt:i4>
      </vt:variant>
      <vt:variant>
        <vt:lpwstr/>
      </vt:variant>
      <vt:variant>
        <vt:lpwstr>_Toc179136381</vt:lpwstr>
      </vt:variant>
      <vt:variant>
        <vt:i4>2031672</vt:i4>
      </vt:variant>
      <vt:variant>
        <vt:i4>371</vt:i4>
      </vt:variant>
      <vt:variant>
        <vt:i4>0</vt:i4>
      </vt:variant>
      <vt:variant>
        <vt:i4>5</vt:i4>
      </vt:variant>
      <vt:variant>
        <vt:lpwstr/>
      </vt:variant>
      <vt:variant>
        <vt:lpwstr>_Toc179136380</vt:lpwstr>
      </vt:variant>
      <vt:variant>
        <vt:i4>1048632</vt:i4>
      </vt:variant>
      <vt:variant>
        <vt:i4>365</vt:i4>
      </vt:variant>
      <vt:variant>
        <vt:i4>0</vt:i4>
      </vt:variant>
      <vt:variant>
        <vt:i4>5</vt:i4>
      </vt:variant>
      <vt:variant>
        <vt:lpwstr/>
      </vt:variant>
      <vt:variant>
        <vt:lpwstr>_Toc179136379</vt:lpwstr>
      </vt:variant>
      <vt:variant>
        <vt:i4>1769529</vt:i4>
      </vt:variant>
      <vt:variant>
        <vt:i4>356</vt:i4>
      </vt:variant>
      <vt:variant>
        <vt:i4>0</vt:i4>
      </vt:variant>
      <vt:variant>
        <vt:i4>5</vt:i4>
      </vt:variant>
      <vt:variant>
        <vt:lpwstr/>
      </vt:variant>
      <vt:variant>
        <vt:lpwstr>_Toc179138229</vt:lpwstr>
      </vt:variant>
      <vt:variant>
        <vt:i4>1769529</vt:i4>
      </vt:variant>
      <vt:variant>
        <vt:i4>350</vt:i4>
      </vt:variant>
      <vt:variant>
        <vt:i4>0</vt:i4>
      </vt:variant>
      <vt:variant>
        <vt:i4>5</vt:i4>
      </vt:variant>
      <vt:variant>
        <vt:lpwstr/>
      </vt:variant>
      <vt:variant>
        <vt:lpwstr>_Toc179138228</vt:lpwstr>
      </vt:variant>
      <vt:variant>
        <vt:i4>1769529</vt:i4>
      </vt:variant>
      <vt:variant>
        <vt:i4>344</vt:i4>
      </vt:variant>
      <vt:variant>
        <vt:i4>0</vt:i4>
      </vt:variant>
      <vt:variant>
        <vt:i4>5</vt:i4>
      </vt:variant>
      <vt:variant>
        <vt:lpwstr/>
      </vt:variant>
      <vt:variant>
        <vt:lpwstr>_Toc179138227</vt:lpwstr>
      </vt:variant>
      <vt:variant>
        <vt:i4>1769529</vt:i4>
      </vt:variant>
      <vt:variant>
        <vt:i4>338</vt:i4>
      </vt:variant>
      <vt:variant>
        <vt:i4>0</vt:i4>
      </vt:variant>
      <vt:variant>
        <vt:i4>5</vt:i4>
      </vt:variant>
      <vt:variant>
        <vt:lpwstr/>
      </vt:variant>
      <vt:variant>
        <vt:lpwstr>_Toc179138226</vt:lpwstr>
      </vt:variant>
      <vt:variant>
        <vt:i4>1769529</vt:i4>
      </vt:variant>
      <vt:variant>
        <vt:i4>332</vt:i4>
      </vt:variant>
      <vt:variant>
        <vt:i4>0</vt:i4>
      </vt:variant>
      <vt:variant>
        <vt:i4>5</vt:i4>
      </vt:variant>
      <vt:variant>
        <vt:lpwstr/>
      </vt:variant>
      <vt:variant>
        <vt:lpwstr>_Toc179138225</vt:lpwstr>
      </vt:variant>
      <vt:variant>
        <vt:i4>1769529</vt:i4>
      </vt:variant>
      <vt:variant>
        <vt:i4>326</vt:i4>
      </vt:variant>
      <vt:variant>
        <vt:i4>0</vt:i4>
      </vt:variant>
      <vt:variant>
        <vt:i4>5</vt:i4>
      </vt:variant>
      <vt:variant>
        <vt:lpwstr/>
      </vt:variant>
      <vt:variant>
        <vt:lpwstr>_Toc179138224</vt:lpwstr>
      </vt:variant>
      <vt:variant>
        <vt:i4>1769529</vt:i4>
      </vt:variant>
      <vt:variant>
        <vt:i4>320</vt:i4>
      </vt:variant>
      <vt:variant>
        <vt:i4>0</vt:i4>
      </vt:variant>
      <vt:variant>
        <vt:i4>5</vt:i4>
      </vt:variant>
      <vt:variant>
        <vt:lpwstr/>
      </vt:variant>
      <vt:variant>
        <vt:lpwstr>_Toc179138223</vt:lpwstr>
      </vt:variant>
      <vt:variant>
        <vt:i4>1769529</vt:i4>
      </vt:variant>
      <vt:variant>
        <vt:i4>314</vt:i4>
      </vt:variant>
      <vt:variant>
        <vt:i4>0</vt:i4>
      </vt:variant>
      <vt:variant>
        <vt:i4>5</vt:i4>
      </vt:variant>
      <vt:variant>
        <vt:lpwstr/>
      </vt:variant>
      <vt:variant>
        <vt:lpwstr>_Toc179138222</vt:lpwstr>
      </vt:variant>
      <vt:variant>
        <vt:i4>1769529</vt:i4>
      </vt:variant>
      <vt:variant>
        <vt:i4>308</vt:i4>
      </vt:variant>
      <vt:variant>
        <vt:i4>0</vt:i4>
      </vt:variant>
      <vt:variant>
        <vt:i4>5</vt:i4>
      </vt:variant>
      <vt:variant>
        <vt:lpwstr/>
      </vt:variant>
      <vt:variant>
        <vt:lpwstr>_Toc179138221</vt:lpwstr>
      </vt:variant>
      <vt:variant>
        <vt:i4>1769529</vt:i4>
      </vt:variant>
      <vt:variant>
        <vt:i4>302</vt:i4>
      </vt:variant>
      <vt:variant>
        <vt:i4>0</vt:i4>
      </vt:variant>
      <vt:variant>
        <vt:i4>5</vt:i4>
      </vt:variant>
      <vt:variant>
        <vt:lpwstr/>
      </vt:variant>
      <vt:variant>
        <vt:lpwstr>_Toc179138220</vt:lpwstr>
      </vt:variant>
      <vt:variant>
        <vt:i4>1572921</vt:i4>
      </vt:variant>
      <vt:variant>
        <vt:i4>296</vt:i4>
      </vt:variant>
      <vt:variant>
        <vt:i4>0</vt:i4>
      </vt:variant>
      <vt:variant>
        <vt:i4>5</vt:i4>
      </vt:variant>
      <vt:variant>
        <vt:lpwstr/>
      </vt:variant>
      <vt:variant>
        <vt:lpwstr>_Toc179138219</vt:lpwstr>
      </vt:variant>
      <vt:variant>
        <vt:i4>1572921</vt:i4>
      </vt:variant>
      <vt:variant>
        <vt:i4>290</vt:i4>
      </vt:variant>
      <vt:variant>
        <vt:i4>0</vt:i4>
      </vt:variant>
      <vt:variant>
        <vt:i4>5</vt:i4>
      </vt:variant>
      <vt:variant>
        <vt:lpwstr/>
      </vt:variant>
      <vt:variant>
        <vt:lpwstr>_Toc179138218</vt:lpwstr>
      </vt:variant>
      <vt:variant>
        <vt:i4>1572921</vt:i4>
      </vt:variant>
      <vt:variant>
        <vt:i4>284</vt:i4>
      </vt:variant>
      <vt:variant>
        <vt:i4>0</vt:i4>
      </vt:variant>
      <vt:variant>
        <vt:i4>5</vt:i4>
      </vt:variant>
      <vt:variant>
        <vt:lpwstr/>
      </vt:variant>
      <vt:variant>
        <vt:lpwstr>_Toc179138217</vt:lpwstr>
      </vt:variant>
      <vt:variant>
        <vt:i4>1572921</vt:i4>
      </vt:variant>
      <vt:variant>
        <vt:i4>278</vt:i4>
      </vt:variant>
      <vt:variant>
        <vt:i4>0</vt:i4>
      </vt:variant>
      <vt:variant>
        <vt:i4>5</vt:i4>
      </vt:variant>
      <vt:variant>
        <vt:lpwstr/>
      </vt:variant>
      <vt:variant>
        <vt:lpwstr>_Toc179138216</vt:lpwstr>
      </vt:variant>
      <vt:variant>
        <vt:i4>1572921</vt:i4>
      </vt:variant>
      <vt:variant>
        <vt:i4>272</vt:i4>
      </vt:variant>
      <vt:variant>
        <vt:i4>0</vt:i4>
      </vt:variant>
      <vt:variant>
        <vt:i4>5</vt:i4>
      </vt:variant>
      <vt:variant>
        <vt:lpwstr/>
      </vt:variant>
      <vt:variant>
        <vt:lpwstr>_Toc179138215</vt:lpwstr>
      </vt:variant>
      <vt:variant>
        <vt:i4>1572921</vt:i4>
      </vt:variant>
      <vt:variant>
        <vt:i4>266</vt:i4>
      </vt:variant>
      <vt:variant>
        <vt:i4>0</vt:i4>
      </vt:variant>
      <vt:variant>
        <vt:i4>5</vt:i4>
      </vt:variant>
      <vt:variant>
        <vt:lpwstr/>
      </vt:variant>
      <vt:variant>
        <vt:lpwstr>_Toc179138214</vt:lpwstr>
      </vt:variant>
      <vt:variant>
        <vt:i4>1572921</vt:i4>
      </vt:variant>
      <vt:variant>
        <vt:i4>260</vt:i4>
      </vt:variant>
      <vt:variant>
        <vt:i4>0</vt:i4>
      </vt:variant>
      <vt:variant>
        <vt:i4>5</vt:i4>
      </vt:variant>
      <vt:variant>
        <vt:lpwstr/>
      </vt:variant>
      <vt:variant>
        <vt:lpwstr>_Toc179138213</vt:lpwstr>
      </vt:variant>
      <vt:variant>
        <vt:i4>1572921</vt:i4>
      </vt:variant>
      <vt:variant>
        <vt:i4>254</vt:i4>
      </vt:variant>
      <vt:variant>
        <vt:i4>0</vt:i4>
      </vt:variant>
      <vt:variant>
        <vt:i4>5</vt:i4>
      </vt:variant>
      <vt:variant>
        <vt:lpwstr/>
      </vt:variant>
      <vt:variant>
        <vt:lpwstr>_Toc179138212</vt:lpwstr>
      </vt:variant>
      <vt:variant>
        <vt:i4>1572921</vt:i4>
      </vt:variant>
      <vt:variant>
        <vt:i4>248</vt:i4>
      </vt:variant>
      <vt:variant>
        <vt:i4>0</vt:i4>
      </vt:variant>
      <vt:variant>
        <vt:i4>5</vt:i4>
      </vt:variant>
      <vt:variant>
        <vt:lpwstr/>
      </vt:variant>
      <vt:variant>
        <vt:lpwstr>_Toc179138211</vt:lpwstr>
      </vt:variant>
      <vt:variant>
        <vt:i4>1572921</vt:i4>
      </vt:variant>
      <vt:variant>
        <vt:i4>242</vt:i4>
      </vt:variant>
      <vt:variant>
        <vt:i4>0</vt:i4>
      </vt:variant>
      <vt:variant>
        <vt:i4>5</vt:i4>
      </vt:variant>
      <vt:variant>
        <vt:lpwstr/>
      </vt:variant>
      <vt:variant>
        <vt:lpwstr>_Toc179138210</vt:lpwstr>
      </vt:variant>
      <vt:variant>
        <vt:i4>1638457</vt:i4>
      </vt:variant>
      <vt:variant>
        <vt:i4>236</vt:i4>
      </vt:variant>
      <vt:variant>
        <vt:i4>0</vt:i4>
      </vt:variant>
      <vt:variant>
        <vt:i4>5</vt:i4>
      </vt:variant>
      <vt:variant>
        <vt:lpwstr/>
      </vt:variant>
      <vt:variant>
        <vt:lpwstr>_Toc179138209</vt:lpwstr>
      </vt:variant>
      <vt:variant>
        <vt:i4>1638457</vt:i4>
      </vt:variant>
      <vt:variant>
        <vt:i4>230</vt:i4>
      </vt:variant>
      <vt:variant>
        <vt:i4>0</vt:i4>
      </vt:variant>
      <vt:variant>
        <vt:i4>5</vt:i4>
      </vt:variant>
      <vt:variant>
        <vt:lpwstr/>
      </vt:variant>
      <vt:variant>
        <vt:lpwstr>_Toc179138208</vt:lpwstr>
      </vt:variant>
      <vt:variant>
        <vt:i4>1638457</vt:i4>
      </vt:variant>
      <vt:variant>
        <vt:i4>224</vt:i4>
      </vt:variant>
      <vt:variant>
        <vt:i4>0</vt:i4>
      </vt:variant>
      <vt:variant>
        <vt:i4>5</vt:i4>
      </vt:variant>
      <vt:variant>
        <vt:lpwstr/>
      </vt:variant>
      <vt:variant>
        <vt:lpwstr>_Toc179138207</vt:lpwstr>
      </vt:variant>
      <vt:variant>
        <vt:i4>1638457</vt:i4>
      </vt:variant>
      <vt:variant>
        <vt:i4>218</vt:i4>
      </vt:variant>
      <vt:variant>
        <vt:i4>0</vt:i4>
      </vt:variant>
      <vt:variant>
        <vt:i4>5</vt:i4>
      </vt:variant>
      <vt:variant>
        <vt:lpwstr/>
      </vt:variant>
      <vt:variant>
        <vt:lpwstr>_Toc179138206</vt:lpwstr>
      </vt:variant>
      <vt:variant>
        <vt:i4>1638457</vt:i4>
      </vt:variant>
      <vt:variant>
        <vt:i4>212</vt:i4>
      </vt:variant>
      <vt:variant>
        <vt:i4>0</vt:i4>
      </vt:variant>
      <vt:variant>
        <vt:i4>5</vt:i4>
      </vt:variant>
      <vt:variant>
        <vt:lpwstr/>
      </vt:variant>
      <vt:variant>
        <vt:lpwstr>_Toc179138205</vt:lpwstr>
      </vt:variant>
      <vt:variant>
        <vt:i4>1638457</vt:i4>
      </vt:variant>
      <vt:variant>
        <vt:i4>206</vt:i4>
      </vt:variant>
      <vt:variant>
        <vt:i4>0</vt:i4>
      </vt:variant>
      <vt:variant>
        <vt:i4>5</vt:i4>
      </vt:variant>
      <vt:variant>
        <vt:lpwstr/>
      </vt:variant>
      <vt:variant>
        <vt:lpwstr>_Toc179138204</vt:lpwstr>
      </vt:variant>
      <vt:variant>
        <vt:i4>1638457</vt:i4>
      </vt:variant>
      <vt:variant>
        <vt:i4>200</vt:i4>
      </vt:variant>
      <vt:variant>
        <vt:i4>0</vt:i4>
      </vt:variant>
      <vt:variant>
        <vt:i4>5</vt:i4>
      </vt:variant>
      <vt:variant>
        <vt:lpwstr/>
      </vt:variant>
      <vt:variant>
        <vt:lpwstr>_Toc179138203</vt:lpwstr>
      </vt:variant>
      <vt:variant>
        <vt:i4>1638457</vt:i4>
      </vt:variant>
      <vt:variant>
        <vt:i4>194</vt:i4>
      </vt:variant>
      <vt:variant>
        <vt:i4>0</vt:i4>
      </vt:variant>
      <vt:variant>
        <vt:i4>5</vt:i4>
      </vt:variant>
      <vt:variant>
        <vt:lpwstr/>
      </vt:variant>
      <vt:variant>
        <vt:lpwstr>_Toc179138202</vt:lpwstr>
      </vt:variant>
      <vt:variant>
        <vt:i4>1638457</vt:i4>
      </vt:variant>
      <vt:variant>
        <vt:i4>188</vt:i4>
      </vt:variant>
      <vt:variant>
        <vt:i4>0</vt:i4>
      </vt:variant>
      <vt:variant>
        <vt:i4>5</vt:i4>
      </vt:variant>
      <vt:variant>
        <vt:lpwstr/>
      </vt:variant>
      <vt:variant>
        <vt:lpwstr>_Toc179138201</vt:lpwstr>
      </vt:variant>
      <vt:variant>
        <vt:i4>1638457</vt:i4>
      </vt:variant>
      <vt:variant>
        <vt:i4>182</vt:i4>
      </vt:variant>
      <vt:variant>
        <vt:i4>0</vt:i4>
      </vt:variant>
      <vt:variant>
        <vt:i4>5</vt:i4>
      </vt:variant>
      <vt:variant>
        <vt:lpwstr/>
      </vt:variant>
      <vt:variant>
        <vt:lpwstr>_Toc179138200</vt:lpwstr>
      </vt:variant>
      <vt:variant>
        <vt:i4>1048634</vt:i4>
      </vt:variant>
      <vt:variant>
        <vt:i4>176</vt:i4>
      </vt:variant>
      <vt:variant>
        <vt:i4>0</vt:i4>
      </vt:variant>
      <vt:variant>
        <vt:i4>5</vt:i4>
      </vt:variant>
      <vt:variant>
        <vt:lpwstr/>
      </vt:variant>
      <vt:variant>
        <vt:lpwstr>_Toc179138199</vt:lpwstr>
      </vt:variant>
      <vt:variant>
        <vt:i4>1048634</vt:i4>
      </vt:variant>
      <vt:variant>
        <vt:i4>170</vt:i4>
      </vt:variant>
      <vt:variant>
        <vt:i4>0</vt:i4>
      </vt:variant>
      <vt:variant>
        <vt:i4>5</vt:i4>
      </vt:variant>
      <vt:variant>
        <vt:lpwstr/>
      </vt:variant>
      <vt:variant>
        <vt:lpwstr>_Toc179138198</vt:lpwstr>
      </vt:variant>
      <vt:variant>
        <vt:i4>1048634</vt:i4>
      </vt:variant>
      <vt:variant>
        <vt:i4>164</vt:i4>
      </vt:variant>
      <vt:variant>
        <vt:i4>0</vt:i4>
      </vt:variant>
      <vt:variant>
        <vt:i4>5</vt:i4>
      </vt:variant>
      <vt:variant>
        <vt:lpwstr/>
      </vt:variant>
      <vt:variant>
        <vt:lpwstr>_Toc179138197</vt:lpwstr>
      </vt:variant>
      <vt:variant>
        <vt:i4>1048634</vt:i4>
      </vt:variant>
      <vt:variant>
        <vt:i4>158</vt:i4>
      </vt:variant>
      <vt:variant>
        <vt:i4>0</vt:i4>
      </vt:variant>
      <vt:variant>
        <vt:i4>5</vt:i4>
      </vt:variant>
      <vt:variant>
        <vt:lpwstr/>
      </vt:variant>
      <vt:variant>
        <vt:lpwstr>_Toc179138196</vt:lpwstr>
      </vt:variant>
      <vt:variant>
        <vt:i4>1048634</vt:i4>
      </vt:variant>
      <vt:variant>
        <vt:i4>152</vt:i4>
      </vt:variant>
      <vt:variant>
        <vt:i4>0</vt:i4>
      </vt:variant>
      <vt:variant>
        <vt:i4>5</vt:i4>
      </vt:variant>
      <vt:variant>
        <vt:lpwstr/>
      </vt:variant>
      <vt:variant>
        <vt:lpwstr>_Toc179138195</vt:lpwstr>
      </vt:variant>
      <vt:variant>
        <vt:i4>1048634</vt:i4>
      </vt:variant>
      <vt:variant>
        <vt:i4>146</vt:i4>
      </vt:variant>
      <vt:variant>
        <vt:i4>0</vt:i4>
      </vt:variant>
      <vt:variant>
        <vt:i4>5</vt:i4>
      </vt:variant>
      <vt:variant>
        <vt:lpwstr/>
      </vt:variant>
      <vt:variant>
        <vt:lpwstr>_Toc179138194</vt:lpwstr>
      </vt:variant>
      <vt:variant>
        <vt:i4>1048634</vt:i4>
      </vt:variant>
      <vt:variant>
        <vt:i4>140</vt:i4>
      </vt:variant>
      <vt:variant>
        <vt:i4>0</vt:i4>
      </vt:variant>
      <vt:variant>
        <vt:i4>5</vt:i4>
      </vt:variant>
      <vt:variant>
        <vt:lpwstr/>
      </vt:variant>
      <vt:variant>
        <vt:lpwstr>_Toc179138193</vt:lpwstr>
      </vt:variant>
      <vt:variant>
        <vt:i4>1048634</vt:i4>
      </vt:variant>
      <vt:variant>
        <vt:i4>134</vt:i4>
      </vt:variant>
      <vt:variant>
        <vt:i4>0</vt:i4>
      </vt:variant>
      <vt:variant>
        <vt:i4>5</vt:i4>
      </vt:variant>
      <vt:variant>
        <vt:lpwstr/>
      </vt:variant>
      <vt:variant>
        <vt:lpwstr>_Toc179138192</vt:lpwstr>
      </vt:variant>
      <vt:variant>
        <vt:i4>1048634</vt:i4>
      </vt:variant>
      <vt:variant>
        <vt:i4>128</vt:i4>
      </vt:variant>
      <vt:variant>
        <vt:i4>0</vt:i4>
      </vt:variant>
      <vt:variant>
        <vt:i4>5</vt:i4>
      </vt:variant>
      <vt:variant>
        <vt:lpwstr/>
      </vt:variant>
      <vt:variant>
        <vt:lpwstr>_Toc179138191</vt:lpwstr>
      </vt:variant>
      <vt:variant>
        <vt:i4>1048634</vt:i4>
      </vt:variant>
      <vt:variant>
        <vt:i4>122</vt:i4>
      </vt:variant>
      <vt:variant>
        <vt:i4>0</vt:i4>
      </vt:variant>
      <vt:variant>
        <vt:i4>5</vt:i4>
      </vt:variant>
      <vt:variant>
        <vt:lpwstr/>
      </vt:variant>
      <vt:variant>
        <vt:lpwstr>_Toc179138190</vt:lpwstr>
      </vt:variant>
      <vt:variant>
        <vt:i4>1114170</vt:i4>
      </vt:variant>
      <vt:variant>
        <vt:i4>116</vt:i4>
      </vt:variant>
      <vt:variant>
        <vt:i4>0</vt:i4>
      </vt:variant>
      <vt:variant>
        <vt:i4>5</vt:i4>
      </vt:variant>
      <vt:variant>
        <vt:lpwstr/>
      </vt:variant>
      <vt:variant>
        <vt:lpwstr>_Toc179138189</vt:lpwstr>
      </vt:variant>
      <vt:variant>
        <vt:i4>1114170</vt:i4>
      </vt:variant>
      <vt:variant>
        <vt:i4>110</vt:i4>
      </vt:variant>
      <vt:variant>
        <vt:i4>0</vt:i4>
      </vt:variant>
      <vt:variant>
        <vt:i4>5</vt:i4>
      </vt:variant>
      <vt:variant>
        <vt:lpwstr/>
      </vt:variant>
      <vt:variant>
        <vt:lpwstr>_Toc179138188</vt:lpwstr>
      </vt:variant>
      <vt:variant>
        <vt:i4>1114170</vt:i4>
      </vt:variant>
      <vt:variant>
        <vt:i4>104</vt:i4>
      </vt:variant>
      <vt:variant>
        <vt:i4>0</vt:i4>
      </vt:variant>
      <vt:variant>
        <vt:i4>5</vt:i4>
      </vt:variant>
      <vt:variant>
        <vt:lpwstr/>
      </vt:variant>
      <vt:variant>
        <vt:lpwstr>_Toc179138187</vt:lpwstr>
      </vt:variant>
      <vt:variant>
        <vt:i4>1114170</vt:i4>
      </vt:variant>
      <vt:variant>
        <vt:i4>98</vt:i4>
      </vt:variant>
      <vt:variant>
        <vt:i4>0</vt:i4>
      </vt:variant>
      <vt:variant>
        <vt:i4>5</vt:i4>
      </vt:variant>
      <vt:variant>
        <vt:lpwstr/>
      </vt:variant>
      <vt:variant>
        <vt:lpwstr>_Toc179138186</vt:lpwstr>
      </vt:variant>
      <vt:variant>
        <vt:i4>1114170</vt:i4>
      </vt:variant>
      <vt:variant>
        <vt:i4>92</vt:i4>
      </vt:variant>
      <vt:variant>
        <vt:i4>0</vt:i4>
      </vt:variant>
      <vt:variant>
        <vt:i4>5</vt:i4>
      </vt:variant>
      <vt:variant>
        <vt:lpwstr/>
      </vt:variant>
      <vt:variant>
        <vt:lpwstr>_Toc179138185</vt:lpwstr>
      </vt:variant>
      <vt:variant>
        <vt:i4>1114170</vt:i4>
      </vt:variant>
      <vt:variant>
        <vt:i4>86</vt:i4>
      </vt:variant>
      <vt:variant>
        <vt:i4>0</vt:i4>
      </vt:variant>
      <vt:variant>
        <vt:i4>5</vt:i4>
      </vt:variant>
      <vt:variant>
        <vt:lpwstr/>
      </vt:variant>
      <vt:variant>
        <vt:lpwstr>_Toc179138184</vt:lpwstr>
      </vt:variant>
      <vt:variant>
        <vt:i4>1114170</vt:i4>
      </vt:variant>
      <vt:variant>
        <vt:i4>80</vt:i4>
      </vt:variant>
      <vt:variant>
        <vt:i4>0</vt:i4>
      </vt:variant>
      <vt:variant>
        <vt:i4>5</vt:i4>
      </vt:variant>
      <vt:variant>
        <vt:lpwstr/>
      </vt:variant>
      <vt:variant>
        <vt:lpwstr>_Toc179138183</vt:lpwstr>
      </vt:variant>
      <vt:variant>
        <vt:i4>1114170</vt:i4>
      </vt:variant>
      <vt:variant>
        <vt:i4>74</vt:i4>
      </vt:variant>
      <vt:variant>
        <vt:i4>0</vt:i4>
      </vt:variant>
      <vt:variant>
        <vt:i4>5</vt:i4>
      </vt:variant>
      <vt:variant>
        <vt:lpwstr/>
      </vt:variant>
      <vt:variant>
        <vt:lpwstr>_Toc179138182</vt:lpwstr>
      </vt:variant>
      <vt:variant>
        <vt:i4>1114170</vt:i4>
      </vt:variant>
      <vt:variant>
        <vt:i4>68</vt:i4>
      </vt:variant>
      <vt:variant>
        <vt:i4>0</vt:i4>
      </vt:variant>
      <vt:variant>
        <vt:i4>5</vt:i4>
      </vt:variant>
      <vt:variant>
        <vt:lpwstr/>
      </vt:variant>
      <vt:variant>
        <vt:lpwstr>_Toc179138181</vt:lpwstr>
      </vt:variant>
      <vt:variant>
        <vt:i4>1114170</vt:i4>
      </vt:variant>
      <vt:variant>
        <vt:i4>62</vt:i4>
      </vt:variant>
      <vt:variant>
        <vt:i4>0</vt:i4>
      </vt:variant>
      <vt:variant>
        <vt:i4>5</vt:i4>
      </vt:variant>
      <vt:variant>
        <vt:lpwstr/>
      </vt:variant>
      <vt:variant>
        <vt:lpwstr>_Toc179138180</vt:lpwstr>
      </vt:variant>
      <vt:variant>
        <vt:i4>1966138</vt:i4>
      </vt:variant>
      <vt:variant>
        <vt:i4>56</vt:i4>
      </vt:variant>
      <vt:variant>
        <vt:i4>0</vt:i4>
      </vt:variant>
      <vt:variant>
        <vt:i4>5</vt:i4>
      </vt:variant>
      <vt:variant>
        <vt:lpwstr/>
      </vt:variant>
      <vt:variant>
        <vt:lpwstr>_Toc179138179</vt:lpwstr>
      </vt:variant>
      <vt:variant>
        <vt:i4>1966138</vt:i4>
      </vt:variant>
      <vt:variant>
        <vt:i4>50</vt:i4>
      </vt:variant>
      <vt:variant>
        <vt:i4>0</vt:i4>
      </vt:variant>
      <vt:variant>
        <vt:i4>5</vt:i4>
      </vt:variant>
      <vt:variant>
        <vt:lpwstr/>
      </vt:variant>
      <vt:variant>
        <vt:lpwstr>_Toc179138178</vt:lpwstr>
      </vt:variant>
      <vt:variant>
        <vt:i4>1966138</vt:i4>
      </vt:variant>
      <vt:variant>
        <vt:i4>44</vt:i4>
      </vt:variant>
      <vt:variant>
        <vt:i4>0</vt:i4>
      </vt:variant>
      <vt:variant>
        <vt:i4>5</vt:i4>
      </vt:variant>
      <vt:variant>
        <vt:lpwstr/>
      </vt:variant>
      <vt:variant>
        <vt:lpwstr>_Toc179138177</vt:lpwstr>
      </vt:variant>
      <vt:variant>
        <vt:i4>1966138</vt:i4>
      </vt:variant>
      <vt:variant>
        <vt:i4>38</vt:i4>
      </vt:variant>
      <vt:variant>
        <vt:i4>0</vt:i4>
      </vt:variant>
      <vt:variant>
        <vt:i4>5</vt:i4>
      </vt:variant>
      <vt:variant>
        <vt:lpwstr/>
      </vt:variant>
      <vt:variant>
        <vt:lpwstr>_Toc179138176</vt:lpwstr>
      </vt:variant>
      <vt:variant>
        <vt:i4>1966138</vt:i4>
      </vt:variant>
      <vt:variant>
        <vt:i4>32</vt:i4>
      </vt:variant>
      <vt:variant>
        <vt:i4>0</vt:i4>
      </vt:variant>
      <vt:variant>
        <vt:i4>5</vt:i4>
      </vt:variant>
      <vt:variant>
        <vt:lpwstr/>
      </vt:variant>
      <vt:variant>
        <vt:lpwstr>_Toc179138175</vt:lpwstr>
      </vt:variant>
      <vt:variant>
        <vt:i4>1966138</vt:i4>
      </vt:variant>
      <vt:variant>
        <vt:i4>26</vt:i4>
      </vt:variant>
      <vt:variant>
        <vt:i4>0</vt:i4>
      </vt:variant>
      <vt:variant>
        <vt:i4>5</vt:i4>
      </vt:variant>
      <vt:variant>
        <vt:lpwstr/>
      </vt:variant>
      <vt:variant>
        <vt:lpwstr>_Toc179138174</vt:lpwstr>
      </vt:variant>
      <vt:variant>
        <vt:i4>1966138</vt:i4>
      </vt:variant>
      <vt:variant>
        <vt:i4>20</vt:i4>
      </vt:variant>
      <vt:variant>
        <vt:i4>0</vt:i4>
      </vt:variant>
      <vt:variant>
        <vt:i4>5</vt:i4>
      </vt:variant>
      <vt:variant>
        <vt:lpwstr/>
      </vt:variant>
      <vt:variant>
        <vt:lpwstr>_Toc179138173</vt:lpwstr>
      </vt:variant>
      <vt:variant>
        <vt:i4>1966138</vt:i4>
      </vt:variant>
      <vt:variant>
        <vt:i4>14</vt:i4>
      </vt:variant>
      <vt:variant>
        <vt:i4>0</vt:i4>
      </vt:variant>
      <vt:variant>
        <vt:i4>5</vt:i4>
      </vt:variant>
      <vt:variant>
        <vt:lpwstr/>
      </vt:variant>
      <vt:variant>
        <vt:lpwstr>_Toc179138172</vt:lpwstr>
      </vt:variant>
      <vt:variant>
        <vt:i4>1966138</vt:i4>
      </vt:variant>
      <vt:variant>
        <vt:i4>8</vt:i4>
      </vt:variant>
      <vt:variant>
        <vt:i4>0</vt:i4>
      </vt:variant>
      <vt:variant>
        <vt:i4>5</vt:i4>
      </vt:variant>
      <vt:variant>
        <vt:lpwstr/>
      </vt:variant>
      <vt:variant>
        <vt:lpwstr>_Toc179138171</vt:lpwstr>
      </vt:variant>
      <vt:variant>
        <vt:i4>1966138</vt:i4>
      </vt:variant>
      <vt:variant>
        <vt:i4>2</vt:i4>
      </vt:variant>
      <vt:variant>
        <vt:i4>0</vt:i4>
      </vt:variant>
      <vt:variant>
        <vt:i4>5</vt:i4>
      </vt:variant>
      <vt:variant>
        <vt:lpwstr/>
      </vt:variant>
      <vt:variant>
        <vt:lpwstr>_Toc179138170</vt:lpwstr>
      </vt:variant>
      <vt:variant>
        <vt:i4>6226019</vt:i4>
      </vt:variant>
      <vt:variant>
        <vt:i4>6</vt:i4>
      </vt:variant>
      <vt:variant>
        <vt:i4>0</vt:i4>
      </vt:variant>
      <vt:variant>
        <vt:i4>5</vt:i4>
      </vt:variant>
      <vt:variant>
        <vt:lpwstr>https://github.com/IanHo2019/DID_Handbook?tab=readme-ov-file</vt:lpwstr>
      </vt:variant>
      <vt:variant>
        <vt:lpwstr/>
      </vt:variant>
      <vt:variant>
        <vt:i4>4456473</vt:i4>
      </vt:variant>
      <vt:variant>
        <vt:i4>3</vt:i4>
      </vt:variant>
      <vt:variant>
        <vt:i4>0</vt:i4>
      </vt:variant>
      <vt:variant>
        <vt:i4>5</vt:i4>
      </vt:variant>
      <vt:variant>
        <vt:lpwstr>https://www.jonathandroth.com/assets/files/DiD_Review_Paper.pdf</vt:lpwstr>
      </vt:variant>
      <vt:variant>
        <vt:lpwstr/>
      </vt:variant>
      <vt:variant>
        <vt:i4>5701705</vt:i4>
      </vt:variant>
      <vt:variant>
        <vt:i4>0</vt:i4>
      </vt:variant>
      <vt:variant>
        <vt:i4>0</vt:i4>
      </vt:variant>
      <vt:variant>
        <vt:i4>5</vt:i4>
      </vt:variant>
      <vt:variant>
        <vt:lpwstr>https://nces.ed.gov/ipeds/TrendGenerator/app/answer/7/21?f=1%3D4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cp:lastModifiedBy>Sherman, Abby L</cp:lastModifiedBy>
  <cp:revision>140</cp:revision>
  <cp:lastPrinted>2024-10-11T21:08:00Z</cp:lastPrinted>
  <dcterms:created xsi:type="dcterms:W3CDTF">2024-10-18T15:49:00Z</dcterms:created>
  <dcterms:modified xsi:type="dcterms:W3CDTF">2024-11-26T14:13:00Z</dcterms:modified>
</cp:coreProperties>
</file>